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版本号：GCZB2025-04-054-Y20250507001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资产清查及数据治理服务项目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GCZB2025-04-054-Y</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资产清查及数据治理服务项目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GCZB2025-04-054-Y</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资产清查及数据治理服务项目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西安职业技术学院资产清查及数据治理服务项目，具体详见采购文件内容及要求。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采购包1（西安职业技术学院资产清查及数据治理服务项目）：属于专门面向中小企业采购。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029-88511695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西安职业技术学院资产清查及数据治理服务项目，具体详见技术要求。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资产清查及数据治理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标的名称：资产清查及数据治理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一、招标要求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西安职业技术学院资产清查及数据治理服务项目</w:t>
            </w:r>
          </w:p>
          <w:p>
            <w:pPr>
              <w:pStyle w:val="null3"/>
              <w:jc w:val="both"/>
            </w:pPr>
            <w:r>
              <w:rPr>
                <w:rFonts w:ascii="仿宋_GB2312" w:hAnsi="仿宋_GB2312" w:cs="仿宋_GB2312" w:eastAsia="仿宋_GB2312"/>
                <w:sz w:val="24"/>
              </w:rPr>
              <w:t>2、服务期：从合同签订之日起至服务完成，工期6个月</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地点</w:t>
            </w:r>
            <w:r>
              <w:rPr>
                <w:rFonts w:ascii="仿宋_GB2312" w:hAnsi="仿宋_GB2312" w:cs="仿宋_GB2312" w:eastAsia="仿宋_GB2312"/>
                <w:sz w:val="24"/>
              </w:rPr>
              <w:t>：西安职业技术学院指定地点</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随着单位业务的快速发展和规模的持续扩大，资产种类和数量呈现显著增长，数据量也随之呈爆发式上升。为确保资产管理的科学</w:t>
            </w:r>
            <w:r>
              <w:rPr>
                <w:rFonts w:ascii="仿宋_GB2312" w:hAnsi="仿宋_GB2312" w:cs="仿宋_GB2312" w:eastAsia="仿宋_GB2312"/>
                <w:sz w:val="24"/>
              </w:rPr>
              <w:t>性、规范性和高效性，单位正式启动了资产清查与数据治理项目。该项目旨在通过全面清查资产、优化数据治理、完善管理机制，建立</w:t>
            </w:r>
            <w:r>
              <w:rPr>
                <w:rFonts w:ascii="仿宋_GB2312" w:hAnsi="仿宋_GB2312" w:cs="仿宋_GB2312" w:eastAsia="仿宋_GB2312"/>
                <w:sz w:val="24"/>
              </w:rPr>
              <w:t>“账账相符、账实相符、账卡相符”的账务、实物平衡体系，规避资产冗余、老旧资产侵占编制等风险，为资产循环发展提供有力保障，最终实现资产账务、实物、条码、数据及管理机制的完美融合。</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、服务内容（包括工作区域、工作内容等）</w:t>
            </w:r>
          </w:p>
          <w:p>
            <w:pPr>
              <w:pStyle w:val="null3"/>
              <w:ind w:firstLine="480"/>
              <w:jc w:val="both"/>
            </w:pPr>
            <w:r>
              <w:rPr>
                <w:rFonts w:ascii="仿宋_GB2312" w:hAnsi="仿宋_GB2312" w:cs="仿宋_GB2312" w:eastAsia="仿宋_GB2312"/>
                <w:sz w:val="24"/>
              </w:rPr>
              <w:t>（一）全域资产盘查</w:t>
            </w:r>
          </w:p>
          <w:p>
            <w:pPr>
              <w:pStyle w:val="null3"/>
              <w:ind w:firstLine="480"/>
              <w:jc w:val="both"/>
            </w:pPr>
            <w:r>
              <w:rPr>
                <w:rFonts w:ascii="仿宋_GB2312" w:hAnsi="仿宋_GB2312" w:cs="仿宋_GB2312" w:eastAsia="仿宋_GB2312"/>
                <w:sz w:val="24"/>
              </w:rPr>
              <w:t>实施范围：覆盖主校区、辛家庙校区、土门校区、鱼化校区四大物理空间，涉及房屋和构筑物、设备、文物和陈列品、家具和用具、无形资产，共计约</w:t>
            </w:r>
            <w:r>
              <w:rPr>
                <w:rFonts w:ascii="仿宋_GB2312" w:hAnsi="仿宋_GB2312" w:cs="仿宋_GB2312" w:eastAsia="仿宋_GB2312"/>
                <w:sz w:val="24"/>
              </w:rPr>
              <w:t>58000台件（不含图书和档案）。</w:t>
            </w:r>
          </w:p>
          <w:p>
            <w:pPr>
              <w:pStyle w:val="null3"/>
              <w:ind w:firstLine="480"/>
              <w:jc w:val="both"/>
            </w:pPr>
            <w:r>
              <w:rPr>
                <w:rFonts w:ascii="仿宋_GB2312" w:hAnsi="仿宋_GB2312" w:cs="仿宋_GB2312" w:eastAsia="仿宋_GB2312"/>
                <w:sz w:val="24"/>
              </w:rPr>
              <w:t>基准时点：以</w:t>
            </w:r>
            <w:r>
              <w:rPr>
                <w:rFonts w:ascii="仿宋_GB2312" w:hAnsi="仿宋_GB2312" w:cs="仿宋_GB2312" w:eastAsia="仿宋_GB2312"/>
                <w:sz w:val="24"/>
              </w:rPr>
              <w:t>2024年12月31日为资产状态确认基准日，开展跨年度资产状态回溯核查。</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深度数据治理</w:t>
            </w:r>
          </w:p>
          <w:p>
            <w:pPr>
              <w:pStyle w:val="null3"/>
              <w:ind w:firstLine="480"/>
              <w:jc w:val="both"/>
            </w:pPr>
            <w:r>
              <w:rPr>
                <w:rFonts w:ascii="仿宋_GB2312" w:hAnsi="仿宋_GB2312" w:cs="仿宋_GB2312" w:eastAsia="仿宋_GB2312"/>
                <w:sz w:val="24"/>
              </w:rPr>
              <w:t>治理标准：严格遵循《陕西省财政厅关于开展全省行政事业单位资产基础信息数据治理工作的通知》</w:t>
            </w:r>
            <w:r>
              <w:rPr>
                <w:rFonts w:ascii="仿宋_GB2312" w:hAnsi="仿宋_GB2312" w:cs="仿宋_GB2312" w:eastAsia="仿宋_GB2312"/>
                <w:sz w:val="24"/>
              </w:rPr>
              <w:t>(陕财办资函〔2023〕27号)要求，资产信息卡数据补充修改完善后，利用一体化系统中“数据体检”功能，对资产基础数据进行检查,并按照提示信息进行逐一修正或说明。</w:t>
            </w:r>
          </w:p>
          <w:p>
            <w:pPr>
              <w:pStyle w:val="null3"/>
              <w:ind w:firstLine="480"/>
              <w:jc w:val="both"/>
            </w:pPr>
            <w:r>
              <w:rPr>
                <w:rFonts w:ascii="仿宋_GB2312" w:hAnsi="仿宋_GB2312" w:cs="仿宋_GB2312" w:eastAsia="仿宋_GB2312"/>
                <w:sz w:val="24"/>
              </w:rPr>
              <w:t>实施内容：修正约</w:t>
            </w:r>
            <w:r>
              <w:rPr>
                <w:rFonts w:ascii="仿宋_GB2312" w:hAnsi="仿宋_GB2312" w:cs="仿宋_GB2312" w:eastAsia="仿宋_GB2312"/>
                <w:sz w:val="24"/>
              </w:rPr>
              <w:t>30000条资产卡片信息（含价值、规格、型号、使用方向、使用人、使用部门、存放地点等核心字段），根据清查盘点结果对学院资产系统数据进行逐条完善、修正和更新，彻底解决学院资产信息卡片信息不完整、不准确、不规范等问题。</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、技术要求（如有，一般适合于技术服务项目）</w:t>
            </w:r>
          </w:p>
          <w:p>
            <w:pPr>
              <w:pStyle w:val="null3"/>
              <w:ind w:firstLine="480"/>
              <w:jc w:val="both"/>
            </w:pPr>
            <w:r>
              <w:rPr>
                <w:rFonts w:ascii="仿宋_GB2312" w:hAnsi="仿宋_GB2312" w:cs="仿宋_GB2312" w:eastAsia="仿宋_GB2312"/>
                <w:sz w:val="24"/>
              </w:rPr>
              <w:t>拥有成熟的资产清查管理体系</w:t>
            </w:r>
            <w:r>
              <w:rPr>
                <w:rFonts w:ascii="仿宋_GB2312" w:hAnsi="仿宋_GB2312" w:cs="仿宋_GB2312" w:eastAsia="仿宋_GB2312"/>
                <w:sz w:val="24"/>
              </w:rPr>
              <w:t>及数据治理经验、熟悉国家资产管理相关政策、熟练操作久其资产管理系统和陕西财政云预算管理一体化资产管理系统。</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服务要求（如对人员配置、专业设备、服务标准等）</w:t>
            </w:r>
          </w:p>
          <w:p>
            <w:pPr>
              <w:pStyle w:val="null3"/>
              <w:jc w:val="both"/>
            </w:pPr>
            <w:r>
              <w:rPr>
                <w:rFonts w:ascii="仿宋_GB2312" w:hAnsi="仿宋_GB2312" w:cs="仿宋_GB2312" w:eastAsia="仿宋_GB2312"/>
                <w:sz w:val="24"/>
              </w:rPr>
              <w:t>（一）人员及设备要求</w:t>
            </w:r>
          </w:p>
          <w:p>
            <w:pPr>
              <w:pStyle w:val="null3"/>
              <w:ind w:firstLine="480"/>
              <w:jc w:val="both"/>
            </w:pPr>
            <w:r>
              <w:rPr>
                <w:rFonts w:ascii="仿宋_GB2312" w:hAnsi="仿宋_GB2312" w:cs="仿宋_GB2312" w:eastAsia="仿宋_GB2312"/>
                <w:sz w:val="24"/>
              </w:rPr>
              <w:t>1、人员配置</w:t>
            </w:r>
          </w:p>
          <w:p>
            <w:pPr>
              <w:pStyle w:val="null3"/>
              <w:ind w:firstLine="480"/>
              <w:jc w:val="both"/>
            </w:pPr>
            <w:r>
              <w:rPr>
                <w:rFonts w:ascii="仿宋_GB2312" w:hAnsi="仿宋_GB2312" w:cs="仿宋_GB2312" w:eastAsia="仿宋_GB2312"/>
                <w:sz w:val="24"/>
              </w:rPr>
              <w:t>本项目需设立科学的清查组织机构，配备不少于</w:t>
            </w:r>
            <w:r>
              <w:rPr>
                <w:rFonts w:ascii="仿宋_GB2312" w:hAnsi="仿宋_GB2312" w:cs="仿宋_GB2312" w:eastAsia="仿宋_GB2312"/>
                <w:sz w:val="24"/>
              </w:rPr>
              <w:t>15名专业工作人员，并进行合理分工。</w:t>
            </w:r>
          </w:p>
          <w:p>
            <w:pPr>
              <w:pStyle w:val="null3"/>
              <w:ind w:firstLine="480"/>
              <w:jc w:val="both"/>
            </w:pPr>
            <w:r>
              <w:rPr>
                <w:rFonts w:ascii="仿宋_GB2312" w:hAnsi="仿宋_GB2312" w:cs="仿宋_GB2312" w:eastAsia="仿宋_GB2312"/>
                <w:sz w:val="24"/>
              </w:rPr>
              <w:t>2、设备资源配置</w:t>
            </w:r>
          </w:p>
          <w:p>
            <w:pPr>
              <w:pStyle w:val="null3"/>
              <w:ind w:firstLine="480"/>
              <w:jc w:val="both"/>
            </w:pPr>
            <w:r>
              <w:rPr>
                <w:rFonts w:ascii="仿宋_GB2312" w:hAnsi="仿宋_GB2312" w:cs="仿宋_GB2312" w:eastAsia="仿宋_GB2312"/>
                <w:sz w:val="24"/>
              </w:rPr>
              <w:t>拟为本项目配置工作必须的笔记本电脑、清查</w:t>
            </w:r>
            <w:r>
              <w:rPr>
                <w:rFonts w:ascii="仿宋_GB2312" w:hAnsi="仿宋_GB2312" w:cs="仿宋_GB2312" w:eastAsia="仿宋_GB2312"/>
                <w:sz w:val="24"/>
              </w:rPr>
              <w:t>采集平板、二维码打印机</w:t>
            </w:r>
            <w:r>
              <w:rPr>
                <w:rFonts w:ascii="仿宋_GB2312" w:hAnsi="仿宋_GB2312" w:cs="仿宋_GB2312" w:eastAsia="仿宋_GB2312"/>
                <w:sz w:val="24"/>
              </w:rPr>
              <w:t>等有关设备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（二）服务标准</w:t>
            </w:r>
          </w:p>
          <w:p>
            <w:pPr>
              <w:pStyle w:val="null3"/>
              <w:numPr>
                <w:ilvl w:val="0"/>
                <w:numId w:val="1"/>
              </w:numPr>
              <w:ind w:left="105"/>
              <w:jc w:val="both"/>
            </w:pPr>
            <w:r>
              <w:rPr>
                <w:rFonts w:ascii="仿宋_GB2312" w:hAnsi="仿宋_GB2312" w:cs="仿宋_GB2312" w:eastAsia="仿宋_GB2312"/>
                <w:sz w:val="24"/>
              </w:rPr>
              <w:t>彻底解决账账、账卡、账实不符问题</w:t>
            </w:r>
          </w:p>
          <w:p>
            <w:pPr>
              <w:pStyle w:val="null3"/>
              <w:numPr>
                <w:ilvl w:val="0"/>
                <w:numId w:val="1"/>
              </w:numPr>
              <w:ind w:left="105"/>
              <w:jc w:val="both"/>
            </w:pPr>
            <w:r>
              <w:rPr>
                <w:rFonts w:ascii="仿宋_GB2312" w:hAnsi="仿宋_GB2312" w:cs="仿宋_GB2312" w:eastAsia="仿宋_GB2312"/>
                <w:sz w:val="24"/>
              </w:rPr>
              <w:t>全盘梳理实物使用状况</w:t>
            </w:r>
          </w:p>
          <w:p>
            <w:pPr>
              <w:pStyle w:val="null3"/>
              <w:numPr>
                <w:ilvl w:val="0"/>
                <w:numId w:val="1"/>
              </w:numPr>
              <w:ind w:left="105"/>
              <w:jc w:val="both"/>
            </w:pPr>
            <w:r>
              <w:rPr>
                <w:rFonts w:ascii="仿宋_GB2312" w:hAnsi="仿宋_GB2312" w:cs="仿宋_GB2312" w:eastAsia="仿宋_GB2312"/>
                <w:sz w:val="24"/>
              </w:rPr>
              <w:t>全面治理资产系统数据（按照财政文件资产数据治理要求）</w:t>
            </w:r>
          </w:p>
          <w:p>
            <w:pPr>
              <w:pStyle w:val="null3"/>
              <w:numPr>
                <w:ilvl w:val="0"/>
                <w:numId w:val="1"/>
              </w:numPr>
              <w:ind w:left="105"/>
              <w:jc w:val="both"/>
            </w:pPr>
            <w:r>
              <w:rPr>
                <w:rFonts w:ascii="仿宋_GB2312" w:hAnsi="仿宋_GB2312" w:cs="仿宋_GB2312" w:eastAsia="仿宋_GB2312"/>
                <w:sz w:val="24"/>
              </w:rPr>
              <w:t>报废资产得到及时处置（报废处置审批时间不固定）</w:t>
            </w:r>
          </w:p>
          <w:p>
            <w:pPr>
              <w:pStyle w:val="null3"/>
              <w:numPr>
                <w:ilvl w:val="0"/>
                <w:numId w:val="1"/>
              </w:numPr>
              <w:ind w:left="105"/>
              <w:jc w:val="both"/>
            </w:pPr>
            <w:r>
              <w:rPr>
                <w:rFonts w:ascii="仿宋_GB2312" w:hAnsi="仿宋_GB2312" w:cs="仿宋_GB2312" w:eastAsia="仿宋_GB2312"/>
                <w:sz w:val="24"/>
              </w:rPr>
              <w:t>资产赋码工作</w:t>
            </w:r>
          </w:p>
          <w:p>
            <w:pPr>
              <w:pStyle w:val="null3"/>
              <w:numPr>
                <w:ilvl w:val="0"/>
                <w:numId w:val="1"/>
              </w:numPr>
              <w:ind w:left="105"/>
              <w:jc w:val="both"/>
            </w:pPr>
            <w:r>
              <w:rPr>
                <w:rFonts w:ascii="仿宋_GB2312" w:hAnsi="仿宋_GB2312" w:cs="仿宋_GB2312" w:eastAsia="仿宋_GB2312"/>
                <w:sz w:val="24"/>
              </w:rPr>
              <w:t>资产数据的详细归纳</w:t>
            </w:r>
          </w:p>
          <w:p>
            <w:pPr>
              <w:pStyle w:val="null3"/>
              <w:numPr>
                <w:ilvl w:val="0"/>
                <w:numId w:val="1"/>
              </w:numPr>
              <w:jc w:val="both"/>
            </w:pPr>
            <w:r>
              <w:rPr>
                <w:rFonts w:ascii="仿宋_GB2312" w:hAnsi="仿宋_GB2312" w:cs="仿宋_GB2312" w:eastAsia="仿宋_GB2312"/>
                <w:sz w:val="24"/>
              </w:rPr>
              <w:t>总结完善制度</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、商务要求（如服务期限、款项结算等）</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服务期限</w:t>
            </w:r>
          </w:p>
          <w:p>
            <w:pPr>
              <w:pStyle w:val="null3"/>
              <w:ind w:firstLine="720"/>
              <w:jc w:val="both"/>
            </w:pPr>
            <w:r>
              <w:rPr>
                <w:rFonts w:ascii="仿宋_GB2312" w:hAnsi="仿宋_GB2312" w:cs="仿宋_GB2312" w:eastAsia="仿宋_GB2312"/>
                <w:sz w:val="24"/>
              </w:rPr>
              <w:t>服务期限：从合同签订之日起至服务完成，工期</w:t>
            </w:r>
            <w:r>
              <w:rPr>
                <w:rFonts w:ascii="仿宋_GB2312" w:hAnsi="仿宋_GB2312" w:cs="仿宋_GB2312" w:eastAsia="仿宋_GB2312"/>
                <w:sz w:val="24"/>
              </w:rPr>
              <w:t>6个月。</w:t>
            </w:r>
          </w:p>
          <w:p>
            <w:pPr>
              <w:pStyle w:val="null3"/>
              <w:ind w:firstLine="720"/>
              <w:jc w:val="both"/>
            </w:pPr>
            <w:r>
              <w:rPr>
                <w:rFonts w:ascii="仿宋_GB2312" w:hAnsi="仿宋_GB2312" w:cs="仿宋_GB2312" w:eastAsia="仿宋_GB2312"/>
                <w:sz w:val="24"/>
              </w:rPr>
              <w:t>（二）款项结算</w:t>
            </w:r>
          </w:p>
          <w:p>
            <w:pPr>
              <w:pStyle w:val="null3"/>
              <w:numPr>
                <w:ilvl w:val="0"/>
                <w:numId w:val="1"/>
              </w:numPr>
              <w:jc w:val="both"/>
            </w:pPr>
            <w:r>
              <w:rPr>
                <w:rFonts w:ascii="仿宋_GB2312" w:hAnsi="仿宋_GB2312" w:cs="仿宋_GB2312" w:eastAsia="仿宋_GB2312"/>
                <w:sz w:val="24"/>
              </w:rPr>
              <w:t>合同签订完成后，按照签约合同价的</w:t>
            </w:r>
            <w:r>
              <w:rPr>
                <w:rFonts w:ascii="仿宋_GB2312" w:hAnsi="仿宋_GB2312" w:cs="仿宋_GB2312" w:eastAsia="仿宋_GB2312"/>
                <w:sz w:val="24"/>
              </w:rPr>
              <w:t>40%作为预</w:t>
            </w:r>
            <w:r>
              <w:rPr>
                <w:rFonts w:ascii="仿宋_GB2312" w:hAnsi="仿宋_GB2312" w:cs="仿宋_GB2312" w:eastAsia="仿宋_GB2312"/>
                <w:sz w:val="24"/>
              </w:rPr>
              <w:t>付款支付给供应商；</w:t>
            </w:r>
          </w:p>
          <w:p>
            <w:pPr>
              <w:pStyle w:val="null3"/>
              <w:numPr>
                <w:ilvl w:val="0"/>
                <w:numId w:val="1"/>
              </w:numPr>
              <w:jc w:val="both"/>
            </w:pPr>
            <w:r>
              <w:rPr>
                <w:rFonts w:ascii="仿宋_GB2312" w:hAnsi="仿宋_GB2312" w:cs="仿宋_GB2312" w:eastAsia="仿宋_GB2312"/>
                <w:sz w:val="24"/>
              </w:rPr>
              <w:t>竣工验收合格后，支付剩余款项。</w:t>
            </w:r>
          </w:p>
          <w:p>
            <w:pPr>
              <w:pStyle w:val="null3"/>
              <w:ind w:firstLine="482"/>
              <w:jc w:val="both"/>
            </w:pPr>
            <w:r>
              <w:rPr>
                <w:rFonts w:ascii="仿宋_GB2312" w:hAnsi="仿宋_GB2312" w:cs="仿宋_GB2312" w:eastAsia="仿宋_GB2312"/>
                <w:sz w:val="24"/>
                <w:b/>
              </w:rPr>
              <w:t>七</w:t>
            </w:r>
            <w:r>
              <w:rPr>
                <w:rFonts w:ascii="仿宋_GB2312" w:hAnsi="仿宋_GB2312" w:cs="仿宋_GB2312" w:eastAsia="仿宋_GB2312"/>
                <w:sz w:val="24"/>
                <w:b/>
              </w:rPr>
              <w:t>、其他（如有要求，请写明）</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进度要求</w:t>
            </w:r>
          </w:p>
          <w:p>
            <w:pPr>
              <w:pStyle w:val="null3"/>
              <w:ind w:firstLine="480"/>
              <w:jc w:val="both"/>
            </w:pPr>
            <w:r>
              <w:rPr>
                <w:rFonts w:ascii="仿宋_GB2312" w:hAnsi="仿宋_GB2312" w:cs="仿宋_GB2312" w:eastAsia="仿宋_GB2312"/>
                <w:sz w:val="24"/>
              </w:rPr>
              <w:t>合同生效后</w:t>
            </w:r>
            <w:r>
              <w:rPr>
                <w:rFonts w:ascii="仿宋_GB2312" w:hAnsi="仿宋_GB2312" w:cs="仿宋_GB2312" w:eastAsia="仿宋_GB2312"/>
                <w:sz w:val="24"/>
              </w:rPr>
              <w:t>180天</w:t>
            </w:r>
            <w:r>
              <w:rPr>
                <w:rFonts w:ascii="仿宋_GB2312" w:hAnsi="仿宋_GB2312" w:cs="仿宋_GB2312" w:eastAsia="仿宋_GB2312"/>
                <w:sz w:val="24"/>
              </w:rPr>
              <w:t>内</w:t>
            </w:r>
            <w:r>
              <w:rPr>
                <w:rFonts w:ascii="仿宋_GB2312" w:hAnsi="仿宋_GB2312" w:cs="仿宋_GB2312" w:eastAsia="仿宋_GB2312"/>
                <w:sz w:val="24"/>
              </w:rPr>
              <w:t>完成全流程服务，项目实施遵循</w:t>
            </w:r>
            <w:r>
              <w:rPr>
                <w:rFonts w:ascii="仿宋_GB2312" w:hAnsi="仿宋_GB2312" w:cs="仿宋_GB2312" w:eastAsia="仿宋_GB2312"/>
                <w:sz w:val="24"/>
              </w:rPr>
              <w:t>“谁使用、谁负责、谁清查”和“以账查物、以物对账、不重不漏”的实施原则进行，</w:t>
            </w:r>
            <w:r>
              <w:rPr>
                <w:rFonts w:ascii="仿宋_GB2312" w:hAnsi="仿宋_GB2312" w:cs="仿宋_GB2312" w:eastAsia="仿宋_GB2312"/>
                <w:sz w:val="24"/>
              </w:rPr>
              <w:t>需按照准备阶段、实施阶段、汇总阶段等分步详细制定时间表和任务书。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）成果交付要求</w:t>
            </w:r>
          </w:p>
          <w:p>
            <w:pPr>
              <w:pStyle w:val="null3"/>
              <w:ind w:firstLine="480"/>
              <w:jc w:val="both"/>
            </w:pPr>
            <w:r>
              <w:rPr>
                <w:rFonts w:ascii="仿宋_GB2312" w:hAnsi="仿宋_GB2312" w:cs="仿宋_GB2312" w:eastAsia="仿宋_GB2312"/>
                <w:sz w:val="24"/>
              </w:rPr>
              <w:t>1、实现账账、账实、账卡相符，确保资产信息的准确性与一致性。</w:t>
            </w:r>
          </w:p>
          <w:p>
            <w:pPr>
              <w:pStyle w:val="null3"/>
              <w:ind w:firstLine="480"/>
              <w:jc w:val="both"/>
            </w:pPr>
            <w:r>
              <w:rPr>
                <w:rFonts w:ascii="仿宋_GB2312" w:hAnsi="仿宋_GB2312" w:cs="仿宋_GB2312" w:eastAsia="仿宋_GB2312"/>
                <w:sz w:val="24"/>
              </w:rPr>
              <w:t>2、资产系统数据达到完整、准确、规范的标准，为资产管理提供可靠的数据支持。</w:t>
            </w:r>
          </w:p>
          <w:p>
            <w:pPr>
              <w:pStyle w:val="null3"/>
              <w:ind w:firstLine="480"/>
              <w:jc w:val="both"/>
            </w:pPr>
            <w:r>
              <w:rPr>
                <w:rFonts w:ascii="仿宋_GB2312" w:hAnsi="仿宋_GB2312" w:cs="仿宋_GB2312" w:eastAsia="仿宋_GB2312"/>
                <w:sz w:val="24"/>
              </w:rPr>
              <w:t>3、所有资产均完成逐一赋码并张贴资产大卡，构建完善的资产标识与管理体系。</w:t>
            </w:r>
          </w:p>
          <w:p>
            <w:pPr>
              <w:pStyle w:val="null3"/>
              <w:ind w:firstLine="480"/>
              <w:jc w:val="both"/>
            </w:pPr>
            <w:r>
              <w:rPr>
                <w:rFonts w:ascii="仿宋_GB2312" w:hAnsi="仿宋_GB2312" w:cs="仿宋_GB2312" w:eastAsia="仿宋_GB2312"/>
                <w:sz w:val="24"/>
              </w:rPr>
              <w:t>4、项目完结后，供应商需提供部门实物表、实物总表、账实相符表、盘亏表、盘盈表、待报废资产表、个人使用资产签字表、资产情况分析表等详细的各类资产数据及报表，全面呈现项目清查成果。</w:t>
            </w:r>
          </w:p>
          <w:p>
            <w:pPr>
              <w:pStyle w:val="null3"/>
              <w:ind w:firstLine="480"/>
              <w:jc w:val="both"/>
            </w:pPr>
            <w:r>
              <w:rPr>
                <w:rFonts w:ascii="仿宋_GB2312" w:hAnsi="仿宋_GB2312" w:cs="仿宋_GB2312" w:eastAsia="仿宋_GB2312"/>
                <w:sz w:val="24"/>
              </w:rPr>
              <w:t>5、提交固定资产清查后的文字报告，清晰、详尽地记录本年度资产清查工作从立项、实施到验收的全过程，内容涵盖资产账实相符、盘亏、盘盈、毁损、闲置、处置计划等关键信息。</w:t>
            </w:r>
          </w:p>
          <w:p>
            <w:pPr>
              <w:pStyle w:val="null3"/>
              <w:ind w:firstLine="480"/>
              <w:jc w:val="both"/>
            </w:pPr>
            <w:r>
              <w:rPr>
                <w:rFonts w:ascii="仿宋_GB2312" w:hAnsi="仿宋_GB2312" w:cs="仿宋_GB2312" w:eastAsia="仿宋_GB2312"/>
                <w:sz w:val="24"/>
              </w:rPr>
              <w:t>6、结合固定资产清查结果，提出具有针对性、可操作性的改进建议，建立并完善相应的管理制度，为学院资产管理工作的持续优化提供有力保障。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现行国家</w:t>
            </w:r>
            <w:r>
              <w:rPr>
                <w:rFonts w:ascii="仿宋_GB2312" w:hAnsi="仿宋_GB2312" w:cs="仿宋_GB2312" w:eastAsia="仿宋_GB2312"/>
                <w:sz w:val="24"/>
              </w:rPr>
              <w:t>有关</w:t>
            </w:r>
            <w:r>
              <w:rPr>
                <w:rFonts w:ascii="仿宋_GB2312" w:hAnsi="仿宋_GB2312" w:cs="仿宋_GB2312" w:eastAsia="仿宋_GB2312"/>
                <w:sz w:val="24"/>
              </w:rPr>
              <w:t>法律、法规、规章制度等；</w:t>
            </w:r>
          </w:p>
          <w:p>
            <w:pPr>
              <w:pStyle w:val="null3"/>
              <w:ind w:firstLine="480"/>
              <w:jc w:val="both"/>
            </w:pPr>
            <w:r>
              <w:rPr>
                <w:rFonts w:ascii="仿宋_GB2312" w:hAnsi="仿宋_GB2312" w:cs="仿宋_GB2312" w:eastAsia="仿宋_GB2312"/>
                <w:sz w:val="24"/>
              </w:rPr>
              <w:t>2、现行</w:t>
            </w:r>
            <w:r>
              <w:rPr>
                <w:rFonts w:ascii="仿宋_GB2312" w:hAnsi="仿宋_GB2312" w:cs="仿宋_GB2312" w:eastAsia="仿宋_GB2312"/>
                <w:sz w:val="24"/>
              </w:rPr>
              <w:t>行业标准；</w:t>
            </w:r>
          </w:p>
          <w:p>
            <w:pPr>
              <w:pStyle w:val="null3"/>
              <w:ind w:firstLine="480"/>
              <w:jc w:val="both"/>
            </w:pPr>
            <w:r>
              <w:rPr>
                <w:rFonts w:ascii="仿宋_GB2312" w:hAnsi="仿宋_GB2312" w:cs="仿宋_GB2312" w:eastAsia="仿宋_GB2312"/>
                <w:sz w:val="24"/>
              </w:rPr>
              <w:t>3、本项目服务合同；</w:t>
            </w:r>
          </w:p>
          <w:p>
            <w:pPr>
              <w:pStyle w:val="null3"/>
              <w:ind w:firstLine="480"/>
              <w:jc w:val="both"/>
            </w:pPr>
            <w:r>
              <w:rPr>
                <w:rFonts w:ascii="仿宋_GB2312" w:hAnsi="仿宋_GB2312" w:cs="仿宋_GB2312" w:eastAsia="仿宋_GB2312"/>
                <w:sz w:val="24"/>
              </w:rPr>
              <w:t>4、双方协商一致并经有关部门批准的变更文件。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未按招标文件、合同中要求的</w:t>
            </w:r>
            <w:r>
              <w:rPr>
                <w:rFonts w:ascii="仿宋_GB2312" w:hAnsi="仿宋_GB2312" w:cs="仿宋_GB2312" w:eastAsia="仿宋_GB2312"/>
                <w:sz w:val="24"/>
              </w:rPr>
              <w:t>标准</w:t>
            </w:r>
            <w:r>
              <w:rPr>
                <w:rFonts w:ascii="仿宋_GB2312" w:hAnsi="仿宋_GB2312" w:cs="仿宋_GB2312" w:eastAsia="仿宋_GB2312"/>
                <w:sz w:val="24"/>
              </w:rPr>
              <w:t>提供</w:t>
            </w:r>
            <w:r>
              <w:rPr>
                <w:rFonts w:ascii="仿宋_GB2312" w:hAnsi="仿宋_GB2312" w:cs="仿宋_GB2312" w:eastAsia="仿宋_GB2312"/>
                <w:sz w:val="24"/>
              </w:rPr>
              <w:t>服务或</w:t>
            </w:r>
            <w:r>
              <w:rPr>
                <w:rFonts w:ascii="仿宋_GB2312" w:hAnsi="仿宋_GB2312" w:cs="仿宋_GB2312" w:eastAsia="仿宋_GB2312"/>
                <w:sz w:val="24"/>
              </w:rPr>
              <w:t>标准不能满足</w:t>
            </w:r>
            <w:r>
              <w:rPr>
                <w:rFonts w:ascii="仿宋_GB2312" w:hAnsi="仿宋_GB2312" w:cs="仿宋_GB2312" w:eastAsia="仿宋_GB2312"/>
                <w:sz w:val="24"/>
              </w:rPr>
              <w:t>政策要</w:t>
            </w:r>
            <w:r>
              <w:rPr>
                <w:rFonts w:ascii="仿宋_GB2312" w:hAnsi="仿宋_GB2312" w:cs="仿宋_GB2312" w:eastAsia="仿宋_GB2312"/>
                <w:sz w:val="24"/>
              </w:rPr>
              <w:t>求的，</w:t>
            </w:r>
            <w:r>
              <w:rPr>
                <w:rFonts w:ascii="仿宋_GB2312" w:hAnsi="仿宋_GB2312" w:cs="仿宋_GB2312" w:eastAsia="仿宋_GB2312"/>
                <w:sz w:val="24"/>
              </w:rPr>
              <w:t>服务</w:t>
            </w:r>
            <w:r>
              <w:rPr>
                <w:rFonts w:ascii="仿宋_GB2312" w:hAnsi="仿宋_GB2312" w:cs="仿宋_GB2312" w:eastAsia="仿宋_GB2312"/>
                <w:sz w:val="24"/>
              </w:rPr>
              <w:t>方必须无条件</w:t>
            </w:r>
            <w:r>
              <w:rPr>
                <w:rFonts w:ascii="仿宋_GB2312" w:hAnsi="仿宋_GB2312" w:cs="仿宋_GB2312" w:eastAsia="仿宋_GB2312"/>
                <w:sz w:val="24"/>
              </w:rPr>
              <w:t>改正</w:t>
            </w:r>
            <w:r>
              <w:rPr>
                <w:rFonts w:ascii="仿宋_GB2312" w:hAnsi="仿宋_GB2312" w:cs="仿宋_GB2312" w:eastAsia="仿宋_GB2312"/>
                <w:sz w:val="24"/>
              </w:rPr>
              <w:t>，否则，采购人有权终止合同，并对</w:t>
            </w:r>
            <w:r>
              <w:rPr>
                <w:rFonts w:ascii="仿宋_GB2312" w:hAnsi="仿宋_GB2312" w:cs="仿宋_GB2312" w:eastAsia="仿宋_GB2312"/>
                <w:sz w:val="24"/>
              </w:rPr>
              <w:t>供应</w:t>
            </w:r>
            <w:r>
              <w:rPr>
                <w:rFonts w:ascii="仿宋_GB2312" w:hAnsi="仿宋_GB2312" w:cs="仿宋_GB2312" w:eastAsia="仿宋_GB2312"/>
                <w:sz w:val="24"/>
              </w:rPr>
              <w:t>方的违约行为报监管机构进行相应的处罚。</w:t>
            </w:r>
          </w:p>
          <w:p>
            <w:pPr>
              <w:pStyle w:val="null3"/>
              <w:ind w:firstLine="480"/>
              <w:jc w:val="both"/>
            </w:pPr>
            <w:r>
              <w:rPr>
                <w:rFonts w:ascii="仿宋_GB2312" w:hAnsi="仿宋_GB2312" w:cs="仿宋_GB2312" w:eastAsia="仿宋_GB2312"/>
                <w:sz w:val="24"/>
              </w:rPr>
              <w:t>2、数据治理达标率低于95%时，按差额比例扣减合同款。</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w:t>
            </w:r>
            <w:r>
              <w:rPr>
                <w:rFonts w:ascii="仿宋_GB2312" w:hAnsi="仿宋_GB2312" w:cs="仿宋_GB2312" w:eastAsia="仿宋_GB2312"/>
                <w:sz w:val="24"/>
              </w:rPr>
              <w:t>方不能按期</w:t>
            </w:r>
            <w:r>
              <w:rPr>
                <w:rFonts w:ascii="仿宋_GB2312" w:hAnsi="仿宋_GB2312" w:cs="仿宋_GB2312" w:eastAsia="仿宋_GB2312"/>
                <w:sz w:val="24"/>
              </w:rPr>
              <w:t>完成服务内容</w:t>
            </w:r>
            <w:r>
              <w:rPr>
                <w:rFonts w:ascii="仿宋_GB2312" w:hAnsi="仿宋_GB2312" w:cs="仿宋_GB2312" w:eastAsia="仿宋_GB2312"/>
                <w:sz w:val="24"/>
              </w:rPr>
              <w:t>的，每逾期一日应向项目单位支付合同总价款万分之一的违约金，给采购人造成损失的，应予以赔偿。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附加条件</w:t>
            </w:r>
          </w:p>
          <w:p>
            <w:pPr>
              <w:pStyle w:val="null3"/>
              <w:ind w:firstLine="480"/>
              <w:jc w:val="both"/>
            </w:pPr>
            <w:r>
              <w:rPr>
                <w:rFonts w:ascii="仿宋_GB2312" w:hAnsi="仿宋_GB2312" w:cs="仿宋_GB2312" w:eastAsia="仿宋_GB2312"/>
                <w:sz w:val="24"/>
              </w:rPr>
              <w:t>1、保密条款</w:t>
            </w:r>
          </w:p>
          <w:p>
            <w:pPr>
              <w:pStyle w:val="null3"/>
              <w:ind w:firstLine="480"/>
              <w:jc w:val="both"/>
            </w:pPr>
            <w:r>
              <w:rPr>
                <w:rFonts w:ascii="仿宋_GB2312" w:hAnsi="仿宋_GB2312" w:cs="仿宋_GB2312" w:eastAsia="仿宋_GB2312"/>
                <w:sz w:val="24"/>
              </w:rPr>
              <w:t>供应商在提供服务过程中获悉的甲方秘密应无条件保守，因泄密造成甲方损失的，一切责任由供应商承担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2、知识转移</w:t>
            </w:r>
          </w:p>
          <w:p>
            <w:pPr>
              <w:pStyle w:val="null3"/>
              <w:spacing w:before="120" w:after="120"/>
              <w:jc w:val="left"/>
              <w:outlineLvl w:val="0"/>
            </w:pPr>
            <w:r>
              <w:rPr>
                <w:rFonts w:ascii="仿宋_GB2312" w:hAnsi="仿宋_GB2312" w:cs="仿宋_GB2312" w:eastAsia="仿宋_GB2312"/>
                <w:sz w:val="24"/>
                <w:b/>
              </w:rPr>
              <w:t>组织不少于</w:t>
            </w:r>
            <w:r>
              <w:rPr>
                <w:rFonts w:ascii="仿宋_GB2312" w:hAnsi="仿宋_GB2312" w:cs="仿宋_GB2312" w:eastAsia="仿宋_GB2312"/>
                <w:sz w:val="24"/>
                <w:b/>
              </w:rPr>
              <w:t>24课时的资产管理培训，交付定制化《资产管理工作手册》，提供久其资产管理系统三年期系统运维支持服务。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从合同签订之日起至服务完成，工期6个月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合同签订完成后，按照签约合同价的40%作为预付款支付给供应商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法定代表人证明书与法定代表人授权书.docx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项目分项报价表.docx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完全理解并接受对合格供应商、合格的服务要求。</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完全满足、响应磋商文件要求，没有负偏离的得10分，每偏离一项扣0.5分，扣完为止。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具有规范的服务体系和工作流程，针对采购人的招标要求，制订切实可行的整体资产清查及数据治理服务方案（包括但不限于组织、协调、执行等）。 评审专家根据（1.完整性：方案必须全面，对评审内容中的各项要求有详细描述；2.可实施性：切合本项目实际情况，提出步骤清晰、合理的方案；3.针对性：方案能够紧扣项目实际情况，内容科学合理。）进行赋分，根据对每项评审依据的响应程度赋0.1-5分，共15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供应商须提供针对本项目的保密制度及措施，有完善的保密机制或具备保密能力的证明（可提供相关保密资格证书），确保信息数据不外泄。 完全满足采购需求，计5分； 基本满足采购需求，计3分； 内容简略，不利于项目实施，计1-2分； 未提供或与采购内容不符0分。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针对项目实施过程中存在的难点、重点分析透彻、提供达到预期效果的解决措施及相应处理方案。 方案合理全面、可行性高计5分；方案基本全面、可行性一般计3分；方案内容简略，不利于项目实施，计1-2分；未提供不计分。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针对本项目提供拟投入的设备清单，评审专家根据设备响应情况进行赋分； 设备清单完整，证名材料齐全，并附有设备图片，满足本次采购需求计10分； 设备清单基本完整，证名材料基本齐全，并附有设备图片，基本满足本次采购需求计8分； 设备清单不完整，不能满足本次采购需求计1-6分； 不提供不计分。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项目分项报价表.docx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针对本项目配备满足采购人需求的专业团队，并提供拟配服务人员的简历介绍(包含但不限于人员基本信息、相关资格证书和经验等)。 人员数量完全满足项目需求、团队人员经验丰富，简历清晰信息完整计7.1-10分；人员数量基本满足项目需求、简历清晰信息基本完整计3.1-7分；人员数量能够满足项目需求、但简历信息不完善的计0.1-3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供应商针对本项目提供完整、具体可行的质量保障措施。 结合本项目要求阐述服务质量保障措施。服务质量的保障措施科学合理、具体可行计10分； 保障措施基本合理计7分； 保障措施简单、不太利于项目实施计0.1-5分；未提供不计分。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针对本项目提供完整、具体可行的进度保障措施。 结合本项目要求，阐述服务时效及进度的保障措施，时间进度安排合理、可行，完全满足采购要求计10分； 阐述服务时效及进度的保障措施，时间进度安排合理、可行，基本满足采购要 求计7分； 措施简单，不利于项目实施计0.1-5分；未提供不计分。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供应商提供2022年1月1日至今承接过的类似项目业绩，以合同复印件加盖公章为准，每提供一份计1分，满分10分，未提供不计分。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针对本项目资产管理培训的方案（含：①培训计划和内容；②培训师资安排；③培训时间和效果）进行综合评审，以上3项内容为专门针对本项目编制，完全符合本项目实际情况，能够完全保障项目顺利实施的得5分，每有一项内容缺项或不满足需求或与项目无关或有缺陷扣1-2分；扣完为止。 说明：缺陷指：时间错误；地点错误；技术标准错误；措施方法错误；责任主体错误；含有采购人不能接受的内容；仅提供标题或仅提供抽象原理描述；内容夸大其词且无法实施；抄袭其它方案内容；方案内容明显与本项目无关。</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详见附件：项目分项报价表.docx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