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版本号：LZBB2025-60620250508003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眼科飞秒激光白内障手术系统飞秒激光工作站维保1年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LZBB2025-606</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眼科飞秒激光白内障手术系统飞秒激光工作站维保1年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LZBB2025-606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眼科飞秒激光白内障手术系统飞秒激光工作站维保1年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本项目拟对西安市第一医院眼科飞秒激光白内障手术系统飞秒激光工作站维保1年进行采购，具体详见采购文件。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供应商在本项目磋商响应文件递交截止时间前六个月内任意一个月的税收缴纳凭证。依法免税的供应商，应提供相应文件证明其依法免税，供应商需在项目电子化交易系统中按要求上传相应证明文件并进行电子签章</w:t>
      </w:r>
    </w:p>
    <w:p>
      <w:pPr>
        <w:pStyle w:val="null3"/>
      </w:pPr>
      <w:r>
        <w:rPr>
          <w:rFonts w:ascii="仿宋_GB2312" w:hAnsi="仿宋_GB2312" w:cs="仿宋_GB2312" w:eastAsia="仿宋_GB2312"/>
        </w:rPr>
        <w:t>3、社会保险缴纳的凭证：供应商在本项目磋商响应文件递交截止时间前六个月内任意一个月的社会保险缴纳的凭证。依法不需要缴纳社会保障资金的供应商，应提供相应文件证明其依法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7、医疗器械经营许可证或医疗器械经营备案凭证：供应商须符合《医疗器械监督管理条例》要求，纳入医疗器械管理的提供医疗器械经营许可证或医疗器械经营备案凭证；</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授权委托书：被授权人参与投标时须提供法定代表人授权书、被授权人身份证及开标截止前连续三个月社会保险缴纳证明；法定代表人直接参加投标的须提供其法定代表人身份证明，供应商需在项目电子化交易系统中按要求上传相应证明文件并进行电子签章</w:t>
      </w:r>
    </w:p>
    <w:p>
      <w:pPr>
        <w:pStyle w:val="null3"/>
      </w:pPr>
      <w:r>
        <w:rPr>
          <w:rFonts w:ascii="仿宋_GB2312" w:hAnsi="仿宋_GB2312" w:cs="仿宋_GB2312" w:eastAsia="仿宋_GB2312"/>
        </w:rPr>
        <w:t>10、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供应商需在项目电子化交易系统中按要求上传相应承诺函并进行电子签章</w:t>
      </w:r>
    </w:p>
    <w:p>
      <w:pPr>
        <w:pStyle w:val="null3"/>
      </w:pPr>
      <w:r>
        <w:rPr>
          <w:rFonts w:ascii="仿宋_GB2312" w:hAnsi="仿宋_GB2312" w:cs="仿宋_GB2312" w:eastAsia="仿宋_GB2312"/>
        </w:rPr>
        <w:t>11、供应商与采购人关联关系：本项目不接受由西安市第一医院职工及其亲属投资开办的企业参加本单位的政府采购活动（提供承诺函），供应商需在项目电子化交易系统中按要求上传相应承诺函并进行电子签章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王万里、王飞、张波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服务类标准计取。2、成交单位在领取成交通知书之前，须向代理机构支付招标代理服务费。3、招标代理服务费以转账或现金形式缴纳至以下账户： 开户名称：龙寰项目管理咨询有限公司，开户银行：平安银行西安高新路支行，账 号：30201278016637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联系人：王万里</w:t>
      </w:r>
    </w:p>
    <w:p>
      <w:pPr>
        <w:pStyle w:val="null3"/>
      </w:pPr>
      <w:r>
        <w:rPr>
          <w:rFonts w:ascii="仿宋_GB2312" w:hAnsi="仿宋_GB2312" w:cs="仿宋_GB2312" w:eastAsia="仿宋_GB2312"/>
        </w:rPr>
        <w:t>联系电话：029-88228899-626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本项目拟对西安市第一医院眼科飞秒激光白内障手术系统飞秒激光工作站维保1年进行采购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眼科飞秒激光白内障手术系统飞秒激光工作站维保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标的名称：眼科飞秒激光白内障手术系统飞秒激光工作站维保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一、采购内容：</w:t>
            </w:r>
          </w:p>
          <w:p>
            <w:pPr>
              <w:pStyle w:val="null3"/>
            </w:pPr>
            <w:r>
              <w:rPr>
                <w:rFonts w:ascii="仿宋_GB2312" w:hAnsi="仿宋_GB2312" w:cs="仿宋_GB2312" w:eastAsia="仿宋_GB2312"/>
                <w:sz w:val="20"/>
              </w:rPr>
              <w:t>眼科飞秒激光白内障手术系统飞秒激光工作站</w:t>
            </w:r>
            <w:r>
              <w:rPr>
                <w:rFonts w:ascii="仿宋_GB2312" w:hAnsi="仿宋_GB2312" w:cs="仿宋_GB2312" w:eastAsia="仿宋_GB2312"/>
                <w:sz w:val="20"/>
              </w:rPr>
              <w:t>（</w:t>
            </w:r>
            <w:r>
              <w:rPr>
                <w:rFonts w:ascii="仿宋_GB2312" w:hAnsi="仿宋_GB2312" w:cs="仿宋_GB2312" w:eastAsia="仿宋_GB2312"/>
                <w:sz w:val="20"/>
              </w:rPr>
              <w:t>VICTUS</w:t>
            </w:r>
            <w:r>
              <w:rPr>
                <w:rFonts w:ascii="仿宋_GB2312" w:hAnsi="仿宋_GB2312" w:cs="仿宋_GB2312" w:eastAsia="仿宋_GB2312"/>
                <w:sz w:val="20"/>
              </w:rPr>
              <w:t>）</w:t>
            </w:r>
            <w:r>
              <w:rPr>
                <w:rFonts w:ascii="仿宋_GB2312" w:hAnsi="仿宋_GB2312" w:cs="仿宋_GB2312" w:eastAsia="仿宋_GB2312"/>
                <w:sz w:val="20"/>
              </w:rPr>
              <w:t>购买</w:t>
            </w:r>
            <w:r>
              <w:rPr>
                <w:rFonts w:ascii="仿宋_GB2312" w:hAnsi="仿宋_GB2312" w:cs="仿宋_GB2312" w:eastAsia="仿宋_GB2312"/>
                <w:sz w:val="20"/>
              </w:rPr>
              <w:t>1年维保服务。本项目采购预算45万元，最高限价42万元。</w:t>
            </w:r>
          </w:p>
          <w:p>
            <w:pPr>
              <w:pStyle w:val="null3"/>
            </w:pPr>
            <w:r>
              <w:rPr>
                <w:rFonts w:ascii="仿宋_GB2312" w:hAnsi="仿宋_GB2312" w:cs="仿宋_GB2312" w:eastAsia="仿宋_GB2312"/>
                <w:sz w:val="20"/>
              </w:rPr>
              <w:t>二、技术要求：</w:t>
            </w:r>
          </w:p>
          <w:p>
            <w:pPr>
              <w:pStyle w:val="null3"/>
            </w:pPr>
            <w:r>
              <w:rPr>
                <w:rFonts w:ascii="仿宋_GB2312" w:hAnsi="仿宋_GB2312" w:cs="仿宋_GB2312" w:eastAsia="仿宋_GB2312"/>
                <w:sz w:val="20"/>
              </w:rPr>
              <w:t>1、眼科飞秒激光白内障手术系统及飞秒激光工作站为整体全包维修（</w:t>
            </w:r>
            <w:r>
              <w:rPr>
                <w:rFonts w:ascii="仿宋_GB2312" w:hAnsi="仿宋_GB2312" w:cs="仿宋_GB2312" w:eastAsia="仿宋_GB2312"/>
                <w:sz w:val="20"/>
              </w:rPr>
              <w:t>含</w:t>
            </w:r>
            <w:r>
              <w:rPr>
                <w:rFonts w:ascii="仿宋_GB2312" w:hAnsi="仿宋_GB2312" w:cs="仿宋_GB2312" w:eastAsia="仿宋_GB2312"/>
                <w:sz w:val="20"/>
              </w:rPr>
              <w:t>所有更换配</w:t>
            </w:r>
            <w:r>
              <w:rPr>
                <w:rFonts w:ascii="仿宋_GB2312" w:hAnsi="仿宋_GB2312" w:cs="仿宋_GB2312" w:eastAsia="仿宋_GB2312"/>
                <w:sz w:val="20"/>
              </w:rPr>
              <w:t>件</w:t>
            </w:r>
            <w:r>
              <w:rPr>
                <w:rFonts w:ascii="仿宋_GB2312" w:hAnsi="仿宋_GB2312" w:cs="仿宋_GB2312" w:eastAsia="仿宋_GB2312"/>
                <w:sz w:val="20"/>
              </w:rPr>
              <w:t>，</w:t>
            </w:r>
            <w:r>
              <w:rPr>
                <w:rFonts w:ascii="仿宋_GB2312" w:hAnsi="仿宋_GB2312" w:cs="仿宋_GB2312" w:eastAsia="仿宋_GB2312"/>
                <w:sz w:val="20"/>
              </w:rPr>
              <w:t>软件升级</w:t>
            </w:r>
            <w:r>
              <w:rPr>
                <w:rFonts w:ascii="仿宋_GB2312" w:hAnsi="仿宋_GB2312" w:cs="仿宋_GB2312" w:eastAsia="仿宋_GB2312"/>
                <w:sz w:val="20"/>
              </w:rPr>
              <w:t>及人工费等</w:t>
            </w:r>
            <w:r>
              <w:rPr>
                <w:rFonts w:ascii="仿宋_GB2312" w:hAnsi="仿宋_GB2312" w:cs="仿宋_GB2312" w:eastAsia="仿宋_GB2312"/>
                <w:sz w:val="20"/>
              </w:rPr>
              <w:t>。配件必须为原厂</w:t>
            </w:r>
            <w:r>
              <w:rPr>
                <w:rFonts w:ascii="仿宋_GB2312" w:hAnsi="仿宋_GB2312" w:cs="仿宋_GB2312" w:eastAsia="仿宋_GB2312"/>
                <w:sz w:val="20"/>
              </w:rPr>
              <w:t>全新</w:t>
            </w:r>
            <w:r>
              <w:rPr>
                <w:rFonts w:ascii="仿宋_GB2312" w:hAnsi="仿宋_GB2312" w:cs="仿宋_GB2312" w:eastAsia="仿宋_GB2312"/>
                <w:sz w:val="20"/>
              </w:rPr>
              <w:t>配件。进口配件需提供报关单）。</w:t>
            </w:r>
          </w:p>
          <w:p>
            <w:pPr>
              <w:pStyle w:val="null3"/>
            </w:pPr>
            <w:r>
              <w:rPr>
                <w:rFonts w:ascii="仿宋_GB2312" w:hAnsi="仿宋_GB2312" w:cs="仿宋_GB2312" w:eastAsia="仿宋_GB2312"/>
                <w:sz w:val="20"/>
              </w:rPr>
              <w:t>2、具有原厂培训工程师维修资质的人数≥2人。</w:t>
            </w:r>
          </w:p>
          <w:p>
            <w:pPr>
              <w:pStyle w:val="null3"/>
            </w:pPr>
            <w:r>
              <w:rPr>
                <w:rFonts w:ascii="仿宋_GB2312" w:hAnsi="仿宋_GB2312" w:cs="仿宋_GB2312" w:eastAsia="仿宋_GB2312"/>
                <w:sz w:val="20"/>
              </w:rPr>
              <w:t>3、定期保养：每年至少对保修设备进行≥2次全面的检查检修，≥4次普通巡回维护，检查维护服务包括：外观清洁、系统常规清洗、性能测试及校准、机械或电气的检査、非紧急性质的补救性维修等。</w:t>
            </w:r>
            <w:r>
              <w:rPr>
                <w:rFonts w:ascii="仿宋_GB2312" w:hAnsi="仿宋_GB2312" w:cs="仿宋_GB2312" w:eastAsia="仿宋_GB2312"/>
                <w:sz w:val="20"/>
              </w:rPr>
              <w:t>开机率</w:t>
            </w:r>
            <w:r>
              <w:rPr>
                <w:rFonts w:ascii="仿宋_GB2312" w:hAnsi="仿宋_GB2312" w:cs="仿宋_GB2312" w:eastAsia="仿宋_GB2312"/>
                <w:sz w:val="20"/>
              </w:rPr>
              <w:t>≥96%。</w:t>
            </w:r>
            <w:r>
              <w:rPr>
                <w:rFonts w:ascii="仿宋_GB2312" w:hAnsi="仿宋_GB2312" w:cs="仿宋_GB2312" w:eastAsia="仿宋_GB2312"/>
                <w:sz w:val="20"/>
              </w:rPr>
              <w:t>单次维修</w:t>
            </w:r>
            <w:r>
              <w:rPr>
                <w:rFonts w:ascii="仿宋_GB2312" w:hAnsi="仿宋_GB2312" w:cs="仿宋_GB2312" w:eastAsia="仿宋_GB2312"/>
                <w:sz w:val="20"/>
              </w:rPr>
              <w:t>≤72h,</w:t>
            </w:r>
            <w:r>
              <w:rPr>
                <w:rFonts w:ascii="仿宋_GB2312" w:hAnsi="仿宋_GB2312" w:cs="仿宋_GB2312" w:eastAsia="仿宋_GB2312"/>
                <w:sz w:val="20"/>
              </w:rPr>
              <w:t>因供应商的原因，保修每</w:t>
            </w:r>
            <w:r>
              <w:rPr>
                <w:rFonts w:ascii="仿宋_GB2312" w:hAnsi="仿宋_GB2312" w:cs="仿宋_GB2312" w:eastAsia="仿宋_GB2312"/>
                <w:sz w:val="20"/>
              </w:rPr>
              <w:t>延误</w:t>
            </w:r>
            <w:r>
              <w:rPr>
                <w:rFonts w:ascii="仿宋_GB2312" w:hAnsi="仿宋_GB2312" w:cs="仿宋_GB2312" w:eastAsia="仿宋_GB2312"/>
                <w:sz w:val="20"/>
              </w:rPr>
              <w:t>一天，维保期顺延</w:t>
            </w:r>
            <w:r>
              <w:rPr>
                <w:rFonts w:ascii="仿宋_GB2312" w:hAnsi="仿宋_GB2312" w:cs="仿宋_GB2312" w:eastAsia="仿宋_GB2312"/>
                <w:sz w:val="20"/>
              </w:rPr>
              <w:t>5天。</w:t>
            </w:r>
          </w:p>
          <w:p>
            <w:pPr>
              <w:pStyle w:val="null3"/>
            </w:pPr>
            <w:r>
              <w:rPr>
                <w:rFonts w:ascii="仿宋_GB2312" w:hAnsi="仿宋_GB2312" w:cs="仿宋_GB2312" w:eastAsia="仿宋_GB2312"/>
                <w:sz w:val="20"/>
              </w:rPr>
              <w:t>4、现场检修：接到报修信息，</w:t>
            </w:r>
            <w:r>
              <w:rPr>
                <w:rFonts w:ascii="仿宋_GB2312" w:hAnsi="仿宋_GB2312" w:cs="仿宋_GB2312" w:eastAsia="仿宋_GB2312"/>
                <w:sz w:val="20"/>
              </w:rPr>
              <w:t>响应时间</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h</w:t>
            </w:r>
            <w:r>
              <w:rPr>
                <w:rFonts w:ascii="仿宋_GB2312" w:hAnsi="仿宋_GB2312" w:cs="仿宋_GB2312" w:eastAsia="仿宋_GB2312"/>
                <w:sz w:val="20"/>
              </w:rPr>
              <w:t>，</w:t>
            </w:r>
            <w:r>
              <w:rPr>
                <w:rFonts w:ascii="仿宋_GB2312" w:hAnsi="仿宋_GB2312" w:cs="仿宋_GB2312" w:eastAsia="仿宋_GB2312"/>
                <w:sz w:val="20"/>
              </w:rPr>
              <w:t>到达现场</w:t>
            </w:r>
            <w:r>
              <w:rPr>
                <w:rFonts w:ascii="仿宋_GB2312" w:hAnsi="仿宋_GB2312" w:cs="仿宋_GB2312" w:eastAsia="仿宋_GB2312"/>
                <w:sz w:val="20"/>
              </w:rPr>
              <w:t>≤</w:t>
            </w:r>
            <w:r>
              <w:rPr>
                <w:rFonts w:ascii="仿宋_GB2312" w:hAnsi="仿宋_GB2312" w:cs="仿宋_GB2312" w:eastAsia="仿宋_GB2312"/>
                <w:sz w:val="20"/>
              </w:rPr>
              <w:t>48</w:t>
            </w:r>
            <w:r>
              <w:rPr>
                <w:rFonts w:ascii="仿宋_GB2312" w:hAnsi="仿宋_GB2312" w:cs="仿宋_GB2312" w:eastAsia="仿宋_GB2312"/>
                <w:sz w:val="20"/>
              </w:rPr>
              <w:t>h</w:t>
            </w:r>
            <w:r>
              <w:rPr>
                <w:rFonts w:ascii="仿宋_GB2312" w:hAnsi="仿宋_GB2312" w:cs="仿宋_GB2312" w:eastAsia="仿宋_GB2312"/>
                <w:sz w:val="20"/>
              </w:rPr>
              <w:t>，如果保修设备故障较复杂，现场维修不能排除，可提供二次维修或要求将整台保修设备或故障部件运回乙方实验室进行维修，期间产生的所有费用由供应商承担。</w:t>
            </w:r>
          </w:p>
          <w:p>
            <w:pPr>
              <w:pStyle w:val="null3"/>
            </w:pPr>
            <w:r>
              <w:rPr>
                <w:rFonts w:ascii="仿宋_GB2312" w:hAnsi="仿宋_GB2312" w:cs="仿宋_GB2312" w:eastAsia="仿宋_GB2312"/>
                <w:sz w:val="20"/>
              </w:rPr>
              <w:t>5、具有原生产厂家授权。</w:t>
            </w:r>
          </w:p>
          <w:p>
            <w:pPr>
              <w:pStyle w:val="null3"/>
            </w:pPr>
            <w:r>
              <w:rPr>
                <w:rFonts w:ascii="仿宋_GB2312" w:hAnsi="仿宋_GB2312" w:cs="仿宋_GB2312" w:eastAsia="仿宋_GB2312"/>
                <w:sz w:val="20"/>
              </w:rPr>
              <w:t>6、技术咨询：</w:t>
            </w:r>
            <w:r>
              <w:rPr>
                <w:rFonts w:ascii="仿宋_GB2312" w:hAnsi="仿宋_GB2312" w:cs="仿宋_GB2312" w:eastAsia="仿宋_GB2312"/>
                <w:sz w:val="20"/>
              </w:rPr>
              <w:t>负责</w:t>
            </w:r>
            <w:r>
              <w:rPr>
                <w:rFonts w:ascii="仿宋_GB2312" w:hAnsi="仿宋_GB2312" w:cs="仿宋_GB2312" w:eastAsia="仿宋_GB2312"/>
                <w:sz w:val="20"/>
              </w:rPr>
              <w:t>对接维修服务所保设备的技术咨询、人员培训和设备专业的操作使用及注意事项等。</w:t>
            </w:r>
          </w:p>
          <w:p>
            <w:pPr>
              <w:pStyle w:val="null3"/>
            </w:pPr>
            <w:r>
              <w:rPr>
                <w:rFonts w:ascii="仿宋_GB2312" w:hAnsi="仿宋_GB2312" w:cs="仿宋_GB2312" w:eastAsia="仿宋_GB2312"/>
                <w:sz w:val="20"/>
              </w:rPr>
              <w:t>7、服务期满后，须提供相关《维修报告》、《保养报告》、《验收报告》，并装订成册。</w:t>
            </w:r>
          </w:p>
          <w:p>
            <w:pPr>
              <w:pStyle w:val="null3"/>
            </w:pPr>
            <w:r>
              <w:rPr>
                <w:rFonts w:ascii="仿宋_GB2312" w:hAnsi="仿宋_GB2312" w:cs="仿宋_GB2312" w:eastAsia="仿宋_GB2312"/>
                <w:sz w:val="20"/>
              </w:rPr>
              <w:t>三、商务要求：</w:t>
            </w:r>
          </w:p>
          <w:p>
            <w:pPr>
              <w:pStyle w:val="null3"/>
            </w:pPr>
            <w:r>
              <w:rPr>
                <w:rFonts w:ascii="仿宋_GB2312" w:hAnsi="仿宋_GB2312" w:cs="仿宋_GB2312" w:eastAsia="仿宋_GB2312"/>
                <w:sz w:val="20"/>
              </w:rPr>
              <w:t>1.服务期限：自合同签订之日起1年。</w:t>
            </w:r>
          </w:p>
          <w:p>
            <w:pPr>
              <w:pStyle w:val="null3"/>
            </w:pPr>
            <w:r>
              <w:rPr>
                <w:rFonts w:ascii="仿宋_GB2312" w:hAnsi="仿宋_GB2312" w:cs="仿宋_GB2312" w:eastAsia="仿宋_GB2312"/>
                <w:sz w:val="20"/>
              </w:rPr>
              <w:t>2.服务地点：</w:t>
            </w:r>
            <w:r>
              <w:rPr>
                <w:rFonts w:ascii="仿宋_GB2312" w:hAnsi="仿宋_GB2312" w:cs="仿宋_GB2312" w:eastAsia="仿宋_GB2312"/>
                <w:sz w:val="20"/>
              </w:rPr>
              <w:t>采购人</w:t>
            </w:r>
            <w:r>
              <w:rPr>
                <w:rFonts w:ascii="仿宋_GB2312" w:hAnsi="仿宋_GB2312" w:cs="仿宋_GB2312" w:eastAsia="仿宋_GB2312"/>
                <w:sz w:val="20"/>
              </w:rPr>
              <w:t>指定地点。</w:t>
            </w:r>
          </w:p>
          <w:p>
            <w:pPr>
              <w:pStyle w:val="null3"/>
            </w:pPr>
            <w:r>
              <w:rPr>
                <w:rFonts w:ascii="仿宋_GB2312" w:hAnsi="仿宋_GB2312" w:cs="仿宋_GB2312" w:eastAsia="仿宋_GB2312"/>
                <w:sz w:val="20"/>
              </w:rPr>
              <w:t>3.付款方式：合同签订后，甲方收到乙方出具正式发票后30日内向乙方支付合同总金额的50%人民币。剩余合同总额的50%人民币在维保期结束后，若无质量及其他问题，30日内一次性无息支付。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满足项目采购要求配备，具备专项小组。</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合同签订后，甲方收到乙方出具正式发票后30日内向乙方支付合同总金额的50%人民币。</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剩余合同总额的50%人民币在维保期结束后，若无质量及其他问题，30日内一次性无息支付。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同时按《政府采购法》有关处罚条款报监管机构进行相应的处罚。 3、服务期内，每推迟或未提供服务1天，扣合同总价的平均单价（合同总价/服务期=平均单价），并扣合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乙方应按照合同总价的30%承担违约金，若违约金不足以弥补甲方损失的，由乙方另行支付。</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2.本项目非专门面向中小企业采购。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方案响应部分.docx 磋商响应函.docx 开标一览表及报价明细表.docx 供应商认为有必要说明的其他事项（如有）.docx 授权委托书.docx 承诺书.docx 报价表 响应文件封面 相关资格证明资料.docx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依法免税的供应商，应提供相应文件证明其依法免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供应商在本项目磋商响应文件递交截止时间前六个月内任意一个月的社会保险缴纳的凭证。依法不需要缴纳社会保障资金的供应商，应提供相应文件证明其依法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基本开户银行出具的资信证明；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医疗器械经营许可证或医疗器械经营备案凭证</w:t>
            </w:r>
          </w:p>
        </w:tc>
        <w:tc>
          <w:tcPr>
            <w:tcW w:type="dxa" w:w="3322"/>
          </w:tcPr>
          <w:p>
            <w:pPr>
              <w:pStyle w:val="null3"/>
            </w:pPr>
            <w:r>
              <w:rPr>
                <w:rFonts w:ascii="仿宋_GB2312" w:hAnsi="仿宋_GB2312" w:cs="仿宋_GB2312" w:eastAsia="仿宋_GB2312"/>
              </w:rPr>
              <w:t>供应商须符合《医疗器械监督管理条例》要求，纳入医疗器械管理的提供医疗器械经营许可证或医疗器械经营备案凭证；</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方案响应部分.docx 磋商响应函.docx 开标一览表及报价明细表.docx 供应商认为有必要说明的其他事项（如有）.docx 中小企业声明函 授权委托书.docx 承诺书.docx 响应文件封面 相关资格证明资料.docx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三个月社会保险缴纳证明；法定代表人直接参加投标的须提供其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相关资格证明资料.docx 承诺书.docx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本项目不接受由西安市第一医院职工及其亲属投资开办的企业参加本单位的政府采购活动（提供承诺函），供应商需在项目电子化交易系统中按要求上传相应承诺函并进行电子签章</w:t>
            </w:r>
          </w:p>
        </w:tc>
        <w:tc>
          <w:tcPr>
            <w:tcW w:type="dxa" w:w="1661"/>
          </w:tcPr>
          <w:p>
            <w:pPr>
              <w:pStyle w:val="null3"/>
            </w:pPr>
            <w:r>
              <w:rPr>
                <w:rFonts w:ascii="仿宋_GB2312" w:hAnsi="仿宋_GB2312" w:cs="仿宋_GB2312" w:eastAsia="仿宋_GB2312"/>
              </w:rPr>
              <w:t>相关资格证明资料.docx 承诺书.docx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磋商响应函.docx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方案响应部分.docx 磋商响应函.docx 开标一览表及报价明细表.docx 供应商认为有必要说明的其他事项（如有）.docx 授权委托书.docx 承诺书.docx 报价表 响应文件封面 相关资格证明资料.docx 残疾人福利性单位声明函 标的清单 其他资料.docx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方案响应部分.docx 磋商响应函.docx 开标一览表及报价明细表.docx 供应商认为有必要说明的其他事项（如有）.docx 授权委托书.docx 承诺书.docx 报价表 响应文件封面 相关资格证明资料.docx 残疾人福利性单位声明函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开标一览表及报价明细表.docx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开标一览表及报价明细表.docx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根据本项目列出具体的维保服务方案，根据维保服务方案的细致、可行程度等，自主赋分。 1.维保服务方案细致、合理可行，得20分； 2.维保服务方案基本可行，得12分； 3.维保服务方案不满足要求，得6分；未提供不得分。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维保人员配备</w:t>
            </w:r>
          </w:p>
        </w:tc>
        <w:tc>
          <w:tcPr>
            <w:tcW w:type="dxa" w:w="2492"/>
          </w:tcPr>
          <w:p>
            <w:pPr>
              <w:pStyle w:val="null3"/>
            </w:pPr>
            <w:r>
              <w:rPr>
                <w:rFonts w:ascii="仿宋_GB2312" w:hAnsi="仿宋_GB2312" w:cs="仿宋_GB2312" w:eastAsia="仿宋_GB2312"/>
              </w:rPr>
              <w:t>按维保人员的专业程度，提供2人原厂培训工程师证明资料得10分，在此基础上每增加1人（提供原厂培训工程师证明资料）再加1分，最高加5分。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维保工具</w:t>
            </w:r>
          </w:p>
        </w:tc>
        <w:tc>
          <w:tcPr>
            <w:tcW w:type="dxa" w:w="2492"/>
          </w:tcPr>
          <w:p>
            <w:pPr>
              <w:pStyle w:val="null3"/>
            </w:pPr>
            <w:r>
              <w:rPr>
                <w:rFonts w:ascii="仿宋_GB2312" w:hAnsi="仿宋_GB2312" w:cs="仿宋_GB2312" w:eastAsia="仿宋_GB2312"/>
              </w:rPr>
              <w:t>针对本项目配备满足医院专业要求的设备维保工具，按维保工具清单自主赋分。 1.维保设备配备合理齐全，得5分； 2.维保设备配备基本合理齐全，得3分； 3.维保设备配备不足，无详细说明，得1分；未提供不得分。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服务质量保证及运行保障措施</w:t>
            </w:r>
          </w:p>
        </w:tc>
        <w:tc>
          <w:tcPr>
            <w:tcW w:type="dxa" w:w="2492"/>
          </w:tcPr>
          <w:p>
            <w:pPr>
              <w:pStyle w:val="null3"/>
            </w:pPr>
            <w:r>
              <w:rPr>
                <w:rFonts w:ascii="仿宋_GB2312" w:hAnsi="仿宋_GB2312" w:cs="仿宋_GB2312" w:eastAsia="仿宋_GB2312"/>
              </w:rPr>
              <w:t>保证设备正常运行并满足医院开机率要求。按期全面维养，故障排除时间≤24h，有临床培训和医工培训等。根据响应情况，自主赋分。 1.服务质量保障措施完备、响应快速，得15分； 2.服务质量保障基本完备、响应速度较快，得9分； 3.质量保障说明一般，响应速度一般，得3分；未提供不得分。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零配件供应</w:t>
            </w:r>
          </w:p>
        </w:tc>
        <w:tc>
          <w:tcPr>
            <w:tcW w:type="dxa" w:w="2492"/>
          </w:tcPr>
          <w:p>
            <w:pPr>
              <w:pStyle w:val="null3"/>
            </w:pPr>
            <w:r>
              <w:rPr>
                <w:rFonts w:ascii="仿宋_GB2312" w:hAnsi="仿宋_GB2312" w:cs="仿宋_GB2312" w:eastAsia="仿宋_GB2312"/>
              </w:rPr>
              <w:t>确保设备的正常使用，保证设备备品配件的正常供应，根据响应情况，自主赋分。 1.零配件供应充足，来源渠道正规，得10分； 2.零配件供应基本能满足需求，得6分； 3.零配件供应调配能力不满足需求，得3分；未提供不得分。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发生故障或事故时具有应急能力。根据响应情况，自主赋分。 1.应急预案合理、可行，得10分； 2.应急预案较为合理、基本可行，得6分； 3.应急预案与现状不符，得3分；未提供不得分。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提供供应商自2022年05月01日起至投标截止日止，与本项目相类似合同，每提供一个计2分，最高计10分。 （注：提供完整合同复印件并加盖公章，否则不计分。）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其他资料.docx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详见附件：开标一览表及报价明细表.docx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详见附件：方案响应部分.docx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