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BF40A">
      <w:pPr>
        <w:spacing w:line="300" w:lineRule="auto"/>
        <w:ind w:firstLine="400" w:firstLineChars="200"/>
        <w:rPr>
          <w:rFonts w:hint="eastAsia" w:cs="仿宋" w:asciiTheme="minorEastAsia" w:hAnsiTheme="minorEastAsia"/>
          <w:bCs/>
          <w:sz w:val="20"/>
          <w:szCs w:val="20"/>
        </w:rPr>
      </w:pPr>
      <w:r>
        <w:rPr>
          <w:rFonts w:hint="eastAsia" w:cs="仿宋" w:asciiTheme="minorEastAsia" w:hAnsiTheme="minorEastAsia"/>
          <w:bCs/>
          <w:sz w:val="20"/>
          <w:szCs w:val="20"/>
        </w:rPr>
        <w:t>甲  方：</w:t>
      </w:r>
      <w:r>
        <w:rPr>
          <w:rFonts w:hint="eastAsia" w:cs="仿宋" w:asciiTheme="minorEastAsia" w:hAnsiTheme="minorEastAsia"/>
          <w:b/>
          <w:bCs/>
          <w:sz w:val="20"/>
          <w:szCs w:val="20"/>
          <w:u w:val="single"/>
        </w:rPr>
        <w:t>西安市疾病预防控制中心</w:t>
      </w:r>
    </w:p>
    <w:p w14:paraId="046AB82D">
      <w:pPr>
        <w:spacing w:line="300" w:lineRule="auto"/>
        <w:ind w:firstLine="400" w:firstLineChars="200"/>
        <w:rPr>
          <w:rFonts w:hint="eastAsia" w:cs="仿宋" w:asciiTheme="minorEastAsia" w:hAnsiTheme="minorEastAsia"/>
          <w:bCs/>
          <w:sz w:val="20"/>
          <w:szCs w:val="20"/>
        </w:rPr>
      </w:pPr>
      <w:r>
        <w:rPr>
          <w:rFonts w:hint="eastAsia" w:cs="仿宋" w:asciiTheme="minorEastAsia" w:hAnsiTheme="minorEastAsia"/>
          <w:bCs/>
          <w:sz w:val="20"/>
          <w:szCs w:val="20"/>
        </w:rPr>
        <w:t>乙  方：</w:t>
      </w:r>
      <w:r>
        <w:rPr>
          <w:rFonts w:cs="仿宋" w:asciiTheme="minorEastAsia" w:hAnsiTheme="minorEastAsia"/>
          <w:b/>
          <w:bCs/>
          <w:sz w:val="20"/>
          <w:szCs w:val="20"/>
          <w:u w:val="single"/>
        </w:rPr>
        <w:t xml:space="preserve">                      </w:t>
      </w:r>
    </w:p>
    <w:p w14:paraId="470BB48B">
      <w:pPr>
        <w:spacing w:line="300" w:lineRule="auto"/>
        <w:ind w:firstLine="400" w:firstLineChars="200"/>
        <w:rPr>
          <w:rFonts w:hint="eastAsia" w:cs="仿宋" w:asciiTheme="minorEastAsia" w:hAnsiTheme="minorEastAsia"/>
          <w:bCs/>
          <w:sz w:val="20"/>
          <w:szCs w:val="20"/>
        </w:rPr>
      </w:pPr>
      <w:r>
        <w:rPr>
          <w:rFonts w:hint="eastAsia" w:cs="仿宋" w:asciiTheme="minorEastAsia" w:hAnsiTheme="minorEastAsia"/>
          <w:bCs/>
          <w:sz w:val="20"/>
          <w:szCs w:val="20"/>
        </w:rPr>
        <w:t>鉴证方：</w:t>
      </w:r>
      <w:r>
        <w:rPr>
          <w:rFonts w:hint="eastAsia" w:cs="仿宋" w:asciiTheme="minorEastAsia" w:hAnsiTheme="minorEastAsia"/>
          <w:b/>
          <w:bCs/>
          <w:sz w:val="20"/>
          <w:szCs w:val="20"/>
          <w:u w:val="single"/>
        </w:rPr>
        <w:t xml:space="preserve">                        </w:t>
      </w:r>
    </w:p>
    <w:p w14:paraId="627F5714">
      <w:pPr>
        <w:tabs>
          <w:tab w:val="left" w:pos="480"/>
        </w:tabs>
        <w:spacing w:line="300" w:lineRule="auto"/>
        <w:ind w:firstLine="400" w:firstLineChars="200"/>
        <w:rPr>
          <w:rFonts w:hint="eastAsia" w:cs="仿宋" w:asciiTheme="minorEastAsia" w:hAnsiTheme="minorEastAsia"/>
          <w:bCs/>
          <w:sz w:val="20"/>
          <w:szCs w:val="20"/>
        </w:rPr>
      </w:pPr>
      <w:r>
        <w:rPr>
          <w:rFonts w:hint="eastAsia" w:cs="仿宋" w:asciiTheme="minorEastAsia" w:hAnsiTheme="minorEastAsia"/>
          <w:bCs/>
          <w:sz w:val="20"/>
          <w:szCs w:val="20"/>
        </w:rPr>
        <w:t>根据《中华人民共和国政府采购法》及实施条例、《中华人民共和国民法典》和甲方采购项目：</w:t>
      </w:r>
      <w:r>
        <w:rPr>
          <w:rFonts w:hint="eastAsia" w:cs="仿宋" w:asciiTheme="minorEastAsia" w:hAnsiTheme="minorEastAsia"/>
          <w:bCs/>
          <w:sz w:val="20"/>
          <w:szCs w:val="20"/>
          <w:u w:val="single"/>
        </w:rPr>
        <w:t>西安市疾病预防控制中心xxxx项目1</w:t>
      </w:r>
      <w:r>
        <w:rPr>
          <w:rFonts w:hint="eastAsia" w:cs="仿宋" w:asciiTheme="minorEastAsia" w:hAnsiTheme="minorEastAsia"/>
          <w:bCs/>
          <w:sz w:val="20"/>
          <w:szCs w:val="20"/>
        </w:rPr>
        <w:t>（采购项目编号：</w:t>
      </w:r>
      <w:r>
        <w:rPr>
          <w:rFonts w:hint="eastAsia" w:asciiTheme="minorEastAsia" w:hAnsiTheme="minorEastAsia"/>
          <w:sz w:val="20"/>
          <w:szCs w:val="20"/>
        </w:rPr>
        <w:t xml:space="preserve">    </w:t>
      </w:r>
      <w:r>
        <w:rPr>
          <w:rFonts w:hint="eastAsia" w:cs="仿宋" w:asciiTheme="minorEastAsia" w:hAnsiTheme="minorEastAsia"/>
          <w:bCs/>
          <w:sz w:val="20"/>
          <w:szCs w:val="20"/>
        </w:rPr>
        <w:t>）的招标文件、投标文件等有关规定，为确保甲方采购项目的顺利实施，甲、乙双方在平等自愿原则下签订本合同，并共同遵守如下条款：</w:t>
      </w:r>
    </w:p>
    <w:p w14:paraId="46E8BF66">
      <w:pPr>
        <w:tabs>
          <w:tab w:val="left" w:pos="480"/>
        </w:tabs>
        <w:spacing w:line="300" w:lineRule="auto"/>
        <w:ind w:firstLine="402" w:firstLineChars="200"/>
        <w:rPr>
          <w:rFonts w:hint="eastAsia" w:cs="仿宋" w:asciiTheme="minorEastAsia" w:hAnsiTheme="minorEastAsia"/>
          <w:bCs/>
          <w:sz w:val="20"/>
          <w:szCs w:val="20"/>
        </w:rPr>
      </w:pPr>
      <w:r>
        <w:rPr>
          <w:rFonts w:hint="eastAsia" w:cs="仿宋" w:asciiTheme="minorEastAsia" w:hAnsiTheme="minorEastAsia"/>
          <w:b/>
          <w:sz w:val="20"/>
          <w:szCs w:val="20"/>
        </w:rPr>
        <w:t>一、合同标的物内容及数量</w:t>
      </w:r>
    </w:p>
    <w:tbl>
      <w:tblPr>
        <w:tblStyle w:val="4"/>
        <w:tblW w:w="9369" w:type="dxa"/>
        <w:jc w:val="center"/>
        <w:tblLayout w:type="autofit"/>
        <w:tblCellMar>
          <w:top w:w="0" w:type="dxa"/>
          <w:left w:w="108" w:type="dxa"/>
          <w:bottom w:w="0" w:type="dxa"/>
          <w:right w:w="108" w:type="dxa"/>
        </w:tblCellMar>
      </w:tblPr>
      <w:tblGrid>
        <w:gridCol w:w="621"/>
        <w:gridCol w:w="1080"/>
        <w:gridCol w:w="1080"/>
        <w:gridCol w:w="1080"/>
        <w:gridCol w:w="1308"/>
        <w:gridCol w:w="852"/>
        <w:gridCol w:w="1080"/>
        <w:gridCol w:w="1080"/>
        <w:gridCol w:w="1188"/>
      </w:tblGrid>
      <w:tr w14:paraId="3A6F9ECC">
        <w:tblPrEx>
          <w:tblCellMar>
            <w:top w:w="0" w:type="dxa"/>
            <w:left w:w="108" w:type="dxa"/>
            <w:bottom w:w="0" w:type="dxa"/>
            <w:right w:w="108" w:type="dxa"/>
          </w:tblCellMar>
        </w:tblPrEx>
        <w:trPr>
          <w:trHeight w:val="585" w:hRule="atLeast"/>
          <w:jc w:val="center"/>
        </w:trPr>
        <w:tc>
          <w:tcPr>
            <w:tcW w:w="621" w:type="dxa"/>
            <w:tcBorders>
              <w:top w:val="single" w:color="auto" w:sz="8" w:space="0"/>
              <w:left w:val="single" w:color="auto" w:sz="8" w:space="0"/>
              <w:bottom w:val="single" w:color="auto" w:sz="8" w:space="0"/>
              <w:right w:val="single" w:color="auto" w:sz="8" w:space="0"/>
            </w:tcBorders>
            <w:vAlign w:val="center"/>
          </w:tcPr>
          <w:p w14:paraId="50B7945D">
            <w:pPr>
              <w:rPr>
                <w:rFonts w:hint="eastAsia" w:asciiTheme="minorEastAsia" w:hAnsiTheme="minorEastAsia"/>
                <w:sz w:val="20"/>
                <w:szCs w:val="20"/>
              </w:rPr>
            </w:pPr>
            <w:r>
              <w:rPr>
                <w:rFonts w:hint="eastAsia" w:asciiTheme="minorEastAsia" w:hAnsiTheme="minorEastAsia"/>
                <w:sz w:val="20"/>
                <w:szCs w:val="20"/>
              </w:rPr>
              <w:t>序号</w:t>
            </w:r>
          </w:p>
        </w:tc>
        <w:tc>
          <w:tcPr>
            <w:tcW w:w="1080" w:type="dxa"/>
            <w:tcBorders>
              <w:top w:val="single" w:color="auto" w:sz="8" w:space="0"/>
              <w:left w:val="nil"/>
              <w:bottom w:val="single" w:color="auto" w:sz="8" w:space="0"/>
              <w:right w:val="single" w:color="auto" w:sz="8" w:space="0"/>
            </w:tcBorders>
            <w:vAlign w:val="center"/>
          </w:tcPr>
          <w:p w14:paraId="2C94AA64">
            <w:pPr>
              <w:rPr>
                <w:rFonts w:hint="eastAsia" w:asciiTheme="minorEastAsia" w:hAnsiTheme="minorEastAsia"/>
                <w:sz w:val="20"/>
                <w:szCs w:val="20"/>
              </w:rPr>
            </w:pPr>
            <w:r>
              <w:rPr>
                <w:rFonts w:hint="eastAsia" w:asciiTheme="minorEastAsia" w:hAnsiTheme="minorEastAsia"/>
                <w:sz w:val="20"/>
                <w:szCs w:val="20"/>
              </w:rPr>
              <w:t>名称</w:t>
            </w:r>
          </w:p>
        </w:tc>
        <w:tc>
          <w:tcPr>
            <w:tcW w:w="1080" w:type="dxa"/>
            <w:tcBorders>
              <w:top w:val="single" w:color="auto" w:sz="8" w:space="0"/>
              <w:left w:val="nil"/>
              <w:bottom w:val="single" w:color="auto" w:sz="8" w:space="0"/>
              <w:right w:val="single" w:color="auto" w:sz="8" w:space="0"/>
            </w:tcBorders>
            <w:vAlign w:val="center"/>
          </w:tcPr>
          <w:p w14:paraId="3EB1CC37">
            <w:pPr>
              <w:rPr>
                <w:rFonts w:hint="eastAsia" w:asciiTheme="minorEastAsia" w:hAnsiTheme="minorEastAsia"/>
                <w:sz w:val="20"/>
                <w:szCs w:val="20"/>
              </w:rPr>
            </w:pPr>
            <w:r>
              <w:rPr>
                <w:rFonts w:hint="eastAsia" w:asciiTheme="minorEastAsia" w:hAnsiTheme="minorEastAsia"/>
                <w:sz w:val="20"/>
                <w:szCs w:val="20"/>
              </w:rPr>
              <w:t>规格型号</w:t>
            </w:r>
          </w:p>
        </w:tc>
        <w:tc>
          <w:tcPr>
            <w:tcW w:w="1080" w:type="dxa"/>
            <w:tcBorders>
              <w:top w:val="single" w:color="auto" w:sz="8" w:space="0"/>
              <w:left w:val="nil"/>
              <w:bottom w:val="single" w:color="auto" w:sz="8" w:space="0"/>
              <w:right w:val="single" w:color="auto" w:sz="8" w:space="0"/>
            </w:tcBorders>
            <w:vAlign w:val="center"/>
          </w:tcPr>
          <w:p w14:paraId="1E330D19">
            <w:pPr>
              <w:rPr>
                <w:rFonts w:hint="eastAsia" w:asciiTheme="minorEastAsia" w:hAnsiTheme="minorEastAsia"/>
                <w:sz w:val="20"/>
                <w:szCs w:val="20"/>
              </w:rPr>
            </w:pPr>
            <w:r>
              <w:rPr>
                <w:rFonts w:hint="eastAsia" w:asciiTheme="minorEastAsia" w:hAnsiTheme="minorEastAsia"/>
                <w:sz w:val="20"/>
                <w:szCs w:val="20"/>
              </w:rPr>
              <w:t>产地</w:t>
            </w:r>
          </w:p>
        </w:tc>
        <w:tc>
          <w:tcPr>
            <w:tcW w:w="1308" w:type="dxa"/>
            <w:tcBorders>
              <w:top w:val="single" w:color="auto" w:sz="8" w:space="0"/>
              <w:left w:val="nil"/>
              <w:bottom w:val="single" w:color="auto" w:sz="8" w:space="0"/>
              <w:right w:val="single" w:color="auto" w:sz="8" w:space="0"/>
            </w:tcBorders>
            <w:vAlign w:val="center"/>
          </w:tcPr>
          <w:p w14:paraId="0FAF4EAC">
            <w:pPr>
              <w:rPr>
                <w:rFonts w:hint="eastAsia" w:asciiTheme="minorEastAsia" w:hAnsiTheme="minorEastAsia"/>
                <w:sz w:val="20"/>
                <w:szCs w:val="20"/>
              </w:rPr>
            </w:pPr>
            <w:r>
              <w:rPr>
                <w:rFonts w:hint="eastAsia" w:asciiTheme="minorEastAsia" w:hAnsiTheme="minorEastAsia"/>
                <w:sz w:val="20"/>
                <w:szCs w:val="20"/>
              </w:rPr>
              <w:t>生产厂家</w:t>
            </w:r>
          </w:p>
        </w:tc>
        <w:tc>
          <w:tcPr>
            <w:tcW w:w="852" w:type="dxa"/>
            <w:tcBorders>
              <w:top w:val="single" w:color="auto" w:sz="8" w:space="0"/>
              <w:left w:val="nil"/>
              <w:bottom w:val="single" w:color="auto" w:sz="8" w:space="0"/>
              <w:right w:val="single" w:color="auto" w:sz="8" w:space="0"/>
            </w:tcBorders>
            <w:vAlign w:val="center"/>
          </w:tcPr>
          <w:p w14:paraId="2F645AB8">
            <w:pPr>
              <w:rPr>
                <w:rFonts w:hint="eastAsia" w:asciiTheme="minorEastAsia" w:hAnsiTheme="minorEastAsia"/>
                <w:sz w:val="20"/>
                <w:szCs w:val="20"/>
              </w:rPr>
            </w:pPr>
            <w:r>
              <w:rPr>
                <w:rFonts w:hint="eastAsia" w:asciiTheme="minorEastAsia" w:hAnsiTheme="minorEastAsia"/>
                <w:sz w:val="20"/>
                <w:szCs w:val="20"/>
              </w:rPr>
              <w:t>单位</w:t>
            </w:r>
          </w:p>
        </w:tc>
        <w:tc>
          <w:tcPr>
            <w:tcW w:w="1080" w:type="dxa"/>
            <w:tcBorders>
              <w:top w:val="single" w:color="auto" w:sz="8" w:space="0"/>
              <w:left w:val="nil"/>
              <w:bottom w:val="single" w:color="auto" w:sz="8" w:space="0"/>
              <w:right w:val="single" w:color="auto" w:sz="8" w:space="0"/>
            </w:tcBorders>
            <w:vAlign w:val="center"/>
          </w:tcPr>
          <w:p w14:paraId="01C69D1C">
            <w:pPr>
              <w:rPr>
                <w:rFonts w:hint="eastAsia" w:asciiTheme="minorEastAsia" w:hAnsiTheme="minorEastAsia"/>
                <w:sz w:val="20"/>
                <w:szCs w:val="20"/>
              </w:rPr>
            </w:pPr>
            <w:r>
              <w:rPr>
                <w:rFonts w:hint="eastAsia" w:asciiTheme="minorEastAsia" w:hAnsiTheme="minorEastAsia"/>
                <w:sz w:val="20"/>
                <w:szCs w:val="20"/>
              </w:rPr>
              <w:t>数量</w:t>
            </w:r>
          </w:p>
        </w:tc>
        <w:tc>
          <w:tcPr>
            <w:tcW w:w="1080" w:type="dxa"/>
            <w:tcBorders>
              <w:top w:val="single" w:color="auto" w:sz="8" w:space="0"/>
              <w:left w:val="nil"/>
              <w:bottom w:val="single" w:color="auto" w:sz="8" w:space="0"/>
              <w:right w:val="single" w:color="auto" w:sz="8" w:space="0"/>
            </w:tcBorders>
            <w:vAlign w:val="center"/>
          </w:tcPr>
          <w:p w14:paraId="56802B51">
            <w:pPr>
              <w:rPr>
                <w:rFonts w:hint="eastAsia" w:asciiTheme="minorEastAsia" w:hAnsiTheme="minorEastAsia"/>
                <w:sz w:val="20"/>
                <w:szCs w:val="20"/>
              </w:rPr>
            </w:pPr>
            <w:r>
              <w:rPr>
                <w:rFonts w:hint="eastAsia" w:asciiTheme="minorEastAsia" w:hAnsiTheme="minorEastAsia"/>
                <w:sz w:val="20"/>
                <w:szCs w:val="20"/>
              </w:rPr>
              <w:t>单价（元）</w:t>
            </w:r>
          </w:p>
        </w:tc>
        <w:tc>
          <w:tcPr>
            <w:tcW w:w="1188" w:type="dxa"/>
            <w:tcBorders>
              <w:top w:val="single" w:color="auto" w:sz="8" w:space="0"/>
              <w:left w:val="nil"/>
              <w:bottom w:val="single" w:color="auto" w:sz="8" w:space="0"/>
              <w:right w:val="single" w:color="auto" w:sz="8" w:space="0"/>
            </w:tcBorders>
            <w:vAlign w:val="center"/>
          </w:tcPr>
          <w:p w14:paraId="1D6097A6">
            <w:pPr>
              <w:rPr>
                <w:rFonts w:hint="eastAsia" w:asciiTheme="minorEastAsia" w:hAnsiTheme="minorEastAsia"/>
                <w:sz w:val="20"/>
                <w:szCs w:val="20"/>
              </w:rPr>
            </w:pPr>
            <w:r>
              <w:rPr>
                <w:rFonts w:hint="eastAsia" w:asciiTheme="minorEastAsia" w:hAnsiTheme="minorEastAsia"/>
                <w:sz w:val="20"/>
                <w:szCs w:val="20"/>
              </w:rPr>
              <w:t>总价（元）</w:t>
            </w:r>
          </w:p>
        </w:tc>
      </w:tr>
      <w:tr w14:paraId="55960C88">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vAlign w:val="center"/>
          </w:tcPr>
          <w:p w14:paraId="207ABB7A">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064FE483">
            <w:pPr>
              <w:pStyle w:val="2"/>
              <w:spacing w:line="300" w:lineRule="auto"/>
              <w:ind w:firstLine="200"/>
              <w:rPr>
                <w:rFonts w:hint="eastAsia" w:cs="宋体" w:asciiTheme="minorEastAsia" w:hAnsiTheme="minorEastAsia"/>
                <w:kern w:val="0"/>
                <w:sz w:val="20"/>
              </w:rPr>
            </w:pPr>
          </w:p>
        </w:tc>
        <w:tc>
          <w:tcPr>
            <w:tcW w:w="1080" w:type="dxa"/>
            <w:tcBorders>
              <w:top w:val="nil"/>
              <w:left w:val="nil"/>
              <w:bottom w:val="single" w:color="auto" w:sz="8" w:space="0"/>
              <w:right w:val="single" w:color="auto" w:sz="8" w:space="0"/>
            </w:tcBorders>
            <w:vAlign w:val="center"/>
          </w:tcPr>
          <w:p w14:paraId="6972C476">
            <w:pPr>
              <w:pStyle w:val="2"/>
              <w:spacing w:line="300" w:lineRule="auto"/>
              <w:ind w:firstLine="200"/>
              <w:rPr>
                <w:rFonts w:hint="eastAsia" w:cs="宋体" w:asciiTheme="minorEastAsia" w:hAnsiTheme="minorEastAsia"/>
                <w:kern w:val="0"/>
                <w:sz w:val="20"/>
              </w:rPr>
            </w:pPr>
          </w:p>
        </w:tc>
        <w:tc>
          <w:tcPr>
            <w:tcW w:w="1080" w:type="dxa"/>
            <w:tcBorders>
              <w:top w:val="nil"/>
              <w:left w:val="nil"/>
              <w:bottom w:val="single" w:color="auto" w:sz="8" w:space="0"/>
              <w:right w:val="single" w:color="auto" w:sz="8" w:space="0"/>
            </w:tcBorders>
            <w:vAlign w:val="center"/>
          </w:tcPr>
          <w:p w14:paraId="58394FFC">
            <w:pPr>
              <w:pStyle w:val="2"/>
              <w:spacing w:line="300" w:lineRule="auto"/>
              <w:ind w:firstLine="200"/>
              <w:rPr>
                <w:rFonts w:hint="eastAsia" w:cs="宋体" w:asciiTheme="minorEastAsia" w:hAnsiTheme="minorEastAsia"/>
                <w:kern w:val="0"/>
                <w:sz w:val="20"/>
              </w:rPr>
            </w:pPr>
          </w:p>
        </w:tc>
        <w:tc>
          <w:tcPr>
            <w:tcW w:w="1308" w:type="dxa"/>
            <w:tcBorders>
              <w:top w:val="nil"/>
              <w:left w:val="nil"/>
              <w:bottom w:val="single" w:color="auto" w:sz="8" w:space="0"/>
              <w:right w:val="single" w:color="auto" w:sz="8" w:space="0"/>
            </w:tcBorders>
            <w:vAlign w:val="center"/>
          </w:tcPr>
          <w:p w14:paraId="01D74AE6">
            <w:pPr>
              <w:pStyle w:val="2"/>
              <w:spacing w:line="300" w:lineRule="auto"/>
              <w:ind w:firstLine="200"/>
              <w:rPr>
                <w:rFonts w:hint="eastAsia" w:cs="宋体" w:asciiTheme="minorEastAsia" w:hAnsiTheme="minorEastAsia"/>
                <w:kern w:val="0"/>
                <w:sz w:val="20"/>
              </w:rPr>
            </w:pPr>
          </w:p>
        </w:tc>
        <w:tc>
          <w:tcPr>
            <w:tcW w:w="852" w:type="dxa"/>
            <w:tcBorders>
              <w:top w:val="nil"/>
              <w:left w:val="nil"/>
              <w:bottom w:val="single" w:color="auto" w:sz="8" w:space="0"/>
              <w:right w:val="single" w:color="auto" w:sz="8" w:space="0"/>
            </w:tcBorders>
            <w:vAlign w:val="center"/>
          </w:tcPr>
          <w:p w14:paraId="2F905747">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508EFE94">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47C2390D">
            <w:pPr>
              <w:spacing w:line="300" w:lineRule="auto"/>
              <w:ind w:firstLine="200"/>
              <w:rPr>
                <w:rFonts w:hint="eastAsia" w:cs="宋体" w:asciiTheme="minorEastAsia" w:hAnsiTheme="minorEastAsia"/>
                <w:kern w:val="0"/>
                <w:sz w:val="20"/>
                <w:szCs w:val="20"/>
              </w:rPr>
            </w:pPr>
          </w:p>
        </w:tc>
        <w:tc>
          <w:tcPr>
            <w:tcW w:w="1188" w:type="dxa"/>
            <w:tcBorders>
              <w:top w:val="nil"/>
              <w:left w:val="nil"/>
              <w:bottom w:val="single" w:color="auto" w:sz="8" w:space="0"/>
              <w:right w:val="single" w:color="auto" w:sz="8" w:space="0"/>
            </w:tcBorders>
            <w:vAlign w:val="center"/>
          </w:tcPr>
          <w:p w14:paraId="240E8B1F">
            <w:pPr>
              <w:spacing w:line="300" w:lineRule="auto"/>
              <w:ind w:firstLine="200"/>
              <w:rPr>
                <w:rFonts w:hint="eastAsia" w:cs="宋体" w:asciiTheme="minorEastAsia" w:hAnsiTheme="minorEastAsia"/>
                <w:kern w:val="0"/>
                <w:sz w:val="20"/>
                <w:szCs w:val="20"/>
              </w:rPr>
            </w:pPr>
          </w:p>
        </w:tc>
      </w:tr>
      <w:tr w14:paraId="441814D2">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vAlign w:val="center"/>
          </w:tcPr>
          <w:p w14:paraId="2A7129DF">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2F7A1B4C">
            <w:pPr>
              <w:pStyle w:val="2"/>
              <w:spacing w:line="300" w:lineRule="auto"/>
              <w:ind w:firstLine="200"/>
              <w:rPr>
                <w:rFonts w:hint="eastAsia" w:cs="宋体" w:asciiTheme="minorEastAsia" w:hAnsiTheme="minorEastAsia"/>
                <w:kern w:val="0"/>
                <w:sz w:val="20"/>
              </w:rPr>
            </w:pPr>
          </w:p>
        </w:tc>
        <w:tc>
          <w:tcPr>
            <w:tcW w:w="1080" w:type="dxa"/>
            <w:tcBorders>
              <w:top w:val="nil"/>
              <w:left w:val="nil"/>
              <w:bottom w:val="single" w:color="auto" w:sz="8" w:space="0"/>
              <w:right w:val="single" w:color="auto" w:sz="8" w:space="0"/>
            </w:tcBorders>
            <w:vAlign w:val="center"/>
          </w:tcPr>
          <w:p w14:paraId="6F13C8BE">
            <w:pPr>
              <w:pStyle w:val="2"/>
              <w:spacing w:line="300" w:lineRule="auto"/>
              <w:ind w:firstLine="200"/>
              <w:rPr>
                <w:rFonts w:hint="eastAsia" w:cs="宋体" w:asciiTheme="minorEastAsia" w:hAnsiTheme="minorEastAsia"/>
                <w:kern w:val="0"/>
                <w:sz w:val="20"/>
              </w:rPr>
            </w:pPr>
          </w:p>
        </w:tc>
        <w:tc>
          <w:tcPr>
            <w:tcW w:w="1080" w:type="dxa"/>
            <w:tcBorders>
              <w:top w:val="nil"/>
              <w:left w:val="nil"/>
              <w:bottom w:val="single" w:color="auto" w:sz="8" w:space="0"/>
              <w:right w:val="single" w:color="auto" w:sz="8" w:space="0"/>
            </w:tcBorders>
            <w:vAlign w:val="center"/>
          </w:tcPr>
          <w:p w14:paraId="09AE7E91">
            <w:pPr>
              <w:pStyle w:val="2"/>
              <w:spacing w:line="300" w:lineRule="auto"/>
              <w:ind w:firstLine="200"/>
              <w:rPr>
                <w:rFonts w:hint="eastAsia" w:cs="宋体" w:asciiTheme="minorEastAsia" w:hAnsiTheme="minorEastAsia"/>
                <w:kern w:val="0"/>
                <w:sz w:val="20"/>
              </w:rPr>
            </w:pPr>
          </w:p>
        </w:tc>
        <w:tc>
          <w:tcPr>
            <w:tcW w:w="1308" w:type="dxa"/>
            <w:tcBorders>
              <w:top w:val="nil"/>
              <w:left w:val="nil"/>
              <w:bottom w:val="single" w:color="auto" w:sz="8" w:space="0"/>
              <w:right w:val="single" w:color="auto" w:sz="8" w:space="0"/>
            </w:tcBorders>
            <w:vAlign w:val="center"/>
          </w:tcPr>
          <w:p w14:paraId="180FB831">
            <w:pPr>
              <w:pStyle w:val="2"/>
              <w:spacing w:line="300" w:lineRule="auto"/>
              <w:ind w:firstLine="200"/>
              <w:rPr>
                <w:rFonts w:hint="eastAsia" w:cs="宋体" w:asciiTheme="minorEastAsia" w:hAnsiTheme="minorEastAsia"/>
                <w:kern w:val="0"/>
                <w:sz w:val="20"/>
              </w:rPr>
            </w:pPr>
          </w:p>
        </w:tc>
        <w:tc>
          <w:tcPr>
            <w:tcW w:w="852" w:type="dxa"/>
            <w:tcBorders>
              <w:top w:val="nil"/>
              <w:left w:val="nil"/>
              <w:bottom w:val="single" w:color="auto" w:sz="8" w:space="0"/>
              <w:right w:val="single" w:color="auto" w:sz="8" w:space="0"/>
            </w:tcBorders>
            <w:vAlign w:val="center"/>
          </w:tcPr>
          <w:p w14:paraId="5BD997C4">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7E872BD6">
            <w:pPr>
              <w:widowControl/>
              <w:spacing w:line="300" w:lineRule="auto"/>
              <w:ind w:firstLine="200"/>
              <w:rPr>
                <w:rFonts w:hint="eastAsia" w:cs="宋体" w:asciiTheme="minorEastAsia" w:hAnsiTheme="minorEastAsia"/>
                <w:kern w:val="0"/>
                <w:sz w:val="20"/>
                <w:szCs w:val="20"/>
              </w:rPr>
            </w:pPr>
          </w:p>
        </w:tc>
        <w:tc>
          <w:tcPr>
            <w:tcW w:w="1080" w:type="dxa"/>
            <w:tcBorders>
              <w:top w:val="nil"/>
              <w:left w:val="nil"/>
              <w:bottom w:val="single" w:color="auto" w:sz="8" w:space="0"/>
              <w:right w:val="single" w:color="auto" w:sz="8" w:space="0"/>
            </w:tcBorders>
            <w:vAlign w:val="center"/>
          </w:tcPr>
          <w:p w14:paraId="6075F8AB">
            <w:pPr>
              <w:spacing w:line="300" w:lineRule="auto"/>
              <w:ind w:firstLine="200"/>
              <w:rPr>
                <w:rFonts w:hint="eastAsia" w:cs="宋体" w:asciiTheme="minorEastAsia" w:hAnsiTheme="minorEastAsia"/>
                <w:kern w:val="0"/>
                <w:sz w:val="20"/>
                <w:szCs w:val="20"/>
              </w:rPr>
            </w:pPr>
          </w:p>
        </w:tc>
        <w:tc>
          <w:tcPr>
            <w:tcW w:w="1188" w:type="dxa"/>
            <w:tcBorders>
              <w:top w:val="nil"/>
              <w:left w:val="nil"/>
              <w:bottom w:val="single" w:color="auto" w:sz="8" w:space="0"/>
              <w:right w:val="single" w:color="auto" w:sz="8" w:space="0"/>
            </w:tcBorders>
            <w:vAlign w:val="center"/>
          </w:tcPr>
          <w:p w14:paraId="421AA0FB">
            <w:pPr>
              <w:spacing w:line="300" w:lineRule="auto"/>
              <w:ind w:firstLine="200"/>
              <w:rPr>
                <w:rFonts w:hint="eastAsia" w:cs="宋体" w:asciiTheme="minorEastAsia" w:hAnsiTheme="minorEastAsia"/>
                <w:kern w:val="0"/>
                <w:sz w:val="20"/>
                <w:szCs w:val="20"/>
              </w:rPr>
            </w:pPr>
          </w:p>
        </w:tc>
      </w:tr>
      <w:tr w14:paraId="3D385163">
        <w:tblPrEx>
          <w:tblCellMar>
            <w:top w:w="0" w:type="dxa"/>
            <w:left w:w="108" w:type="dxa"/>
            <w:bottom w:w="0" w:type="dxa"/>
            <w:right w:w="108" w:type="dxa"/>
          </w:tblCellMar>
        </w:tblPrEx>
        <w:trPr>
          <w:trHeight w:val="300" w:hRule="atLeast"/>
          <w:jc w:val="center"/>
        </w:trPr>
        <w:tc>
          <w:tcPr>
            <w:tcW w:w="9369" w:type="dxa"/>
            <w:gridSpan w:val="9"/>
            <w:tcBorders>
              <w:top w:val="single" w:color="auto" w:sz="8" w:space="0"/>
              <w:left w:val="single" w:color="auto" w:sz="8" w:space="0"/>
              <w:bottom w:val="single" w:color="auto" w:sz="8" w:space="0"/>
              <w:right w:val="single" w:color="000000" w:sz="8" w:space="0"/>
            </w:tcBorders>
            <w:vAlign w:val="center"/>
          </w:tcPr>
          <w:p w14:paraId="1846A0F7">
            <w:pPr>
              <w:widowControl/>
              <w:spacing w:line="300" w:lineRule="auto"/>
              <w:ind w:firstLine="200"/>
              <w:rPr>
                <w:rFonts w:hint="eastAsia" w:cs="宋体" w:asciiTheme="minorEastAsia" w:hAnsiTheme="minorEastAsia"/>
                <w:kern w:val="0"/>
                <w:sz w:val="20"/>
                <w:szCs w:val="20"/>
              </w:rPr>
            </w:pPr>
            <w:r>
              <w:rPr>
                <w:rFonts w:hint="eastAsia" w:cs="宋体" w:asciiTheme="minorEastAsia" w:hAnsiTheme="minorEastAsia"/>
                <w:kern w:val="0"/>
                <w:sz w:val="20"/>
                <w:szCs w:val="20"/>
              </w:rPr>
              <w:t>合计：</w:t>
            </w:r>
            <w:r>
              <w:rPr>
                <w:rFonts w:hint="eastAsia" w:cs="宋体" w:asciiTheme="minorEastAsia" w:hAnsiTheme="minorEastAsia"/>
                <w:b/>
                <w:bCs/>
                <w:kern w:val="0"/>
                <w:sz w:val="20"/>
                <w:szCs w:val="20"/>
              </w:rPr>
              <w:t>人民币（大写）：</w:t>
            </w:r>
            <w:r>
              <w:rPr>
                <w:rFonts w:cs="宋体" w:asciiTheme="minorEastAsia" w:hAnsiTheme="minorEastAsia"/>
                <w:b/>
                <w:bCs/>
                <w:kern w:val="0"/>
                <w:sz w:val="20"/>
                <w:szCs w:val="20"/>
              </w:rPr>
              <w:t xml:space="preserve">          </w:t>
            </w:r>
            <w:r>
              <w:rPr>
                <w:rFonts w:hint="eastAsia" w:cs="宋体" w:asciiTheme="minorEastAsia" w:hAnsiTheme="minorEastAsia"/>
                <w:b/>
                <w:bCs/>
                <w:kern w:val="0"/>
                <w:sz w:val="20"/>
                <w:szCs w:val="20"/>
              </w:rPr>
              <w:t>元整（</w:t>
            </w:r>
            <w:r>
              <w:rPr>
                <w:rFonts w:hint="eastAsia" w:cs="Calibri" w:asciiTheme="minorEastAsia" w:hAnsiTheme="minorEastAsia"/>
                <w:b/>
                <w:bCs/>
                <w:kern w:val="0"/>
                <w:sz w:val="20"/>
                <w:szCs w:val="20"/>
              </w:rPr>
              <w:t>¥</w:t>
            </w:r>
            <w:r>
              <w:rPr>
                <w:rFonts w:hint="eastAsia" w:cs="宋体" w:asciiTheme="minorEastAsia" w:hAnsiTheme="minorEastAsia"/>
                <w:b/>
                <w:bCs/>
                <w:kern w:val="0"/>
                <w:sz w:val="20"/>
                <w:szCs w:val="20"/>
              </w:rPr>
              <w:t>:</w:t>
            </w:r>
            <w:r>
              <w:rPr>
                <w:rFonts w:cs="宋体" w:asciiTheme="minorEastAsia" w:hAnsiTheme="minorEastAsia"/>
                <w:b/>
                <w:bCs/>
                <w:kern w:val="0"/>
                <w:sz w:val="20"/>
                <w:szCs w:val="20"/>
              </w:rPr>
              <w:t xml:space="preserve">         </w:t>
            </w:r>
            <w:r>
              <w:rPr>
                <w:rFonts w:hint="eastAsia" w:cs="宋体" w:asciiTheme="minorEastAsia" w:hAnsiTheme="minorEastAsia"/>
                <w:b/>
                <w:bCs/>
                <w:kern w:val="0"/>
                <w:sz w:val="20"/>
                <w:szCs w:val="20"/>
              </w:rPr>
              <w:t>元）</w:t>
            </w:r>
          </w:p>
        </w:tc>
      </w:tr>
    </w:tbl>
    <w:p w14:paraId="2F0DD167">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二、合同价款</w:t>
      </w:r>
    </w:p>
    <w:p w14:paraId="5E404003">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（一）合同总价款为人民币（大写）</w:t>
      </w:r>
      <w:r>
        <w:rPr>
          <w:rFonts w:cs="仿宋" w:asciiTheme="minorEastAsia" w:hAnsiTheme="minorEastAsia"/>
          <w:sz w:val="20"/>
          <w:szCs w:val="20"/>
          <w:u w:val="single"/>
        </w:rPr>
        <w:t xml:space="preserve"> ：        </w:t>
      </w:r>
      <w:r>
        <w:rPr>
          <w:rFonts w:hint="eastAsia" w:cs="仿宋" w:asciiTheme="minorEastAsia" w:hAnsiTheme="minorEastAsia"/>
          <w:sz w:val="20"/>
          <w:szCs w:val="20"/>
          <w:u w:val="single"/>
        </w:rPr>
        <w:t>元整（</w:t>
      </w:r>
      <w:r>
        <w:rPr>
          <w:rFonts w:hint="eastAsia" w:cs="Calibri" w:asciiTheme="minorEastAsia" w:hAnsiTheme="minorEastAsia"/>
          <w:sz w:val="20"/>
          <w:szCs w:val="20"/>
          <w:u w:val="single"/>
        </w:rPr>
        <w:t>¥</w:t>
      </w:r>
      <w:r>
        <w:rPr>
          <w:rFonts w:cs="仿宋" w:asciiTheme="minorEastAsia" w:hAnsiTheme="minorEastAsia"/>
          <w:sz w:val="20"/>
          <w:szCs w:val="20"/>
          <w:u w:val="single"/>
        </w:rPr>
        <w:t xml:space="preserve">          </w:t>
      </w:r>
      <w:r>
        <w:rPr>
          <w:rFonts w:hint="eastAsia" w:cs="仿宋" w:asciiTheme="minorEastAsia" w:hAnsiTheme="minorEastAsia"/>
          <w:sz w:val="20"/>
          <w:szCs w:val="20"/>
          <w:u w:val="single"/>
        </w:rPr>
        <w:t>元）</w:t>
      </w:r>
      <w:r>
        <w:rPr>
          <w:rFonts w:hint="eastAsia" w:cs="仿宋" w:asciiTheme="minorEastAsia" w:hAnsiTheme="minorEastAsia"/>
          <w:sz w:val="20"/>
          <w:szCs w:val="20"/>
        </w:rPr>
        <w:t>。</w:t>
      </w:r>
    </w:p>
    <w:p w14:paraId="4D90492C">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（二）合同总价包括：货物费、运输费（含保险费）、装卸费、检测验收、税金（含关税）、培训费、技术服务及其它费用。</w:t>
      </w:r>
    </w:p>
    <w:p w14:paraId="4FAAD53D">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（三）合同总价一次性包死，不受市场价格变化因素的影响。</w:t>
      </w:r>
    </w:p>
    <w:p w14:paraId="75BA3396">
      <w:pPr>
        <w:tabs>
          <w:tab w:val="left" w:pos="480"/>
        </w:tabs>
        <w:spacing w:line="300" w:lineRule="auto"/>
        <w:ind w:firstLine="402" w:firstLineChars="200"/>
        <w:rPr>
          <w:rFonts w:hint="eastAsia" w:cs="仿宋" w:asciiTheme="minorEastAsia" w:hAnsiTheme="minorEastAsia"/>
          <w:sz w:val="20"/>
          <w:szCs w:val="20"/>
        </w:rPr>
      </w:pPr>
      <w:r>
        <w:rPr>
          <w:rFonts w:hint="eastAsia" w:cs="仿宋" w:asciiTheme="minorEastAsia" w:hAnsiTheme="minorEastAsia"/>
          <w:b/>
          <w:sz w:val="20"/>
          <w:szCs w:val="20"/>
        </w:rPr>
        <w:t>三、款项结算</w:t>
      </w:r>
    </w:p>
    <w:p w14:paraId="0C7686D6">
      <w:p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合同签订后，乙方须按其投标文件中响应的供货期按时交货并提供全额合规发票，保证“货票同行”。货物到达甲方指定地点，验收合格后，达到付款条件起30日内，甲方一次性支付合同总价款，即人民币（大写）：</w:t>
      </w:r>
      <w:r>
        <w:rPr>
          <w:rFonts w:cs="仿宋" w:asciiTheme="minorEastAsia" w:hAnsiTheme="minorEastAsia"/>
          <w:sz w:val="20"/>
          <w:szCs w:val="20"/>
          <w:u w:val="single"/>
        </w:rPr>
        <w:t xml:space="preserve">         </w:t>
      </w:r>
      <w:r>
        <w:rPr>
          <w:rFonts w:hint="eastAsia" w:cs="仿宋" w:asciiTheme="minorEastAsia" w:hAnsiTheme="minorEastAsia"/>
          <w:sz w:val="20"/>
          <w:szCs w:val="20"/>
        </w:rPr>
        <w:t>元整（</w:t>
      </w:r>
      <w:r>
        <w:rPr>
          <w:rFonts w:hint="eastAsia" w:cs="Calibri" w:asciiTheme="minorEastAsia" w:hAnsiTheme="minorEastAsia"/>
          <w:sz w:val="20"/>
          <w:szCs w:val="20"/>
        </w:rPr>
        <w:t>¥</w:t>
      </w:r>
      <w:r>
        <w:rPr>
          <w:rFonts w:cs="仿宋" w:asciiTheme="minorEastAsia" w:hAnsiTheme="minorEastAsia"/>
          <w:sz w:val="20"/>
          <w:szCs w:val="20"/>
          <w:u w:val="single"/>
        </w:rPr>
        <w:t xml:space="preserve">         </w:t>
      </w:r>
      <w:r>
        <w:rPr>
          <w:rFonts w:hint="eastAsia" w:cs="仿宋" w:asciiTheme="minorEastAsia" w:hAnsiTheme="minorEastAsia"/>
          <w:sz w:val="20"/>
          <w:szCs w:val="20"/>
        </w:rPr>
        <w:t>元）。</w:t>
      </w:r>
    </w:p>
    <w:p w14:paraId="4792FB17">
      <w:pPr>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四、交货条件：</w:t>
      </w:r>
    </w:p>
    <w:p w14:paraId="2535792F">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（一）交货地点：</w:t>
      </w:r>
      <w:r>
        <w:rPr>
          <w:rFonts w:hint="eastAsia" w:cs="仿宋" w:asciiTheme="minorEastAsia" w:hAnsiTheme="minorEastAsia"/>
          <w:b/>
          <w:bCs/>
          <w:sz w:val="20"/>
          <w:szCs w:val="20"/>
        </w:rPr>
        <w:t>西安市疾病预防控制中心指定地点</w:t>
      </w:r>
      <w:r>
        <w:rPr>
          <w:rFonts w:hint="eastAsia" w:cs="仿宋" w:asciiTheme="minorEastAsia" w:hAnsiTheme="minorEastAsia"/>
          <w:bCs/>
          <w:sz w:val="20"/>
          <w:szCs w:val="20"/>
        </w:rPr>
        <w:t>。</w:t>
      </w:r>
    </w:p>
    <w:p w14:paraId="621878AF">
      <w:pPr>
        <w:tabs>
          <w:tab w:val="left" w:pos="480"/>
        </w:tabs>
        <w:spacing w:line="300" w:lineRule="auto"/>
        <w:ind w:firstLine="200"/>
        <w:rPr>
          <w:rFonts w:hint="eastAsia" w:cs="仿宋" w:asciiTheme="minorEastAsia" w:hAnsiTheme="minorEastAsia"/>
          <w:b/>
          <w:bCs/>
          <w:sz w:val="20"/>
          <w:szCs w:val="20"/>
          <w:u w:val="single"/>
        </w:rPr>
      </w:pPr>
      <w:r>
        <w:rPr>
          <w:rFonts w:hint="eastAsia" w:cs="仿宋" w:asciiTheme="minorEastAsia" w:hAnsiTheme="minorEastAsia"/>
          <w:sz w:val="20"/>
          <w:szCs w:val="20"/>
        </w:rPr>
        <w:t>（二）供货期限：</w:t>
      </w:r>
      <w:r>
        <w:rPr>
          <w:rFonts w:hint="eastAsia" w:cs="仿宋" w:asciiTheme="minorEastAsia" w:hAnsiTheme="minorEastAsia"/>
          <w:b/>
          <w:bCs/>
          <w:sz w:val="20"/>
          <w:szCs w:val="20"/>
        </w:rPr>
        <w:t>接到采购人送货通知后，30天内送达采购人指定地点。</w:t>
      </w:r>
    </w:p>
    <w:p w14:paraId="62E67345">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五、运输</w:t>
      </w:r>
    </w:p>
    <w:p w14:paraId="6CCAE724">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（一）运输由乙方负责，运杂费已包含在合同总价内，包括从货物供应地点至交货地点所含的运输费、装卸费、仓储费、保险费等。</w:t>
      </w:r>
    </w:p>
    <w:p w14:paraId="1A1C77E6">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（二）运输方式由乙方自行选择，但必须保证按期交货。</w:t>
      </w:r>
    </w:p>
    <w:p w14:paraId="5A37C86E">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（三）因运输产生的一切风险及质量问题均由乙方承担。</w:t>
      </w:r>
    </w:p>
    <w:p w14:paraId="4A86A23B">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六、质量保证</w:t>
      </w:r>
    </w:p>
    <w:p w14:paraId="75F291BF">
      <w:p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14:paraId="5F9F41C1">
      <w:pPr>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七、售后服务</w:t>
      </w:r>
    </w:p>
    <w:p w14:paraId="37E0B84D">
      <w:p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乙方为甲方所供货物须提供以下售后服务：</w:t>
      </w:r>
    </w:p>
    <w:p w14:paraId="2885521F">
      <w:pPr>
        <w:numPr>
          <w:ilvl w:val="0"/>
          <w:numId w:val="0"/>
        </w:num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eastAsiaTheme="minorEastAsia"/>
          <w:kern w:val="2"/>
          <w:sz w:val="20"/>
          <w:szCs w:val="20"/>
          <w:lang w:val="en-US" w:eastAsia="zh-CN" w:bidi="ar-SA"/>
        </w:rPr>
        <w:t>1、</w:t>
      </w:r>
      <w:r>
        <w:rPr>
          <w:rFonts w:hint="eastAsia" w:cs="仿宋" w:asciiTheme="minorEastAsia" w:hAnsiTheme="minorEastAsia"/>
          <w:sz w:val="20"/>
          <w:szCs w:val="20"/>
        </w:rPr>
        <w:t>自货物验收合格之日起计算,有效期：≥12个月，到货后质保期≥10个月。</w:t>
      </w:r>
    </w:p>
    <w:p w14:paraId="212C4DAD">
      <w:pPr>
        <w:numPr>
          <w:ilvl w:val="0"/>
          <w:numId w:val="0"/>
        </w:numPr>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eastAsiaTheme="minorEastAsia"/>
          <w:kern w:val="2"/>
          <w:sz w:val="20"/>
          <w:szCs w:val="20"/>
          <w:lang w:val="en-US" w:eastAsia="zh-CN" w:bidi="ar-SA"/>
        </w:rPr>
        <w:t>2、</w:t>
      </w:r>
      <w:r>
        <w:rPr>
          <w:rFonts w:hint="eastAsia" w:cs="仿宋" w:asciiTheme="minorEastAsia" w:hAnsiTheme="minorEastAsia"/>
          <w:sz w:val="20"/>
          <w:szCs w:val="20"/>
        </w:rPr>
        <w:t>试剂在使用过程中，如有任何问题，保证2小时内答复，4小时内到达用户现场解决问题，直至保证试剂能够正常使用。在应急突发、节假日期间如遇急需试剂可24小时随时响应，2小时内将试剂送达用户现场，如遇夜间4小时内送达用户现场。</w:t>
      </w:r>
      <w:bookmarkStart w:id="0" w:name="_GoBack"/>
      <w:bookmarkEnd w:id="0"/>
    </w:p>
    <w:p w14:paraId="38E3F2D8">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八、技术与服务</w:t>
      </w:r>
    </w:p>
    <w:p w14:paraId="24DD4CF5">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（一）技术资料：</w:t>
      </w:r>
    </w:p>
    <w:p w14:paraId="13DD56D3">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1.操作使用说明和保存条件。</w:t>
      </w:r>
    </w:p>
    <w:p w14:paraId="7E7486B1">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2.制造厂商的检验、测试报告、检验合格证书，质量保证书等文件须验收时一并提供。</w:t>
      </w:r>
    </w:p>
    <w:p w14:paraId="78BEC6E2">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 xml:space="preserve">3.货物验收标准      </w:t>
      </w:r>
    </w:p>
    <w:p w14:paraId="1CDC3AD1">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 xml:space="preserve">4.使用说明书                </w:t>
      </w:r>
    </w:p>
    <w:p w14:paraId="0B83B5B1">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 xml:space="preserve">5.必须的其它技术资料。      </w:t>
      </w:r>
    </w:p>
    <w:p w14:paraId="1D56511D">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6.合同中要求的其他文件资料</w:t>
      </w:r>
    </w:p>
    <w:p w14:paraId="1E315831">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（二）培训要求：验收后，乙方需为甲方培训操作使用技术人员二名，提高操作培训二名，培训服务以受培训人员熟练掌握相应技能为原则。</w:t>
      </w:r>
    </w:p>
    <w:p w14:paraId="5E91C433">
      <w:pPr>
        <w:tabs>
          <w:tab w:val="left" w:pos="480"/>
        </w:tabs>
        <w:spacing w:line="300" w:lineRule="auto"/>
        <w:ind w:firstLine="200"/>
        <w:rPr>
          <w:rFonts w:hint="eastAsia" w:cs="仿宋" w:asciiTheme="minorEastAsia" w:hAnsiTheme="minorEastAsia"/>
          <w:bCs/>
          <w:sz w:val="20"/>
          <w:szCs w:val="20"/>
        </w:rPr>
      </w:pPr>
      <w:r>
        <w:rPr>
          <w:rFonts w:hint="eastAsia" w:cs="仿宋" w:asciiTheme="minorEastAsia" w:hAnsiTheme="minorEastAsia"/>
          <w:bCs/>
          <w:sz w:val="20"/>
          <w:szCs w:val="20"/>
        </w:rPr>
        <w:t>（三）服务承诺：以投标文件、澄清表（函）、合同和随货物的相关文件为准。</w:t>
      </w:r>
    </w:p>
    <w:p w14:paraId="3281FC9B">
      <w:pPr>
        <w:tabs>
          <w:tab w:val="left" w:pos="480"/>
        </w:tabs>
        <w:spacing w:line="300" w:lineRule="auto"/>
        <w:ind w:firstLine="200"/>
        <w:rPr>
          <w:rFonts w:hint="eastAsia" w:cs="仿宋" w:asciiTheme="minorEastAsia" w:hAnsiTheme="minorEastAsia"/>
          <w:b/>
          <w:sz w:val="20"/>
          <w:szCs w:val="20"/>
        </w:rPr>
      </w:pPr>
      <w:r>
        <w:rPr>
          <w:rFonts w:hint="eastAsia" w:cs="仿宋" w:asciiTheme="minorEastAsia" w:hAnsiTheme="minorEastAsia"/>
          <w:b/>
          <w:sz w:val="20"/>
          <w:szCs w:val="20"/>
        </w:rPr>
        <w:t>九、验收</w:t>
      </w:r>
    </w:p>
    <w:p w14:paraId="5DB9A47F">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由甲方和乙方共同对货物进行验收。其内容包括确认货物的包装、产地、规格、型号和数量，对其货物技术指标、性能参数进行逐项核验。</w:t>
      </w:r>
    </w:p>
    <w:p w14:paraId="5524F3C2">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1.验收货物的指标、性能参数通过验收达到合同要求，或出现甲方不能正常使用的情况，将视为验收不合格，乙方应及时更换或退货。</w:t>
      </w:r>
    </w:p>
    <w:p w14:paraId="71791498">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2.若发现乙方有弄虚作假的，故意或随意夸大货物技术性能，甲方除要求退货外，有权要求乙方赔偿甲方相应的损失。</w:t>
      </w:r>
    </w:p>
    <w:p w14:paraId="2A3D8769">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3.验收标准：按合同文件及澄清等技术指标进行验收。货物的各项指标均应符合验收标准及要求。</w:t>
      </w:r>
    </w:p>
    <w:p w14:paraId="701F55BC">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 xml:space="preserve">4.验收合格后，填写验收单，甲方签字后生效。                </w:t>
      </w:r>
    </w:p>
    <w:p w14:paraId="30D4E15A">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 xml:space="preserve">5.验收依据：                                                    </w:t>
      </w:r>
    </w:p>
    <w:p w14:paraId="357DA21A">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 xml:space="preserve">5.1本合同文本：                                                                         </w:t>
      </w:r>
    </w:p>
    <w:p w14:paraId="6469E959">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 xml:space="preserve">5.2国家和行业制定的相应的标准和规范。                          </w:t>
      </w:r>
    </w:p>
    <w:p w14:paraId="6E3D53F7">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5.3验收清单（注明品名、数量、价格、规格型号、产地和生产厂家）。</w:t>
      </w:r>
    </w:p>
    <w:p w14:paraId="4E2B7A40">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十、违约责任</w:t>
      </w:r>
    </w:p>
    <w:p w14:paraId="1E535311">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（一）按《民法典》中的相关条款执行。</w:t>
      </w:r>
    </w:p>
    <w:p w14:paraId="1E7BCBE1">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14:paraId="10890C84">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1.乙方赔偿甲方解除合同的全部损失（包括但不限于重新采购产生的费用、合同未履行导致货物不能按规划交付使用可能产生的由此造成的甲方对第三方的违约损失）；</w:t>
      </w:r>
    </w:p>
    <w:p w14:paraId="664D81AC">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2.乙方支付甲方违约金，违约金计算方法：以合同总价为基数，支付甲方合同总价的30%为违约金。同时对乙方的违约行为报监管机构进行相应的处罚。</w:t>
      </w:r>
    </w:p>
    <w:p w14:paraId="34AE014E">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十一、合同争议解决的方式</w:t>
      </w:r>
    </w:p>
    <w:p w14:paraId="411E62C8">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本合同在履行过程中发生的争议，由甲、乙双方当事人协商解决，协商不成的依法向甲方所在地人民法院起诉。</w:t>
      </w:r>
    </w:p>
    <w:p w14:paraId="3FDB524D">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十二、合同生效</w:t>
      </w:r>
    </w:p>
    <w:p w14:paraId="6B8038F8">
      <w:pPr>
        <w:tabs>
          <w:tab w:val="left" w:pos="480"/>
        </w:tabs>
        <w:spacing w:line="300" w:lineRule="auto"/>
        <w:ind w:firstLine="400" w:firstLineChars="200"/>
        <w:rPr>
          <w:rFonts w:hint="eastAsia" w:cs="仿宋" w:asciiTheme="minorEastAsia" w:hAnsiTheme="minorEastAsia"/>
          <w:sz w:val="20"/>
          <w:szCs w:val="20"/>
        </w:rPr>
      </w:pPr>
      <w:r>
        <w:rPr>
          <w:rFonts w:hint="eastAsia" w:cs="仿宋" w:asciiTheme="minorEastAsia" w:hAnsiTheme="minorEastAsia"/>
          <w:sz w:val="20"/>
          <w:szCs w:val="20"/>
        </w:rPr>
        <w:t>本合同一式柒份，甲方伍份，乙方壹份，鉴证方壹份，本合同经甲方、乙方和鉴证方签字盖章后生效，质保期结束后，自动终止（但合同的服务承诺除外）。</w:t>
      </w:r>
    </w:p>
    <w:p w14:paraId="07077415">
      <w:pPr>
        <w:tabs>
          <w:tab w:val="left" w:pos="480"/>
        </w:tabs>
        <w:spacing w:line="300" w:lineRule="auto"/>
        <w:ind w:firstLine="402" w:firstLineChars="200"/>
        <w:rPr>
          <w:rFonts w:hint="eastAsia" w:cs="仿宋" w:asciiTheme="minorEastAsia" w:hAnsiTheme="minorEastAsia"/>
          <w:b/>
          <w:sz w:val="20"/>
          <w:szCs w:val="20"/>
        </w:rPr>
      </w:pPr>
      <w:r>
        <w:rPr>
          <w:rFonts w:hint="eastAsia" w:cs="仿宋" w:asciiTheme="minorEastAsia" w:hAnsiTheme="minorEastAsia"/>
          <w:b/>
          <w:sz w:val="20"/>
          <w:szCs w:val="20"/>
        </w:rPr>
        <w:t>十三、其他事项</w:t>
      </w:r>
    </w:p>
    <w:p w14:paraId="5783A974">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（一）西安市财政局政府采购管理处在合同的履行期间以及履行期后，可以随时检查项目的执行情况，对采购内容、标准进行调查核实，并对发现的问题进行处理。</w:t>
      </w:r>
    </w:p>
    <w:p w14:paraId="7C00265C">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（二）招标文件、投标文件、澄清表（函）、中标通知书、合同附件均成为合同不可分割的部分。</w:t>
      </w:r>
    </w:p>
    <w:p w14:paraId="76DA2B95">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（三）合同未尽事宜，由甲、乙双方协商，经见证方确认后，签订补充协议，与原合同具有同等法律效力。</w:t>
      </w:r>
    </w:p>
    <w:p w14:paraId="45B8006B">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（四）合同一经签订，不得擅自变更、中止或终止合同。对确需变更、调整或中止、终止合同的，有法律规定的按照法律规定，除合同约定外，由甲乙双方再行协商，协商一致前，原合同或条款继续履行。</w:t>
      </w:r>
    </w:p>
    <w:p w14:paraId="673B6E66">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（五）本合同按照中华人民共和国的现行法律进行解释。</w:t>
      </w:r>
    </w:p>
    <w:p w14:paraId="147F6B26">
      <w:pPr>
        <w:tabs>
          <w:tab w:val="left" w:pos="480"/>
        </w:tabs>
        <w:spacing w:line="300" w:lineRule="auto"/>
        <w:ind w:firstLine="200"/>
        <w:rPr>
          <w:rFonts w:hint="eastAsia" w:cs="仿宋" w:asciiTheme="minorEastAsia" w:hAnsiTheme="minorEastAsia"/>
          <w:sz w:val="20"/>
          <w:szCs w:val="20"/>
        </w:rPr>
      </w:pPr>
      <w:r>
        <w:rPr>
          <w:rFonts w:hint="eastAsia" w:cs="仿宋" w:asciiTheme="minorEastAsia" w:hAnsiTheme="minorEastAsia"/>
          <w:sz w:val="20"/>
          <w:szCs w:val="20"/>
        </w:rPr>
        <w:t>（六）本合同附件作为本合同的组成部分，与本合同具有同等法律效力。</w:t>
      </w:r>
    </w:p>
    <w:p w14:paraId="7707FEBD">
      <w:pPr>
        <w:tabs>
          <w:tab w:val="left" w:pos="480"/>
        </w:tabs>
        <w:spacing w:line="300" w:lineRule="auto"/>
        <w:ind w:firstLine="200"/>
        <w:rPr>
          <w:rFonts w:hint="eastAsia" w:ascii="宋体" w:hAnsi="宋体" w:eastAsia="宋体" w:cs="宋体"/>
          <w:szCs w:val="21"/>
        </w:rPr>
      </w:pPr>
      <w:r>
        <w:rPr>
          <w:rFonts w:hint="eastAsia" w:ascii="宋体" w:hAnsi="宋体" w:eastAsia="宋体" w:cs="宋体"/>
          <w:szCs w:val="21"/>
        </w:rPr>
        <w:t>（以下无正文）</w:t>
      </w:r>
    </w:p>
    <w:p w14:paraId="2711E1B5">
      <w:pPr>
        <w:tabs>
          <w:tab w:val="left" w:pos="480"/>
        </w:tabs>
        <w:spacing w:line="300" w:lineRule="auto"/>
        <w:ind w:firstLine="200"/>
        <w:rPr>
          <w:rFonts w:hint="eastAsia" w:cs="仿宋" w:asciiTheme="minorEastAsia" w:hAnsiTheme="minorEastAsia"/>
          <w:sz w:val="20"/>
          <w:szCs w:val="20"/>
        </w:rPr>
      </w:pPr>
    </w:p>
    <w:tbl>
      <w:tblPr>
        <w:tblStyle w:val="4"/>
        <w:tblW w:w="0" w:type="auto"/>
        <w:tblInd w:w="0" w:type="dxa"/>
        <w:tblLayout w:type="autofit"/>
        <w:tblCellMar>
          <w:top w:w="0" w:type="dxa"/>
          <w:left w:w="108" w:type="dxa"/>
          <w:bottom w:w="0" w:type="dxa"/>
          <w:right w:w="108" w:type="dxa"/>
        </w:tblCellMar>
      </w:tblPr>
      <w:tblGrid>
        <w:gridCol w:w="4645"/>
        <w:gridCol w:w="4643"/>
      </w:tblGrid>
      <w:tr w14:paraId="31F6C15D">
        <w:tblPrEx>
          <w:tblCellMar>
            <w:top w:w="0" w:type="dxa"/>
            <w:left w:w="108" w:type="dxa"/>
            <w:bottom w:w="0" w:type="dxa"/>
            <w:right w:w="108" w:type="dxa"/>
          </w:tblCellMar>
        </w:tblPrEx>
        <w:tc>
          <w:tcPr>
            <w:tcW w:w="4657" w:type="dxa"/>
            <w:vAlign w:val="center"/>
          </w:tcPr>
          <w:p w14:paraId="50279A89">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甲  方（法人公章）</w:t>
            </w:r>
          </w:p>
        </w:tc>
        <w:tc>
          <w:tcPr>
            <w:tcW w:w="4655" w:type="dxa"/>
            <w:vAlign w:val="center"/>
          </w:tcPr>
          <w:p w14:paraId="722D47BF">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乙  方（法人公章）</w:t>
            </w:r>
          </w:p>
        </w:tc>
      </w:tr>
      <w:tr w14:paraId="4842CA93">
        <w:tblPrEx>
          <w:tblCellMar>
            <w:top w:w="0" w:type="dxa"/>
            <w:left w:w="108" w:type="dxa"/>
            <w:bottom w:w="0" w:type="dxa"/>
            <w:right w:w="108" w:type="dxa"/>
          </w:tblCellMar>
        </w:tblPrEx>
        <w:tc>
          <w:tcPr>
            <w:tcW w:w="4657" w:type="dxa"/>
            <w:vAlign w:val="center"/>
          </w:tcPr>
          <w:p w14:paraId="0D4DAE73">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单位名称：西安市疾病预防控制中心</w:t>
            </w:r>
          </w:p>
        </w:tc>
        <w:tc>
          <w:tcPr>
            <w:tcW w:w="4655" w:type="dxa"/>
            <w:vAlign w:val="center"/>
          </w:tcPr>
          <w:p w14:paraId="25FA35CE">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 xml:space="preserve">单位名称: </w:t>
            </w:r>
          </w:p>
        </w:tc>
      </w:tr>
      <w:tr w14:paraId="737F0466">
        <w:tblPrEx>
          <w:tblCellMar>
            <w:top w:w="0" w:type="dxa"/>
            <w:left w:w="108" w:type="dxa"/>
            <w:bottom w:w="0" w:type="dxa"/>
            <w:right w:w="108" w:type="dxa"/>
          </w:tblCellMar>
        </w:tblPrEx>
        <w:tc>
          <w:tcPr>
            <w:tcW w:w="4657" w:type="dxa"/>
            <w:vAlign w:val="center"/>
          </w:tcPr>
          <w:p w14:paraId="65EFF783">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地  址：西安市雁塔区西影路599号</w:t>
            </w:r>
          </w:p>
        </w:tc>
        <w:tc>
          <w:tcPr>
            <w:tcW w:w="4655" w:type="dxa"/>
            <w:vAlign w:val="center"/>
          </w:tcPr>
          <w:p w14:paraId="1CF25DEE">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 xml:space="preserve">地址： </w:t>
            </w:r>
          </w:p>
        </w:tc>
      </w:tr>
      <w:tr w14:paraId="62811F57">
        <w:tblPrEx>
          <w:tblCellMar>
            <w:top w:w="0" w:type="dxa"/>
            <w:left w:w="108" w:type="dxa"/>
            <w:bottom w:w="0" w:type="dxa"/>
            <w:right w:w="108" w:type="dxa"/>
          </w:tblCellMar>
        </w:tblPrEx>
        <w:trPr>
          <w:trHeight w:val="579" w:hRule="atLeast"/>
        </w:trPr>
        <w:tc>
          <w:tcPr>
            <w:tcW w:w="4657" w:type="dxa"/>
            <w:vAlign w:val="center"/>
          </w:tcPr>
          <w:p w14:paraId="06756DCB">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法定代表人：（签字）</w:t>
            </w:r>
          </w:p>
        </w:tc>
        <w:tc>
          <w:tcPr>
            <w:tcW w:w="4655" w:type="dxa"/>
            <w:vAlign w:val="center"/>
          </w:tcPr>
          <w:p w14:paraId="677C9F56">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法定代表人或代理人：（签字）</w:t>
            </w:r>
          </w:p>
        </w:tc>
      </w:tr>
      <w:tr w14:paraId="7824B022">
        <w:tblPrEx>
          <w:tblCellMar>
            <w:top w:w="0" w:type="dxa"/>
            <w:left w:w="108" w:type="dxa"/>
            <w:bottom w:w="0" w:type="dxa"/>
            <w:right w:w="108" w:type="dxa"/>
          </w:tblCellMar>
        </w:tblPrEx>
        <w:tc>
          <w:tcPr>
            <w:tcW w:w="4657" w:type="dxa"/>
            <w:vAlign w:val="center"/>
          </w:tcPr>
          <w:p w14:paraId="58E81D65">
            <w:pPr>
              <w:tabs>
                <w:tab w:val="left" w:pos="480"/>
              </w:tabs>
              <w:snapToGrid w:val="0"/>
              <w:spacing w:line="360" w:lineRule="auto"/>
              <w:rPr>
                <w:rFonts w:hint="eastAsia" w:ascii="宋体" w:hAnsi="宋体" w:eastAsia="宋体" w:cs="宋体"/>
                <w:szCs w:val="21"/>
              </w:rPr>
            </w:pPr>
          </w:p>
        </w:tc>
        <w:tc>
          <w:tcPr>
            <w:tcW w:w="4655" w:type="dxa"/>
            <w:vAlign w:val="center"/>
          </w:tcPr>
          <w:p w14:paraId="15A2B520">
            <w:pPr>
              <w:tabs>
                <w:tab w:val="left" w:pos="480"/>
              </w:tabs>
              <w:snapToGrid w:val="0"/>
              <w:spacing w:line="360" w:lineRule="auto"/>
              <w:rPr>
                <w:rFonts w:hint="eastAsia" w:ascii="宋体" w:hAnsi="宋体" w:eastAsia="宋体" w:cs="宋体"/>
                <w:szCs w:val="21"/>
              </w:rPr>
            </w:pPr>
          </w:p>
          <w:p w14:paraId="50EB9EE6">
            <w:pPr>
              <w:pStyle w:val="3"/>
              <w:spacing w:line="360" w:lineRule="auto"/>
              <w:jc w:val="both"/>
              <w:rPr>
                <w:rFonts w:hint="eastAsia" w:ascii="宋体" w:hAnsi="宋体" w:eastAsia="宋体" w:cs="宋体"/>
                <w:sz w:val="21"/>
                <w:szCs w:val="21"/>
              </w:rPr>
            </w:pPr>
          </w:p>
          <w:p w14:paraId="38F310D7">
            <w:pPr>
              <w:spacing w:line="360" w:lineRule="auto"/>
              <w:rPr>
                <w:rFonts w:hint="eastAsia" w:ascii="宋体" w:hAnsi="宋体" w:eastAsia="宋体" w:cs="宋体"/>
                <w:szCs w:val="21"/>
              </w:rPr>
            </w:pPr>
            <w:r>
              <w:rPr>
                <w:rFonts w:hint="eastAsia" w:ascii="宋体" w:hAnsi="宋体" w:eastAsia="宋体" w:cs="宋体"/>
                <w:szCs w:val="21"/>
              </w:rPr>
              <w:t xml:space="preserve">开户银行: </w:t>
            </w:r>
          </w:p>
        </w:tc>
      </w:tr>
      <w:tr w14:paraId="375CA634">
        <w:tblPrEx>
          <w:tblCellMar>
            <w:top w:w="0" w:type="dxa"/>
            <w:left w:w="108" w:type="dxa"/>
            <w:bottom w:w="0" w:type="dxa"/>
            <w:right w:w="108" w:type="dxa"/>
          </w:tblCellMar>
        </w:tblPrEx>
        <w:trPr>
          <w:trHeight w:val="507" w:hRule="atLeast"/>
        </w:trPr>
        <w:tc>
          <w:tcPr>
            <w:tcW w:w="4657" w:type="dxa"/>
            <w:vAlign w:val="center"/>
          </w:tcPr>
          <w:p w14:paraId="0461D7BA">
            <w:pPr>
              <w:tabs>
                <w:tab w:val="left" w:pos="480"/>
              </w:tabs>
              <w:snapToGrid w:val="0"/>
              <w:spacing w:line="360" w:lineRule="auto"/>
              <w:rPr>
                <w:rFonts w:hint="eastAsia" w:ascii="宋体" w:hAnsi="宋体" w:eastAsia="宋体" w:cs="宋体"/>
                <w:szCs w:val="21"/>
              </w:rPr>
            </w:pPr>
          </w:p>
        </w:tc>
        <w:tc>
          <w:tcPr>
            <w:tcW w:w="4655" w:type="dxa"/>
            <w:vAlign w:val="center"/>
          </w:tcPr>
          <w:p w14:paraId="0B2144CB">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 xml:space="preserve">帐    号： </w:t>
            </w:r>
          </w:p>
        </w:tc>
      </w:tr>
      <w:tr w14:paraId="3511AD2B">
        <w:tblPrEx>
          <w:tblCellMar>
            <w:top w:w="0" w:type="dxa"/>
            <w:left w:w="108" w:type="dxa"/>
            <w:bottom w:w="0" w:type="dxa"/>
            <w:right w:w="108" w:type="dxa"/>
          </w:tblCellMar>
        </w:tblPrEx>
        <w:trPr>
          <w:trHeight w:val="663" w:hRule="atLeast"/>
        </w:trPr>
        <w:tc>
          <w:tcPr>
            <w:tcW w:w="4657" w:type="dxa"/>
            <w:vAlign w:val="center"/>
          </w:tcPr>
          <w:p w14:paraId="48D0E487">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签订日期：     年   月    日</w:t>
            </w:r>
          </w:p>
        </w:tc>
        <w:tc>
          <w:tcPr>
            <w:tcW w:w="4655" w:type="dxa"/>
            <w:vAlign w:val="center"/>
          </w:tcPr>
          <w:p w14:paraId="388555B7">
            <w:pPr>
              <w:tabs>
                <w:tab w:val="left" w:pos="480"/>
              </w:tabs>
              <w:snapToGrid w:val="0"/>
              <w:spacing w:line="360" w:lineRule="auto"/>
              <w:rPr>
                <w:rFonts w:hint="eastAsia" w:ascii="宋体" w:hAnsi="宋体" w:eastAsia="宋体" w:cs="宋体"/>
                <w:szCs w:val="21"/>
              </w:rPr>
            </w:pPr>
            <w:r>
              <w:rPr>
                <w:rFonts w:hint="eastAsia" w:ascii="宋体" w:hAnsi="宋体" w:eastAsia="宋体" w:cs="宋体"/>
                <w:szCs w:val="21"/>
              </w:rPr>
              <w:t>签订日期：   年   月   日</w:t>
            </w:r>
          </w:p>
        </w:tc>
      </w:tr>
    </w:tbl>
    <w:p w14:paraId="452F63A6">
      <w:pPr>
        <w:tabs>
          <w:tab w:val="left" w:pos="480"/>
        </w:tabs>
        <w:spacing w:line="360" w:lineRule="auto"/>
        <w:rPr>
          <w:rFonts w:hint="eastAsia" w:ascii="宋体" w:hAnsi="宋体" w:eastAsia="宋体" w:cs="宋体"/>
          <w:szCs w:val="21"/>
        </w:rPr>
      </w:pPr>
    </w:p>
    <w:p w14:paraId="23A0907D">
      <w:pPr>
        <w:tabs>
          <w:tab w:val="left" w:pos="480"/>
        </w:tabs>
        <w:spacing w:line="360" w:lineRule="auto"/>
        <w:rPr>
          <w:rFonts w:hint="eastAsia" w:ascii="宋体" w:hAnsi="宋体" w:eastAsia="宋体" w:cs="宋体"/>
          <w:szCs w:val="21"/>
        </w:rPr>
      </w:pPr>
      <w:r>
        <w:rPr>
          <w:rFonts w:hint="eastAsia" w:ascii="宋体" w:hAnsi="宋体" w:eastAsia="宋体" w:cs="宋体"/>
          <w:szCs w:val="21"/>
        </w:rPr>
        <w:t>鉴 证 方：</w:t>
      </w:r>
    </w:p>
    <w:p w14:paraId="66381400">
      <w:pPr>
        <w:tabs>
          <w:tab w:val="left" w:pos="480"/>
        </w:tabs>
        <w:spacing w:line="360" w:lineRule="auto"/>
        <w:rPr>
          <w:rFonts w:hint="eastAsia" w:ascii="宋体" w:hAnsi="宋体" w:eastAsia="宋体" w:cs="宋体"/>
          <w:szCs w:val="21"/>
        </w:rPr>
      </w:pPr>
      <w:r>
        <w:rPr>
          <w:rFonts w:hint="eastAsia" w:ascii="宋体" w:hAnsi="宋体" w:eastAsia="宋体" w:cs="宋体"/>
          <w:szCs w:val="21"/>
        </w:rPr>
        <w:t>单位名称：</w:t>
      </w:r>
    </w:p>
    <w:p w14:paraId="6F0EB7D0">
      <w:pPr>
        <w:tabs>
          <w:tab w:val="left" w:pos="480"/>
        </w:tabs>
        <w:spacing w:line="360" w:lineRule="auto"/>
        <w:rPr>
          <w:rFonts w:hint="eastAsia" w:ascii="宋体" w:hAnsi="宋体" w:eastAsia="宋体" w:cs="宋体"/>
          <w:szCs w:val="21"/>
        </w:rPr>
      </w:pPr>
      <w:r>
        <w:rPr>
          <w:rFonts w:hint="eastAsia" w:ascii="宋体" w:hAnsi="宋体" w:eastAsia="宋体" w:cs="宋体"/>
          <w:szCs w:val="21"/>
        </w:rPr>
        <w:t>代 理 人：             （签字）</w:t>
      </w:r>
    </w:p>
    <w:p w14:paraId="3B78F461">
      <w:pPr>
        <w:tabs>
          <w:tab w:val="left" w:pos="480"/>
        </w:tabs>
        <w:spacing w:line="300" w:lineRule="auto"/>
      </w:pPr>
      <w:r>
        <w:rPr>
          <w:rFonts w:hint="eastAsia" w:ascii="宋体" w:hAnsi="宋体" w:eastAsia="宋体" w:cs="宋体"/>
          <w:szCs w:val="21"/>
        </w:rPr>
        <w:t>签订日期：     年   月   日</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B21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 w:val="24"/>
    </w:rPr>
  </w:style>
  <w:style w:type="paragraph" w:styleId="3">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2025-05-09T07:29:43Z</dcterms:created>
  <dc:creator>Administrator</dc:creator>
  <cp:lastModifiedBy>夏日微凉</cp:lastModifiedBy>
  <dcterms:modified xsi:type="dcterms:W3CDTF">2025-05-09T07:31:20Z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971543DDDA234C14AE9564171B6DD3A3_12</vt:lpwstr>
  </property>
</Properties>
</file>