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版本号：【KRDL】K5--250402720250509001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污水站运维服务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【KRDL】K5--2504027</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污水站运维服务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【KRDL】K5--2504027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污水站运维服务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西安市红会医院南院区污水站设计处理能力850吨/天，每日进水量约600-700吨。具体详见本项目竞争性磋商文件服务内容及要求。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2、财务状况证明：供应商提供经会计师事务所审计的2023年度财务审计报告；或在开标日期前六个月内其基本开户银行出具的资信证明；</w:t>
      </w:r>
    </w:p>
    <w:p>
      <w:pPr>
        <w:pStyle w:val="null3"/>
      </w:pPr>
      <w:r>
        <w:rPr>
          <w:rFonts w:ascii="仿宋_GB2312" w:hAnsi="仿宋_GB2312" w:cs="仿宋_GB2312" w:eastAsia="仿宋_GB2312"/>
        </w:rPr>
        <w:t>3、税收缴纳证明：供应商提供本单位2024年04月至今已缴纳的至少一个月纳税证明或完税证明，依法免税的单位应提供相关证明材料；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04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誉要求：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6、企业资质要求：供应商具备建设行政主管部门颁发的环保工程专业承包三级及以上资质，并具有效的安全生产许可证；</w:t>
      </w:r>
    </w:p>
    <w:p>
      <w:pPr>
        <w:pStyle w:val="null3"/>
      </w:pPr>
      <w:r>
        <w:rPr>
          <w:rFonts w:ascii="仿宋_GB2312" w:hAnsi="仿宋_GB2312" w:cs="仿宋_GB2312" w:eastAsia="仿宋_GB2312"/>
        </w:rPr>
        <w:t>7、供应商承诺：本项目不接受由西安市红会医院职工及其亲属投资举办的企业参加磋商；</w:t>
      </w:r>
    </w:p>
    <w:p>
      <w:pPr>
        <w:pStyle w:val="null3"/>
      </w:pPr>
      <w:r>
        <w:rPr>
          <w:rFonts w:ascii="仿宋_GB2312" w:hAnsi="仿宋_GB2312" w:cs="仿宋_GB2312" w:eastAsia="仿宋_GB2312"/>
        </w:rPr>
        <w:t>8、是否面向中小企业采购：本项目为非专门面向中小企业项目。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西安市碑林区友谊东路555号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029-81870236、18821613947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乙方应当在中标通知书领取后五个工作日内将项目履约保证金（合同总金额的5％）缴纳至甲方财务科，未按照招标文件要求按时足额缴纳履约保证金的，甲方将取消乙方中标资格，且无需承担任何责任。合同约定事宜完成，验收合格后，无息退还履约保证金。甲方基本户户名：西安市红会医院账号：102407334632 开户行：中行西安长安路支行 注：转账请注明用途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代理服务费收费标准：成交供应商参照国家计委颁发的《招标代理服务收费管理暂行办法》（计价格[2002]1980号）规定标准下浮20%向采购代理机构一次付清代理服务费。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西安市红会医院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联系电话：029-81870236、18821613947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西安市红会医院南院区污水站设计处理能力850吨/天，每日进水量约600-700吨。具体详见本项目竞争性磋商文件服务内容及要求。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污水站运维服务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标的名称：污水站运维服务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西安市红会医院成立于</w:t>
            </w:r>
            <w:r>
              <w:rPr>
                <w:rFonts w:ascii="仿宋_GB2312" w:hAnsi="仿宋_GB2312" w:cs="仿宋_GB2312" w:eastAsia="仿宋_GB2312"/>
                <w:sz w:val="20"/>
              </w:rPr>
              <w:t>1911</w:t>
            </w:r>
            <w:r>
              <w:rPr>
                <w:rFonts w:ascii="仿宋_GB2312" w:hAnsi="仿宋_GB2312" w:cs="仿宋_GB2312" w:eastAsia="仿宋_GB2312"/>
                <w:sz w:val="20"/>
              </w:rPr>
              <w:t>年，历经百年，作为西安最早的公立医院，早在上世纪</w:t>
            </w:r>
            <w:r>
              <w:rPr>
                <w:rFonts w:ascii="仿宋_GB2312" w:hAnsi="仿宋_GB2312" w:cs="仿宋_GB2312" w:eastAsia="仿宋_GB2312"/>
                <w:sz w:val="20"/>
              </w:rPr>
              <w:t>80</w:t>
            </w:r>
            <w:r>
              <w:rPr>
                <w:rFonts w:ascii="仿宋_GB2312" w:hAnsi="仿宋_GB2312" w:cs="仿宋_GB2312" w:eastAsia="仿宋_GB2312"/>
                <w:sz w:val="20"/>
              </w:rPr>
              <w:t>年代被誉为“全国三大骨科中心”之一。医院占地面积</w:t>
            </w:r>
            <w:r>
              <w:rPr>
                <w:rFonts w:ascii="仿宋_GB2312" w:hAnsi="仿宋_GB2312" w:cs="仿宋_GB2312" w:eastAsia="仿宋_GB2312"/>
                <w:sz w:val="20"/>
              </w:rPr>
              <w:t>39989.2</w:t>
            </w:r>
            <w:r>
              <w:rPr>
                <w:rFonts w:ascii="仿宋_GB2312" w:hAnsi="仿宋_GB2312" w:cs="仿宋_GB2312" w:eastAsia="仿宋_GB2312"/>
                <w:sz w:val="20"/>
              </w:rPr>
              <w:t>平方米，建筑面积</w:t>
            </w:r>
            <w:r>
              <w:rPr>
                <w:rFonts w:ascii="仿宋_GB2312" w:hAnsi="仿宋_GB2312" w:cs="仿宋_GB2312" w:eastAsia="仿宋_GB2312"/>
                <w:sz w:val="20"/>
              </w:rPr>
              <w:t>121060.18</w:t>
            </w:r>
            <w:r>
              <w:rPr>
                <w:rFonts w:ascii="仿宋_GB2312" w:hAnsi="仿宋_GB2312" w:cs="仿宋_GB2312" w:eastAsia="仿宋_GB2312"/>
                <w:sz w:val="20"/>
              </w:rPr>
              <w:t>平方米，业务用房面积</w:t>
            </w:r>
            <w:r>
              <w:rPr>
                <w:rFonts w:ascii="仿宋_GB2312" w:hAnsi="仿宋_GB2312" w:cs="仿宋_GB2312" w:eastAsia="仿宋_GB2312"/>
                <w:sz w:val="20"/>
              </w:rPr>
              <w:t>87090.15</w:t>
            </w:r>
            <w:r>
              <w:rPr>
                <w:rFonts w:ascii="仿宋_GB2312" w:hAnsi="仿宋_GB2312" w:cs="仿宋_GB2312" w:eastAsia="仿宋_GB2312"/>
                <w:sz w:val="20"/>
              </w:rPr>
              <w:t>平方米，设有</w:t>
            </w:r>
            <w:r>
              <w:rPr>
                <w:rFonts w:ascii="仿宋_GB2312" w:hAnsi="仿宋_GB2312" w:cs="仿宋_GB2312" w:eastAsia="仿宋_GB2312"/>
                <w:sz w:val="20"/>
              </w:rPr>
              <w:t>3</w:t>
            </w:r>
            <w:r>
              <w:rPr>
                <w:rFonts w:ascii="仿宋_GB2312" w:hAnsi="仿宋_GB2312" w:cs="仿宋_GB2312" w:eastAsia="仿宋_GB2312"/>
                <w:sz w:val="20"/>
              </w:rPr>
              <w:t>个院区（西安市红会医院，红会医院阎良院区及红会医院北院区），</w:t>
            </w:r>
            <w:r>
              <w:rPr>
                <w:rFonts w:ascii="仿宋_GB2312" w:hAnsi="仿宋_GB2312" w:cs="仿宋_GB2312" w:eastAsia="仿宋_GB2312"/>
                <w:sz w:val="20"/>
              </w:rPr>
              <w:t>5</w:t>
            </w:r>
            <w:r>
              <w:rPr>
                <w:rFonts w:ascii="仿宋_GB2312" w:hAnsi="仿宋_GB2312" w:cs="仿宋_GB2312" w:eastAsia="仿宋_GB2312"/>
                <w:sz w:val="20"/>
              </w:rPr>
              <w:t>个院中院，</w:t>
            </w:r>
            <w:r>
              <w:rPr>
                <w:rFonts w:ascii="仿宋_GB2312" w:hAnsi="仿宋_GB2312" w:cs="仿宋_GB2312" w:eastAsia="仿宋_GB2312"/>
                <w:sz w:val="20"/>
              </w:rPr>
              <w:t>3</w:t>
            </w:r>
            <w:r>
              <w:rPr>
                <w:rFonts w:ascii="仿宋_GB2312" w:hAnsi="仿宋_GB2312" w:cs="仿宋_GB2312" w:eastAsia="仿宋_GB2312"/>
                <w:sz w:val="20"/>
              </w:rPr>
              <w:t>个诊疗中心，编制床位</w:t>
            </w:r>
            <w:r>
              <w:rPr>
                <w:rFonts w:ascii="仿宋_GB2312" w:hAnsi="仿宋_GB2312" w:cs="仿宋_GB2312" w:eastAsia="仿宋_GB2312"/>
                <w:sz w:val="20"/>
              </w:rPr>
              <w:t>1631</w:t>
            </w:r>
            <w:r>
              <w:rPr>
                <w:rFonts w:ascii="仿宋_GB2312" w:hAnsi="仿宋_GB2312" w:cs="仿宋_GB2312" w:eastAsia="仿宋_GB2312"/>
                <w:sz w:val="20"/>
              </w:rPr>
              <w:t>张，实际开放床位</w:t>
            </w:r>
            <w:r>
              <w:rPr>
                <w:rFonts w:ascii="仿宋_GB2312" w:hAnsi="仿宋_GB2312" w:cs="仿宋_GB2312" w:eastAsia="仿宋_GB2312"/>
                <w:sz w:val="20"/>
              </w:rPr>
              <w:t>1631</w:t>
            </w:r>
            <w:r>
              <w:rPr>
                <w:rFonts w:ascii="仿宋_GB2312" w:hAnsi="仿宋_GB2312" w:cs="仿宋_GB2312" w:eastAsia="仿宋_GB2312"/>
                <w:sz w:val="20"/>
              </w:rPr>
              <w:t>张，其中骨科床位</w:t>
            </w:r>
            <w:r>
              <w:rPr>
                <w:rFonts w:ascii="仿宋_GB2312" w:hAnsi="仿宋_GB2312" w:cs="仿宋_GB2312" w:eastAsia="仿宋_GB2312"/>
                <w:sz w:val="20"/>
              </w:rPr>
              <w:t>1100</w:t>
            </w:r>
            <w:r>
              <w:rPr>
                <w:rFonts w:ascii="仿宋_GB2312" w:hAnsi="仿宋_GB2312" w:cs="仿宋_GB2312" w:eastAsia="仿宋_GB2312"/>
                <w:sz w:val="20"/>
              </w:rPr>
              <w:t>张，现有</w:t>
            </w:r>
            <w:r>
              <w:rPr>
                <w:rFonts w:ascii="仿宋_GB2312" w:hAnsi="仿宋_GB2312" w:cs="仿宋_GB2312" w:eastAsia="仿宋_GB2312"/>
                <w:sz w:val="20"/>
              </w:rPr>
              <w:t>51</w:t>
            </w:r>
            <w:r>
              <w:rPr>
                <w:rFonts w:ascii="仿宋_GB2312" w:hAnsi="仿宋_GB2312" w:cs="仿宋_GB2312" w:eastAsia="仿宋_GB2312"/>
                <w:sz w:val="20"/>
              </w:rPr>
              <w:t>个临床科室，</w:t>
            </w:r>
            <w:r>
              <w:rPr>
                <w:rFonts w:ascii="仿宋_GB2312" w:hAnsi="仿宋_GB2312" w:cs="仿宋_GB2312" w:eastAsia="仿宋_GB2312"/>
                <w:sz w:val="20"/>
              </w:rPr>
              <w:t>6</w:t>
            </w:r>
            <w:r>
              <w:rPr>
                <w:rFonts w:ascii="仿宋_GB2312" w:hAnsi="仿宋_GB2312" w:cs="仿宋_GB2312" w:eastAsia="仿宋_GB2312"/>
                <w:sz w:val="20"/>
              </w:rPr>
              <w:t>个门诊科室及</w:t>
            </w:r>
            <w:r>
              <w:rPr>
                <w:rFonts w:ascii="仿宋_GB2312" w:hAnsi="仿宋_GB2312" w:cs="仿宋_GB2312" w:eastAsia="仿宋_GB2312"/>
                <w:sz w:val="20"/>
              </w:rPr>
              <w:t>16</w:t>
            </w:r>
            <w:r>
              <w:rPr>
                <w:rFonts w:ascii="仿宋_GB2312" w:hAnsi="仿宋_GB2312" w:cs="仿宋_GB2312" w:eastAsia="仿宋_GB2312"/>
                <w:sz w:val="20"/>
              </w:rPr>
              <w:t>个医技科室。骨科医疗服务覆盖全省，辐射周边。污水站每月进水量约</w:t>
            </w:r>
            <w:r>
              <w:rPr>
                <w:rFonts w:ascii="仿宋_GB2312" w:hAnsi="仿宋_GB2312" w:cs="仿宋_GB2312" w:eastAsia="仿宋_GB2312"/>
                <w:sz w:val="20"/>
              </w:rPr>
              <w:t>600-700</w:t>
            </w:r>
            <w:r>
              <w:rPr>
                <w:rFonts w:ascii="仿宋_GB2312" w:hAnsi="仿宋_GB2312" w:cs="仿宋_GB2312" w:eastAsia="仿宋_GB2312"/>
                <w:sz w:val="20"/>
              </w:rPr>
              <w:t>吨，污水每月出水量约</w:t>
            </w:r>
            <w:r>
              <w:rPr>
                <w:rFonts w:ascii="仿宋_GB2312" w:hAnsi="仿宋_GB2312" w:cs="仿宋_GB2312" w:eastAsia="仿宋_GB2312"/>
                <w:sz w:val="20"/>
              </w:rPr>
              <w:t>540</w:t>
            </w:r>
            <w:r>
              <w:rPr>
                <w:rFonts w:ascii="仿宋_GB2312" w:hAnsi="仿宋_GB2312" w:cs="仿宋_GB2312" w:eastAsia="仿宋_GB2312"/>
                <w:sz w:val="20"/>
              </w:rPr>
              <w:t>吨。</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、服务内容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服务区域：西安市红会医院</w:t>
            </w:r>
            <w:r>
              <w:rPr>
                <w:rFonts w:ascii="仿宋_GB2312" w:hAnsi="仿宋_GB2312" w:cs="仿宋_GB2312" w:eastAsia="仿宋_GB2312"/>
                <w:sz w:val="20"/>
              </w:rPr>
              <w:t>南院区</w:t>
            </w:r>
            <w:r>
              <w:rPr>
                <w:rFonts w:ascii="仿宋_GB2312" w:hAnsi="仿宋_GB2312" w:cs="仿宋_GB2312" w:eastAsia="仿宋_GB2312"/>
                <w:sz w:val="20"/>
              </w:rPr>
              <w:t>污水站。</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服务内容：需处理污</w:t>
            </w:r>
            <w:r>
              <w:rPr>
                <w:rFonts w:ascii="仿宋_GB2312" w:hAnsi="仿宋_GB2312" w:cs="仿宋_GB2312" w:eastAsia="仿宋_GB2312"/>
                <w:sz w:val="20"/>
              </w:rPr>
              <w:t>水治理及其再生利用服务项目，负责污水站的系统日常运行、管理、设备维护维修、检测、检测药剂及消毒药剂购买及使用、储存、使用中的安全及设备的</w:t>
            </w:r>
            <w:r>
              <w:rPr>
                <w:rFonts w:ascii="仿宋_GB2312" w:hAnsi="仿宋_GB2312" w:cs="仿宋_GB2312" w:eastAsia="仿宋_GB2312"/>
                <w:sz w:val="20"/>
              </w:rPr>
              <w:t>运行操作安全等工作，具体内容详见磋商文件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b/>
              </w:rPr>
              <w:t>本项目不接受联合体投标，供应商必须自己处置，不得转移或委托第三方处置，否则按废标处理。</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b/>
              </w:rPr>
              <w:t>运营服务费的结算形式：一次性包干制。为完成本合同规定的服务内容所发生的一切费用，包括人员工资（含社保）、消毒及监测药剂、池体清洗费、水质日常检测、设备维修、保养、办公用品、管理费、企业利润、税金等全部费用。不受外界任何因素调整。</w:t>
            </w:r>
          </w:p>
          <w:p>
            <w:pPr>
              <w:pStyle w:val="null3"/>
              <w:jc w:val="both"/>
            </w:pPr>
            <w:r>
              <w:rPr>
                <w:rFonts w:ascii="仿宋_GB2312" w:hAnsi="仿宋_GB2312" w:cs="仿宋_GB2312" w:eastAsia="仿宋_GB2312"/>
                <w:sz w:val="20"/>
              </w:rPr>
              <w:t>三、技术要求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适用规范</w:t>
            </w:r>
          </w:p>
          <w:p>
            <w:pPr>
              <w:pStyle w:val="null3"/>
              <w:jc w:val="both"/>
            </w:pPr>
            <w:r>
              <w:rPr>
                <w:rFonts w:ascii="仿宋_GB2312" w:hAnsi="仿宋_GB2312" w:cs="仿宋_GB2312" w:eastAsia="仿宋_GB2312"/>
                <w:sz w:val="20"/>
              </w:rPr>
              <w:t>《医疗机构水污染物排放标准》</w:t>
            </w:r>
            <w:r>
              <w:rPr>
                <w:rFonts w:ascii="仿宋_GB2312" w:hAnsi="仿宋_GB2312" w:cs="仿宋_GB2312" w:eastAsia="仿宋_GB2312"/>
                <w:sz w:val="20"/>
              </w:rPr>
              <w:t>（</w:t>
            </w:r>
            <w:r>
              <w:rPr>
                <w:rFonts w:ascii="仿宋_GB2312" w:hAnsi="仿宋_GB2312" w:cs="仿宋_GB2312" w:eastAsia="仿宋_GB2312"/>
                <w:sz w:val="20"/>
              </w:rPr>
              <w:t>GB18466-2005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《医院污水处理设计规范》（</w:t>
            </w:r>
            <w:r>
              <w:rPr>
                <w:rFonts w:ascii="仿宋_GB2312" w:hAnsi="仿宋_GB2312" w:cs="仿宋_GB2312" w:eastAsia="仿宋_GB2312"/>
                <w:sz w:val="20"/>
              </w:rPr>
              <w:t>CECS 07-2004</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《医院污水处理技术指南》（环发</w:t>
            </w:r>
            <w:r>
              <w:rPr>
                <w:rFonts w:ascii="仿宋_GB2312" w:hAnsi="仿宋_GB2312" w:cs="仿宋_GB2312" w:eastAsia="仿宋_GB2312"/>
                <w:sz w:val="20"/>
              </w:rPr>
              <w:t>[2003]197</w:t>
            </w:r>
            <w:r>
              <w:rPr>
                <w:rFonts w:ascii="仿宋_GB2312" w:hAnsi="仿宋_GB2312" w:cs="仿宋_GB2312" w:eastAsia="仿宋_GB2312"/>
                <w:sz w:val="20"/>
              </w:rPr>
              <w:t>号）</w:t>
            </w:r>
          </w:p>
          <w:p>
            <w:pPr>
              <w:pStyle w:val="null3"/>
              <w:jc w:val="both"/>
            </w:pPr>
            <w:r>
              <w:rPr>
                <w:rFonts w:ascii="仿宋_GB2312" w:hAnsi="仿宋_GB2312" w:cs="仿宋_GB2312" w:eastAsia="仿宋_GB2312"/>
                <w:sz w:val="20"/>
              </w:rPr>
              <w:t>《医院污水处理工程技术规范》（</w:t>
            </w:r>
            <w:r>
              <w:rPr>
                <w:rFonts w:ascii="仿宋_GB2312" w:hAnsi="仿宋_GB2312" w:cs="仿宋_GB2312" w:eastAsia="仿宋_GB2312"/>
                <w:sz w:val="20"/>
              </w:rPr>
              <w:t>HJ2029</w:t>
            </w:r>
            <w:r>
              <w:rPr>
                <w:rFonts w:ascii="仿宋_GB2312" w:hAnsi="仿宋_GB2312" w:cs="仿宋_GB2312" w:eastAsia="仿宋_GB2312"/>
                <w:sz w:val="20"/>
              </w:rPr>
              <w:t>—</w:t>
            </w:r>
            <w:r>
              <w:rPr>
                <w:rFonts w:ascii="仿宋_GB2312" w:hAnsi="仿宋_GB2312" w:cs="仿宋_GB2312" w:eastAsia="仿宋_GB2312"/>
                <w:sz w:val="20"/>
              </w:rPr>
              <w:t>2013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《排污许可技术规范</w:t>
            </w:r>
            <w:r>
              <w:rPr>
                <w:rFonts w:ascii="仿宋_GB2312" w:hAnsi="仿宋_GB2312" w:cs="仿宋_GB2312" w:eastAsia="仿宋_GB2312"/>
                <w:sz w:val="20"/>
              </w:rPr>
              <w:t>--</w:t>
            </w:r>
            <w:r>
              <w:rPr>
                <w:rFonts w:ascii="仿宋_GB2312" w:hAnsi="仿宋_GB2312" w:cs="仿宋_GB2312" w:eastAsia="仿宋_GB2312"/>
                <w:sz w:val="20"/>
              </w:rPr>
              <w:t>医疗机构》（</w:t>
            </w:r>
            <w:r>
              <w:rPr>
                <w:rFonts w:ascii="仿宋_GB2312" w:hAnsi="仿宋_GB2312" w:cs="仿宋_GB2312" w:eastAsia="仿宋_GB2312"/>
                <w:sz w:val="20"/>
              </w:rPr>
              <w:t>HJ 1105-2020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《陕西省生态环境厅关于印发陕西省污染源自动监控管理办法的通知》</w:t>
            </w:r>
          </w:p>
          <w:p>
            <w:pPr>
              <w:pStyle w:val="null3"/>
              <w:jc w:val="both"/>
            </w:pPr>
            <w:r>
              <w:rPr>
                <w:rFonts w:ascii="仿宋_GB2312" w:hAnsi="仿宋_GB2312" w:cs="仿宋_GB2312" w:eastAsia="仿宋_GB2312"/>
                <w:sz w:val="20"/>
              </w:rPr>
              <w:t>《西安市生态环境保护综合执法支队关于进一步加强重点污染源自动监控运管工作的通知》</w:t>
            </w:r>
          </w:p>
          <w:p>
            <w:pPr>
              <w:pStyle w:val="null3"/>
              <w:jc w:val="both"/>
            </w:pPr>
            <w:r>
              <w:rPr>
                <w:rFonts w:ascii="仿宋_GB2312" w:hAnsi="仿宋_GB2312" w:cs="仿宋_GB2312" w:eastAsia="仿宋_GB2312"/>
                <w:sz w:val="20"/>
              </w:rPr>
              <w:t>《水污染源在线监测系统（</w:t>
            </w:r>
            <w:r>
              <w:rPr>
                <w:rFonts w:ascii="仿宋_GB2312" w:hAnsi="仿宋_GB2312" w:cs="仿宋_GB2312" w:eastAsia="仿宋_GB2312"/>
                <w:sz w:val="20"/>
              </w:rPr>
              <w:t>CODCr</w:t>
            </w:r>
            <w:r>
              <w:rPr>
                <w:rFonts w:ascii="仿宋_GB2312" w:hAnsi="仿宋_GB2312" w:cs="仿宋_GB2312" w:eastAsia="仿宋_GB2312"/>
                <w:sz w:val="20"/>
              </w:rPr>
              <w:t>、</w:t>
            </w:r>
            <w:r>
              <w:rPr>
                <w:rFonts w:ascii="仿宋_GB2312" w:hAnsi="仿宋_GB2312" w:cs="仿宋_GB2312" w:eastAsia="仿宋_GB2312"/>
                <w:sz w:val="20"/>
              </w:rPr>
              <w:t xml:space="preserve">NH3-N </w:t>
            </w:r>
            <w:r>
              <w:rPr>
                <w:rFonts w:ascii="仿宋_GB2312" w:hAnsi="仿宋_GB2312" w:cs="仿宋_GB2312" w:eastAsia="仿宋_GB2312"/>
                <w:sz w:val="20"/>
              </w:rPr>
              <w:t>等）安装技术规范》（</w:t>
            </w:r>
            <w:r>
              <w:rPr>
                <w:rFonts w:ascii="仿宋_GB2312" w:hAnsi="仿宋_GB2312" w:cs="仿宋_GB2312" w:eastAsia="仿宋_GB2312"/>
                <w:sz w:val="20"/>
              </w:rPr>
              <w:t>HJT35</w:t>
            </w:r>
            <w:r>
              <w:rPr>
                <w:rFonts w:ascii="仿宋_GB2312" w:hAnsi="仿宋_GB2312" w:cs="仿宋_GB2312" w:eastAsia="仿宋_GB2312"/>
                <w:sz w:val="20"/>
              </w:rPr>
              <w:t>—</w:t>
            </w:r>
            <w:r>
              <w:rPr>
                <w:rFonts w:ascii="仿宋_GB2312" w:hAnsi="仿宋_GB2312" w:cs="仿宋_GB2312" w:eastAsia="仿宋_GB2312"/>
                <w:sz w:val="20"/>
              </w:rPr>
              <w:t>2019</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《水污染源在线监测系统（</w:t>
            </w:r>
            <w:r>
              <w:rPr>
                <w:rFonts w:ascii="仿宋_GB2312" w:hAnsi="仿宋_GB2312" w:cs="仿宋_GB2312" w:eastAsia="仿宋_GB2312"/>
                <w:sz w:val="20"/>
              </w:rPr>
              <w:t>CODCr</w:t>
            </w:r>
            <w:r>
              <w:rPr>
                <w:rFonts w:ascii="仿宋_GB2312" w:hAnsi="仿宋_GB2312" w:cs="仿宋_GB2312" w:eastAsia="仿宋_GB2312"/>
                <w:sz w:val="20"/>
              </w:rPr>
              <w:t>、</w:t>
            </w:r>
            <w:r>
              <w:rPr>
                <w:rFonts w:ascii="仿宋_GB2312" w:hAnsi="仿宋_GB2312" w:cs="仿宋_GB2312" w:eastAsia="仿宋_GB2312"/>
                <w:sz w:val="20"/>
              </w:rPr>
              <w:t xml:space="preserve">NH3-N </w:t>
            </w:r>
            <w:r>
              <w:rPr>
                <w:rFonts w:ascii="仿宋_GB2312" w:hAnsi="仿宋_GB2312" w:cs="仿宋_GB2312" w:eastAsia="仿宋_GB2312"/>
                <w:sz w:val="20"/>
              </w:rPr>
              <w:t>等）验收技术规范》（</w:t>
            </w:r>
            <w:r>
              <w:rPr>
                <w:rFonts w:ascii="仿宋_GB2312" w:hAnsi="仿宋_GB2312" w:cs="仿宋_GB2312" w:eastAsia="仿宋_GB2312"/>
                <w:sz w:val="20"/>
              </w:rPr>
              <w:t>HJT35</w:t>
            </w:r>
            <w:r>
              <w:rPr>
                <w:rFonts w:ascii="仿宋_GB2312" w:hAnsi="仿宋_GB2312" w:cs="仿宋_GB2312" w:eastAsia="仿宋_GB2312"/>
                <w:sz w:val="20"/>
              </w:rPr>
              <w:t>—</w:t>
            </w:r>
            <w:r>
              <w:rPr>
                <w:rFonts w:ascii="仿宋_GB2312" w:hAnsi="仿宋_GB2312" w:cs="仿宋_GB2312" w:eastAsia="仿宋_GB2312"/>
                <w:sz w:val="20"/>
              </w:rPr>
              <w:t>2019</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《水污染源在线监测系统（</w:t>
            </w:r>
            <w:r>
              <w:rPr>
                <w:rFonts w:ascii="仿宋_GB2312" w:hAnsi="仿宋_GB2312" w:cs="仿宋_GB2312" w:eastAsia="仿宋_GB2312"/>
                <w:sz w:val="20"/>
              </w:rPr>
              <w:t>CODCr</w:t>
            </w:r>
            <w:r>
              <w:rPr>
                <w:rFonts w:ascii="仿宋_GB2312" w:hAnsi="仿宋_GB2312" w:cs="仿宋_GB2312" w:eastAsia="仿宋_GB2312"/>
                <w:sz w:val="20"/>
              </w:rPr>
              <w:t>、</w:t>
            </w:r>
            <w:r>
              <w:rPr>
                <w:rFonts w:ascii="仿宋_GB2312" w:hAnsi="仿宋_GB2312" w:cs="仿宋_GB2312" w:eastAsia="仿宋_GB2312"/>
                <w:sz w:val="20"/>
              </w:rPr>
              <w:t xml:space="preserve">NH3-N </w:t>
            </w:r>
            <w:r>
              <w:rPr>
                <w:rFonts w:ascii="仿宋_GB2312" w:hAnsi="仿宋_GB2312" w:cs="仿宋_GB2312" w:eastAsia="仿宋_GB2312"/>
                <w:sz w:val="20"/>
              </w:rPr>
              <w:t>等）运行技术规范》（</w:t>
            </w:r>
            <w:r>
              <w:rPr>
                <w:rFonts w:ascii="仿宋_GB2312" w:hAnsi="仿宋_GB2312" w:cs="仿宋_GB2312" w:eastAsia="仿宋_GB2312"/>
                <w:sz w:val="20"/>
              </w:rPr>
              <w:t>HJ 355-2019</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《室外排水设计规范》（</w:t>
            </w:r>
            <w:r>
              <w:rPr>
                <w:rFonts w:ascii="仿宋_GB2312" w:hAnsi="仿宋_GB2312" w:cs="仿宋_GB2312" w:eastAsia="仿宋_GB2312"/>
                <w:sz w:val="20"/>
              </w:rPr>
              <w:t>GB50014-2021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《室外给水设计规范》（</w:t>
            </w:r>
            <w:r>
              <w:rPr>
                <w:rFonts w:ascii="仿宋_GB2312" w:hAnsi="仿宋_GB2312" w:cs="仿宋_GB2312" w:eastAsia="仿宋_GB2312"/>
                <w:sz w:val="20"/>
              </w:rPr>
              <w:t>GB50013-2018</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均以最新版本为准。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服务时间：</w:t>
            </w:r>
            <w:r>
              <w:rPr>
                <w:rFonts w:ascii="仿宋_GB2312" w:hAnsi="仿宋_GB2312" w:cs="仿宋_GB2312" w:eastAsia="仿宋_GB2312"/>
                <w:sz w:val="20"/>
              </w:rPr>
              <w:t>24</w:t>
            </w:r>
            <w:r>
              <w:rPr>
                <w:rFonts w:ascii="仿宋_GB2312" w:hAnsi="仿宋_GB2312" w:cs="仿宋_GB2312" w:eastAsia="仿宋_GB2312"/>
                <w:sz w:val="20"/>
              </w:rPr>
              <w:t>小时</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w:t>
            </w:r>
            <w:r>
              <w:rPr>
                <w:rFonts w:ascii="仿宋_GB2312" w:hAnsi="仿宋_GB2312" w:cs="仿宋_GB2312" w:eastAsia="仿宋_GB2312"/>
                <w:sz w:val="20"/>
              </w:rPr>
              <w:t>服务要求</w:t>
            </w:r>
          </w:p>
          <w:p>
            <w:pPr>
              <w:pStyle w:val="null3"/>
              <w:jc w:val="both"/>
            </w:pPr>
            <w:r>
              <w:rPr>
                <w:rFonts w:ascii="仿宋_GB2312" w:hAnsi="仿宋_GB2312" w:cs="仿宋_GB2312" w:eastAsia="仿宋_GB2312"/>
                <w:sz w:val="20"/>
              </w:rPr>
              <w:t>（一）主要设施设备的配置及说明</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污水站日处理能力；设计日处理能力</w:t>
            </w:r>
            <w:r>
              <w:rPr>
                <w:rFonts w:ascii="仿宋_GB2312" w:hAnsi="仿宋_GB2312" w:cs="仿宋_GB2312" w:eastAsia="仿宋_GB2312"/>
                <w:sz w:val="20"/>
              </w:rPr>
              <w:t>850</w:t>
            </w:r>
            <w:r>
              <w:rPr>
                <w:rFonts w:ascii="仿宋_GB2312" w:hAnsi="仿宋_GB2312" w:cs="仿宋_GB2312" w:eastAsia="仿宋_GB2312"/>
                <w:sz w:val="20"/>
              </w:rPr>
              <w:t>吨</w:t>
            </w:r>
            <w:r>
              <w:rPr>
                <w:rFonts w:ascii="仿宋_GB2312" w:hAnsi="仿宋_GB2312" w:cs="仿宋_GB2312" w:eastAsia="仿宋_GB2312"/>
                <w:sz w:val="20"/>
              </w:rPr>
              <w:t>/</w:t>
            </w:r>
            <w:r>
              <w:rPr>
                <w:rFonts w:ascii="仿宋_GB2312" w:hAnsi="仿宋_GB2312" w:cs="仿宋_GB2312" w:eastAsia="仿宋_GB2312"/>
                <w:sz w:val="20"/>
              </w:rPr>
              <w:t>天</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西安市红会医院污水处理站运营管理服务项目所有设备（污水提升、格栅清运和处置、鼓风设备、加药及输送设备、相关变配电和控制等）设施及相关管路（含附件）、仪器、仪表、相关设备和附件、药剂及检验设备、设施，以及在线监测设备。</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医院污水处理专业范围内所有构筑物。</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在线监测站房运维、设备管理、台账记录、故障报修、药品购买等服务；</w:t>
            </w:r>
          </w:p>
          <w:p>
            <w:pPr>
              <w:pStyle w:val="null3"/>
              <w:jc w:val="both"/>
            </w:pPr>
            <w:r>
              <w:rPr>
                <w:rFonts w:ascii="仿宋_GB2312" w:hAnsi="仿宋_GB2312" w:cs="仿宋_GB2312" w:eastAsia="仿宋_GB2312"/>
                <w:sz w:val="20"/>
              </w:rPr>
              <w:t>（二）管理的内容与要求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运营管理的内容：</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负责污水站的系统日常运行、管理、设备维护维修、检测、检测药剂及消毒药剂购买及使用、储存、使用中的安全及设备的运行操作安全等工作；</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负责格栅污泥清掏；</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在线监测设备日常维保、检测药剂购买、更换；数据监测、记录、维修等；</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运营管理的要求</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负责污水的达标排放、达标监测，达到国家颁布的《医疗机构水污染物排放标准》、《水污染源在线监测系统（</w:t>
            </w:r>
            <w:r>
              <w:rPr>
                <w:rFonts w:ascii="仿宋_GB2312" w:hAnsi="仿宋_GB2312" w:cs="仿宋_GB2312" w:eastAsia="仿宋_GB2312"/>
                <w:sz w:val="20"/>
              </w:rPr>
              <w:t>CODCr</w:t>
            </w:r>
            <w:r>
              <w:rPr>
                <w:rFonts w:ascii="仿宋_GB2312" w:hAnsi="仿宋_GB2312" w:cs="仿宋_GB2312" w:eastAsia="仿宋_GB2312"/>
                <w:sz w:val="20"/>
              </w:rPr>
              <w:t>、</w:t>
            </w:r>
            <w:r>
              <w:rPr>
                <w:rFonts w:ascii="仿宋_GB2312" w:hAnsi="仿宋_GB2312" w:cs="仿宋_GB2312" w:eastAsia="仿宋_GB2312"/>
                <w:sz w:val="20"/>
              </w:rPr>
              <w:t xml:space="preserve">NH3-N </w:t>
            </w:r>
            <w:r>
              <w:rPr>
                <w:rFonts w:ascii="仿宋_GB2312" w:hAnsi="仿宋_GB2312" w:cs="仿宋_GB2312" w:eastAsia="仿宋_GB2312"/>
                <w:sz w:val="20"/>
              </w:rPr>
              <w:t>等）运行技术规范》（</w:t>
            </w:r>
            <w:r>
              <w:rPr>
                <w:rFonts w:ascii="仿宋_GB2312" w:hAnsi="仿宋_GB2312" w:cs="仿宋_GB2312" w:eastAsia="仿宋_GB2312"/>
                <w:sz w:val="20"/>
              </w:rPr>
              <w:t>HJ 355-2019</w:t>
            </w:r>
            <w:r>
              <w:rPr>
                <w:rFonts w:ascii="仿宋_GB2312" w:hAnsi="仿宋_GB2312" w:cs="仿宋_GB2312" w:eastAsia="仿宋_GB2312"/>
                <w:sz w:val="20"/>
              </w:rPr>
              <w:t>）的标准。</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按专业化的要求配置管理服务人员；根据国家有关法律、法规，制定 运营服务规章制度、岗位职责、操作规范、安全规范、维修操作、应急预案、安全管理制度、年度工作计划等并制定各种表格。</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制定完善、安全的药品存储检查制度及应急预案。</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污水处理站要求设备机房</w:t>
            </w:r>
            <w:r>
              <w:rPr>
                <w:rFonts w:ascii="仿宋_GB2312" w:hAnsi="仿宋_GB2312" w:cs="仿宋_GB2312" w:eastAsia="仿宋_GB2312"/>
                <w:sz w:val="20"/>
              </w:rPr>
              <w:t>365</w:t>
            </w:r>
            <w:r>
              <w:rPr>
                <w:rFonts w:ascii="仿宋_GB2312" w:hAnsi="仿宋_GB2312" w:cs="仿宋_GB2312" w:eastAsia="仿宋_GB2312"/>
                <w:sz w:val="20"/>
              </w:rPr>
              <w:t>天</w:t>
            </w:r>
            <w:r>
              <w:rPr>
                <w:rFonts w:ascii="仿宋_GB2312" w:hAnsi="仿宋_GB2312" w:cs="仿宋_GB2312" w:eastAsia="仿宋_GB2312"/>
                <w:sz w:val="20"/>
              </w:rPr>
              <w:t>*24</w:t>
            </w:r>
            <w:r>
              <w:rPr>
                <w:rFonts w:ascii="仿宋_GB2312" w:hAnsi="仿宋_GB2312" w:cs="仿宋_GB2312" w:eastAsia="仿宋_GB2312"/>
                <w:sz w:val="20"/>
              </w:rPr>
              <w:t>小时（全年无休息日）有人值守， 双人在岗，值班电话</w:t>
            </w:r>
            <w:r>
              <w:rPr>
                <w:rFonts w:ascii="仿宋_GB2312" w:hAnsi="仿宋_GB2312" w:cs="仿宋_GB2312" w:eastAsia="仿宋_GB2312"/>
                <w:sz w:val="20"/>
              </w:rPr>
              <w:t>24</w:t>
            </w:r>
            <w:r>
              <w:rPr>
                <w:rFonts w:ascii="仿宋_GB2312" w:hAnsi="仿宋_GB2312" w:cs="仿宋_GB2312" w:eastAsia="仿宋_GB2312"/>
                <w:sz w:val="20"/>
              </w:rPr>
              <w:t>小时畅通，运营公司项目负责人通讯方式</w:t>
            </w:r>
            <w:r>
              <w:rPr>
                <w:rFonts w:ascii="仿宋_GB2312" w:hAnsi="仿宋_GB2312" w:cs="仿宋_GB2312" w:eastAsia="仿宋_GB2312"/>
                <w:sz w:val="20"/>
              </w:rPr>
              <w:t>24</w:t>
            </w:r>
            <w:r>
              <w:rPr>
                <w:rFonts w:ascii="仿宋_GB2312" w:hAnsi="仿宋_GB2312" w:cs="仿宋_GB2312" w:eastAsia="仿宋_GB2312"/>
                <w:sz w:val="20"/>
              </w:rPr>
              <w:t>小时畅通。人员编制大于</w:t>
            </w:r>
            <w:r>
              <w:rPr>
                <w:rFonts w:ascii="仿宋_GB2312" w:hAnsi="仿宋_GB2312" w:cs="仿宋_GB2312" w:eastAsia="仿宋_GB2312"/>
                <w:sz w:val="20"/>
              </w:rPr>
              <w:t>5</w:t>
            </w:r>
            <w:r>
              <w:rPr>
                <w:rFonts w:ascii="仿宋_GB2312" w:hAnsi="仿宋_GB2312" w:cs="仿宋_GB2312" w:eastAsia="仿宋_GB2312"/>
                <w:sz w:val="20"/>
              </w:rPr>
              <w:t>人（含安全管理员）。要求相关岗位</w:t>
            </w:r>
            <w:r>
              <w:rPr>
                <w:rFonts w:ascii="仿宋_GB2312" w:hAnsi="仿宋_GB2312" w:cs="仿宋_GB2312" w:eastAsia="仿宋_GB2312"/>
                <w:sz w:val="20"/>
              </w:rPr>
              <w:t>5</w:t>
            </w:r>
            <w:r>
              <w:rPr>
                <w:rFonts w:ascii="仿宋_GB2312" w:hAnsi="仿宋_GB2312" w:cs="仿宋_GB2312" w:eastAsia="仿宋_GB2312"/>
                <w:sz w:val="20"/>
              </w:rPr>
              <w:t>年以上工作经验，运营公司对相关运行人员进行定期培训，并安排专人对自控系统进行维护；在线监测站房要求管理人员必须每日对设备进行巡查、数据检查记录。</w:t>
            </w:r>
          </w:p>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制定各种设备的操作规程，以及设备巡查、维修等相关资料。</w:t>
            </w:r>
          </w:p>
          <w:p>
            <w:pPr>
              <w:pStyle w:val="null3"/>
              <w:jc w:val="both"/>
            </w:pPr>
            <w:r>
              <w:rPr>
                <w:rFonts w:ascii="仿宋_GB2312" w:hAnsi="仿宋_GB2312" w:cs="仿宋_GB2312" w:eastAsia="仿宋_GB2312"/>
                <w:sz w:val="20"/>
              </w:rPr>
              <w:t>2.6</w:t>
            </w:r>
            <w:r>
              <w:rPr>
                <w:rFonts w:ascii="仿宋_GB2312" w:hAnsi="仿宋_GB2312" w:cs="仿宋_GB2312" w:eastAsia="仿宋_GB2312"/>
                <w:sz w:val="20"/>
              </w:rPr>
              <w:t>采购人有权撤销供应商不合格的项目负责人及相关工作人员，供应商必须及时更换和补充服务人员；</w:t>
            </w:r>
          </w:p>
          <w:p>
            <w:pPr>
              <w:pStyle w:val="null3"/>
              <w:jc w:val="both"/>
            </w:pPr>
            <w:r>
              <w:rPr>
                <w:rFonts w:ascii="仿宋_GB2312" w:hAnsi="仿宋_GB2312" w:cs="仿宋_GB2312" w:eastAsia="仿宋_GB2312"/>
                <w:sz w:val="20"/>
              </w:rPr>
              <w:t>2.7</w:t>
            </w:r>
            <w:r>
              <w:rPr>
                <w:rFonts w:ascii="仿宋_GB2312" w:hAnsi="仿宋_GB2312" w:cs="仿宋_GB2312" w:eastAsia="仿宋_GB2312"/>
                <w:sz w:val="20"/>
              </w:rPr>
              <w:t>供应商不得将本项目运营管理服务进行分包或转包。</w:t>
            </w:r>
          </w:p>
          <w:p>
            <w:pPr>
              <w:pStyle w:val="null3"/>
              <w:jc w:val="both"/>
            </w:pPr>
            <w:r>
              <w:rPr>
                <w:rFonts w:ascii="仿宋_GB2312" w:hAnsi="仿宋_GB2312" w:cs="仿宋_GB2312" w:eastAsia="仿宋_GB2312"/>
                <w:sz w:val="20"/>
              </w:rPr>
              <w:t>2.8</w:t>
            </w:r>
            <w:r>
              <w:rPr>
                <w:rFonts w:ascii="仿宋_GB2312" w:hAnsi="仿宋_GB2312" w:cs="仿宋_GB2312" w:eastAsia="仿宋_GB2312"/>
                <w:sz w:val="20"/>
              </w:rPr>
              <w:t>负责污水站、在线站房的日常运行、管理、维护等工作，以</w:t>
            </w:r>
            <w:r>
              <w:rPr>
                <w:rFonts w:ascii="仿宋_GB2312" w:hAnsi="仿宋_GB2312" w:cs="仿宋_GB2312" w:eastAsia="仿宋_GB2312"/>
                <w:sz w:val="20"/>
              </w:rPr>
              <w:t>6</w:t>
            </w:r>
            <w:r>
              <w:rPr>
                <w:rFonts w:ascii="仿宋_GB2312" w:hAnsi="仿宋_GB2312" w:cs="仿宋_GB2312" w:eastAsia="仿宋_GB2312"/>
                <w:sz w:val="20"/>
              </w:rPr>
              <w:t>小时为单位对污水站内所有设备运行状态进行巡视并做记录，严格按照排污许可要求对在线监测，发现问题及时上报医院有关主管部门并按运营公司制定的预案进行处理解决，制定制度及预案并且定期演练。</w:t>
            </w:r>
          </w:p>
          <w:p>
            <w:pPr>
              <w:pStyle w:val="null3"/>
              <w:jc w:val="both"/>
            </w:pPr>
            <w:r>
              <w:rPr>
                <w:rFonts w:ascii="仿宋_GB2312" w:hAnsi="仿宋_GB2312" w:cs="仿宋_GB2312" w:eastAsia="仿宋_GB2312"/>
                <w:sz w:val="20"/>
              </w:rPr>
              <w:t>2.9</w:t>
            </w:r>
            <w:r>
              <w:rPr>
                <w:rFonts w:ascii="仿宋_GB2312" w:hAnsi="仿宋_GB2312" w:cs="仿宋_GB2312" w:eastAsia="仿宋_GB2312"/>
                <w:sz w:val="20"/>
              </w:rPr>
              <w:t>为完成工作所需的一切办公用品、药品、维修工具及人员服装、保险、福利、加班费等一切费用由供应商承担：</w:t>
            </w:r>
          </w:p>
          <w:p>
            <w:pPr>
              <w:pStyle w:val="null3"/>
              <w:jc w:val="both"/>
            </w:pPr>
            <w:r>
              <w:rPr>
                <w:rFonts w:ascii="仿宋_GB2312" w:hAnsi="仿宋_GB2312" w:cs="仿宋_GB2312" w:eastAsia="仿宋_GB2312"/>
                <w:sz w:val="20"/>
              </w:rPr>
              <w:t>2.10</w:t>
            </w:r>
            <w:r>
              <w:rPr>
                <w:rFonts w:ascii="仿宋_GB2312" w:hAnsi="仿宋_GB2312" w:cs="仿宋_GB2312" w:eastAsia="仿宋_GB2312"/>
                <w:sz w:val="20"/>
              </w:rPr>
              <w:t>出现问题或突发情况时，供应商应</w:t>
            </w:r>
            <w:r>
              <w:rPr>
                <w:rFonts w:ascii="仿宋_GB2312" w:hAnsi="仿宋_GB2312" w:cs="仿宋_GB2312" w:eastAsia="仿宋_GB2312"/>
                <w:sz w:val="20"/>
              </w:rPr>
              <w:t>30</w:t>
            </w:r>
            <w:r>
              <w:rPr>
                <w:rFonts w:ascii="仿宋_GB2312" w:hAnsi="仿宋_GB2312" w:cs="仿宋_GB2312" w:eastAsia="仿宋_GB2312"/>
                <w:sz w:val="20"/>
              </w:rPr>
              <w:t>分钟内做出反应，及时提供解决方案，有效控制突发情况。</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负责制定西安市红会医院污水处理站、在线站房运营管理服务项目及附属设备、安全附件等设备的检修、检验、保养计划，改造计划等计划。合理安排人力、物力，认真组织实施和执行制定的有关污水站检修计划。</w:t>
            </w:r>
          </w:p>
          <w:p>
            <w:pPr>
              <w:pStyle w:val="null3"/>
              <w:jc w:val="both"/>
            </w:pPr>
            <w:r>
              <w:rPr>
                <w:rFonts w:ascii="仿宋_GB2312" w:hAnsi="仿宋_GB2312" w:cs="仿宋_GB2312" w:eastAsia="仿宋_GB2312"/>
                <w:sz w:val="20"/>
              </w:rPr>
              <w:t>2.12</w:t>
            </w:r>
            <w:r>
              <w:rPr>
                <w:rFonts w:ascii="仿宋_GB2312" w:hAnsi="仿宋_GB2312" w:cs="仿宋_GB2312" w:eastAsia="仿宋_GB2312"/>
                <w:sz w:val="20"/>
              </w:rPr>
              <w:t>负责建立、健全设备档案，收集、整理和完善技术资料。</w:t>
            </w:r>
          </w:p>
          <w:p>
            <w:pPr>
              <w:pStyle w:val="null3"/>
              <w:jc w:val="both"/>
            </w:pPr>
            <w:r>
              <w:rPr>
                <w:rFonts w:ascii="仿宋_GB2312" w:hAnsi="仿宋_GB2312" w:cs="仿宋_GB2312" w:eastAsia="仿宋_GB2312"/>
                <w:sz w:val="20"/>
              </w:rPr>
              <w:t>2.13</w:t>
            </w:r>
            <w:r>
              <w:rPr>
                <w:rFonts w:ascii="仿宋_GB2312" w:hAnsi="仿宋_GB2312" w:cs="仿宋_GB2312" w:eastAsia="仿宋_GB2312"/>
                <w:sz w:val="20"/>
              </w:rPr>
              <w:t>本项目院方不提供供应商服务人员的住宿条件，仅提供值班室。</w:t>
            </w:r>
          </w:p>
          <w:p>
            <w:pPr>
              <w:pStyle w:val="null3"/>
              <w:jc w:val="both"/>
            </w:pPr>
            <w:r>
              <w:rPr>
                <w:rFonts w:ascii="仿宋_GB2312" w:hAnsi="仿宋_GB2312" w:cs="仿宋_GB2312" w:eastAsia="仿宋_GB2312"/>
                <w:sz w:val="20"/>
              </w:rPr>
              <w:t>2.14</w:t>
            </w:r>
            <w:r>
              <w:rPr>
                <w:rFonts w:ascii="仿宋_GB2312" w:hAnsi="仿宋_GB2312" w:cs="仿宋_GB2312" w:eastAsia="仿宋_GB2312"/>
                <w:sz w:val="20"/>
              </w:rPr>
              <w:t>供应商需做好提前入场准备，实际时间以招标人通知为准；</w:t>
            </w:r>
          </w:p>
          <w:p>
            <w:pPr>
              <w:pStyle w:val="null3"/>
              <w:jc w:val="both"/>
            </w:pPr>
            <w:r>
              <w:rPr>
                <w:rFonts w:ascii="仿宋_GB2312" w:hAnsi="仿宋_GB2312" w:cs="仿宋_GB2312" w:eastAsia="仿宋_GB2312"/>
                <w:sz w:val="20"/>
              </w:rPr>
              <w:t>2.15</w:t>
            </w:r>
            <w:r>
              <w:rPr>
                <w:rFonts w:ascii="仿宋_GB2312" w:hAnsi="仿宋_GB2312" w:cs="仿宋_GB2312" w:eastAsia="仿宋_GB2312"/>
                <w:sz w:val="20"/>
              </w:rPr>
              <w:t>工作人员统一着装、按时上岗，衣着整洁、佩戴胸卡。</w:t>
            </w:r>
          </w:p>
          <w:p>
            <w:pPr>
              <w:pStyle w:val="null3"/>
              <w:jc w:val="both"/>
            </w:pPr>
            <w:r>
              <w:rPr>
                <w:rFonts w:ascii="仿宋_GB2312" w:hAnsi="仿宋_GB2312" w:cs="仿宋_GB2312" w:eastAsia="仿宋_GB2312"/>
                <w:sz w:val="20"/>
              </w:rPr>
              <w:t>2.16</w:t>
            </w:r>
            <w:r>
              <w:rPr>
                <w:rFonts w:ascii="仿宋_GB2312" w:hAnsi="仿宋_GB2312" w:cs="仿宋_GB2312" w:eastAsia="仿宋_GB2312"/>
                <w:sz w:val="20"/>
              </w:rPr>
              <w:t>供应商必须制定完善的员工考核标准及检查表格。</w:t>
            </w:r>
          </w:p>
          <w:p>
            <w:pPr>
              <w:pStyle w:val="null3"/>
              <w:jc w:val="both"/>
            </w:pPr>
            <w:r>
              <w:rPr>
                <w:rFonts w:ascii="仿宋_GB2312" w:hAnsi="仿宋_GB2312" w:cs="仿宋_GB2312" w:eastAsia="仿宋_GB2312"/>
                <w:sz w:val="20"/>
              </w:rPr>
              <w:t>2.17</w:t>
            </w:r>
            <w:r>
              <w:rPr>
                <w:rFonts w:ascii="仿宋_GB2312" w:hAnsi="仿宋_GB2312" w:cs="仿宋_GB2312" w:eastAsia="仿宋_GB2312"/>
                <w:sz w:val="20"/>
              </w:rPr>
              <w:t>供应商必须服从招标人的规章制度及管理。</w:t>
            </w:r>
          </w:p>
          <w:p>
            <w:pPr>
              <w:pStyle w:val="null3"/>
              <w:jc w:val="both"/>
            </w:pPr>
            <w:r>
              <w:rPr>
                <w:rFonts w:ascii="仿宋_GB2312" w:hAnsi="仿宋_GB2312" w:cs="仿宋_GB2312" w:eastAsia="仿宋_GB2312"/>
                <w:sz w:val="20"/>
              </w:rPr>
              <w:t>2.18</w:t>
            </w:r>
            <w:r>
              <w:rPr>
                <w:rFonts w:ascii="仿宋_GB2312" w:hAnsi="仿宋_GB2312" w:cs="仿宋_GB2312" w:eastAsia="仿宋_GB2312"/>
                <w:sz w:val="20"/>
              </w:rPr>
              <w:t>要求结合本项目的使用性质特点，提出管理定位、目标及具体实施措施及管理制度。编制项目管理机构、工作职能组织运行图，阐述站长的岗位职责、内部管理的责任分工、各项日常管理规章制度和考核标准及奖惩方法、工作流程。维修和管理的应急预案。</w:t>
            </w:r>
          </w:p>
          <w:p>
            <w:pPr>
              <w:pStyle w:val="null3"/>
              <w:jc w:val="both"/>
            </w:pPr>
            <w:r>
              <w:rPr>
                <w:rFonts w:ascii="仿宋_GB2312" w:hAnsi="仿宋_GB2312" w:cs="仿宋_GB2312" w:eastAsia="仿宋_GB2312"/>
                <w:sz w:val="20"/>
              </w:rPr>
              <w:t>2.19</w:t>
            </w:r>
            <w:r>
              <w:rPr>
                <w:rFonts w:ascii="仿宋_GB2312" w:hAnsi="仿宋_GB2312" w:cs="仿宋_GB2312" w:eastAsia="仿宋_GB2312"/>
                <w:sz w:val="20"/>
              </w:rPr>
              <w:t>管理服务人员配置；拟配置站长、主要运营管理人员的姓名，年龄，以及相似工作岗位工作年限，经历；其他岗位人员拟配人选，数量，职称。</w:t>
            </w:r>
          </w:p>
          <w:p>
            <w:pPr>
              <w:pStyle w:val="null3"/>
              <w:jc w:val="both"/>
            </w:pPr>
            <w:r>
              <w:rPr>
                <w:rFonts w:ascii="仿宋_GB2312" w:hAnsi="仿宋_GB2312" w:cs="仿宋_GB2312" w:eastAsia="仿宋_GB2312"/>
                <w:sz w:val="20"/>
              </w:rPr>
              <w:t>2.20</w:t>
            </w:r>
            <w:r>
              <w:rPr>
                <w:rFonts w:ascii="仿宋_GB2312" w:hAnsi="仿宋_GB2312" w:cs="仿宋_GB2312" w:eastAsia="仿宋_GB2312"/>
                <w:sz w:val="20"/>
              </w:rPr>
              <w:t>托管运营期间设备保养及维修更换由成交供应商承担。</w:t>
            </w:r>
          </w:p>
          <w:p>
            <w:pPr>
              <w:pStyle w:val="null3"/>
              <w:jc w:val="both"/>
            </w:pPr>
            <w:r>
              <w:rPr>
                <w:rFonts w:ascii="仿宋_GB2312" w:hAnsi="仿宋_GB2312" w:cs="仿宋_GB2312" w:eastAsia="仿宋_GB2312"/>
                <w:sz w:val="20"/>
              </w:rPr>
              <w:t>2.21</w:t>
            </w:r>
            <w:r>
              <w:rPr>
                <w:rFonts w:ascii="仿宋_GB2312" w:hAnsi="仿宋_GB2312" w:cs="仿宋_GB2312" w:eastAsia="仿宋_GB2312"/>
                <w:sz w:val="20"/>
              </w:rPr>
              <w:t>供应商应保证我院污水正常达标排放，如上级部门或第三方检测水质不达标的，由</w:t>
            </w:r>
            <w:r>
              <w:rPr>
                <w:rFonts w:ascii="仿宋_GB2312" w:hAnsi="仿宋_GB2312" w:cs="仿宋_GB2312" w:eastAsia="仿宋_GB2312"/>
                <w:sz w:val="20"/>
              </w:rPr>
              <w:t>成交方承</w:t>
            </w:r>
            <w:r>
              <w:rPr>
                <w:rFonts w:ascii="仿宋_GB2312" w:hAnsi="仿宋_GB2312" w:cs="仿宋_GB2312" w:eastAsia="仿宋_GB2312"/>
                <w:sz w:val="20"/>
              </w:rPr>
              <w:t>担处罚；对在线站房设备数据实时监测，发现异常及时排除异常并立即进行手工监测记录，随后将监测记录上传在线平台；对我院造成名誉损害的，需追究其相关赔偿。</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w:t>
            </w:r>
            <w:r>
              <w:rPr>
                <w:rFonts w:ascii="仿宋_GB2312" w:hAnsi="仿宋_GB2312" w:cs="仿宋_GB2312" w:eastAsia="仿宋_GB2312"/>
                <w:sz w:val="20"/>
              </w:rPr>
              <w:t>商务要求</w:t>
            </w:r>
          </w:p>
          <w:p>
            <w:pPr>
              <w:pStyle w:val="null3"/>
              <w:jc w:val="both"/>
            </w:pPr>
            <w:r>
              <w:rPr>
                <w:rFonts w:ascii="仿宋_GB2312" w:hAnsi="仿宋_GB2312" w:cs="仿宋_GB2312" w:eastAsia="仿宋_GB2312"/>
                <w:sz w:val="20"/>
              </w:rPr>
              <w:t>（一）服务期限</w:t>
            </w:r>
          </w:p>
          <w:p>
            <w:pPr>
              <w:pStyle w:val="null3"/>
              <w:jc w:val="both"/>
            </w:pPr>
            <w:r>
              <w:rPr>
                <w:rFonts w:ascii="仿宋_GB2312" w:hAnsi="仿宋_GB2312" w:cs="仿宋_GB2312" w:eastAsia="仿宋_GB2312"/>
                <w:sz w:val="20"/>
              </w:rPr>
              <w:t>自合同签订之日起一年内。</w:t>
            </w:r>
          </w:p>
          <w:p>
            <w:pPr>
              <w:pStyle w:val="null3"/>
              <w:jc w:val="both"/>
            </w:pPr>
            <w:r>
              <w:rPr>
                <w:rFonts w:ascii="仿宋_GB2312" w:hAnsi="仿宋_GB2312" w:cs="仿宋_GB2312" w:eastAsia="仿宋_GB2312"/>
                <w:sz w:val="20"/>
              </w:rPr>
              <w:t>款项结算</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每季度根据考核结果进行付费，根据合同履行情况进行付费。</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考核分为日常巡查考核、季度末满意度考核。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）日常巡查考核由后勤保障部负责。负责日常检查巡查过程中发现的问题做记录，现场整改，当月月底汇总处罚。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）季度考核根据第三方检测结果、上级单位检查情况、合同履行情况综合考核。</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考核结果：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）投标服务商提供的服务日常巡查考核有</w:t>
            </w:r>
            <w:r>
              <w:rPr>
                <w:rFonts w:ascii="仿宋_GB2312" w:hAnsi="仿宋_GB2312" w:cs="仿宋_GB2312" w:eastAsia="仿宋_GB2312"/>
                <w:sz w:val="20"/>
              </w:rPr>
              <w:t>1</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次不符合磋商文件、考核标准等要求时，扣除服务费</w:t>
            </w:r>
            <w:r>
              <w:rPr>
                <w:rFonts w:ascii="仿宋_GB2312" w:hAnsi="仿宋_GB2312" w:cs="仿宋_GB2312" w:eastAsia="仿宋_GB2312"/>
                <w:sz w:val="20"/>
              </w:rPr>
              <w:t>100</w:t>
            </w:r>
            <w:r>
              <w:rPr>
                <w:rFonts w:ascii="仿宋_GB2312" w:hAnsi="仿宋_GB2312" w:cs="仿宋_GB2312" w:eastAsia="仿宋_GB2312"/>
                <w:sz w:val="20"/>
              </w:rPr>
              <w:t>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投标服务商在实际</w:t>
            </w:r>
            <w:r>
              <w:rPr>
                <w:rFonts w:ascii="仿宋_GB2312" w:hAnsi="仿宋_GB2312" w:cs="仿宋_GB2312" w:eastAsia="仿宋_GB2312"/>
              </w:rPr>
              <w:t>运维</w:t>
            </w:r>
            <w:r>
              <w:rPr>
                <w:rFonts w:ascii="仿宋_GB2312" w:hAnsi="仿宋_GB2312" w:cs="仿宋_GB2312" w:eastAsia="仿宋_GB2312"/>
                <w:sz w:val="20"/>
              </w:rPr>
              <w:t>服务中，</w:t>
            </w:r>
            <w:r>
              <w:rPr>
                <w:rFonts w:ascii="仿宋_GB2312" w:hAnsi="仿宋_GB2312" w:cs="仿宋_GB2312" w:eastAsia="仿宋_GB2312"/>
                <w:sz w:val="20"/>
              </w:rPr>
              <w:t>如果用工人员没有达到投标时或采购人认可的人数及年龄标准，采购人按人均服务费扣除缺少及不合格人员的服务费。</w:t>
            </w:r>
          </w:p>
          <w:p>
            <w:pPr>
              <w:pStyle w:val="null3"/>
              <w:jc w:val="both"/>
            </w:pPr>
            <w:r>
              <w:rPr>
                <w:rFonts w:ascii="仿宋_GB2312" w:hAnsi="仿宋_GB2312" w:cs="仿宋_GB2312" w:eastAsia="仿宋_GB2312"/>
                <w:sz w:val="20"/>
              </w:rPr>
              <w:t>六、其他</w:t>
            </w:r>
          </w:p>
          <w:p>
            <w:pPr>
              <w:pStyle w:val="null3"/>
              <w:jc w:val="both"/>
            </w:pPr>
            <w:r>
              <w:rPr>
                <w:rFonts w:ascii="仿宋_GB2312" w:hAnsi="仿宋_GB2312" w:cs="仿宋_GB2312" w:eastAsia="仿宋_GB2312"/>
                <w:sz w:val="20"/>
              </w:rPr>
              <w:t>（一）其他说明</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成交供应商不</w:t>
            </w:r>
            <w:r>
              <w:rPr>
                <w:rFonts w:ascii="仿宋_GB2312" w:hAnsi="仿宋_GB2312" w:cs="仿宋_GB2312" w:eastAsia="仿宋_GB2312"/>
                <w:sz w:val="20"/>
              </w:rPr>
              <w:t>得将本项目招标内容以任何形式转包，不得降低质量要求。</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服务商须对其在服务期内所发生的生产、安全和交通事故负责，采购人不承担任何责任。</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服务商有责任配合医院接受上级领导部门的监督、检查，提供必须的资料。</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服务商必须合理配备服务团队；服务人员</w:t>
            </w:r>
            <w:r>
              <w:rPr>
                <w:rFonts w:ascii="仿宋_GB2312" w:hAnsi="仿宋_GB2312" w:cs="仿宋_GB2312" w:eastAsia="仿宋_GB2312"/>
                <w:sz w:val="20"/>
              </w:rPr>
              <w:t>100%</w:t>
            </w:r>
            <w:r>
              <w:rPr>
                <w:rFonts w:ascii="仿宋_GB2312" w:hAnsi="仿宋_GB2312" w:cs="仿宋_GB2312" w:eastAsia="仿宋_GB2312"/>
                <w:sz w:val="20"/>
              </w:rPr>
              <w:t>经过岗前培训，合格才上岗；所有员工入院服务时都必须体检合格才能上岗。</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服务商必须建立健全组织机构，建立健全各项管理制度、各岗位工作标准，以保证整个污水处理系统安全、高效、有序和有计划地运转。</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服务商必须配置满足工作需求的办公用品、作业机具、装备以及相应的耗材。</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遇突发事件、灾害预防、火灾扑灭、暴雨、暴雪、重大事故的急救或安全检查时，服务商必须加强抗灾及突发情况的应变能力，无条件服从院方指挥，并安排值班，协助院方管理责任区域内的消防和防盗，直至任务完成。在服务期内服务商遇到医院各类检查（如上级部门来院检查等），服务商要无条件加班，医院不另支付加班费，即此项造成的费用由中标服务商承担。</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服务商应编制应急预案，并定期实施演练。</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服务商应保证在合同服务期间内不违反国家相关政策规定、达不到招标要求及各项服务承诺的，采购人有权要求其整改，直至扣款或终止合同。</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服务商必须固定一位经理（项目负责人），全权代表其负责管理服务工作，并与采购人保持密切联系。</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根据要求，服务商应为本项目区域内各项服务工作配备足够人员，所聘人员必须符合劳动部门有关规定；并为承包区域的工作人员投保、以保证服务商工作人员权力。</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技术人员必须持证上岗。</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现场运营人员必须每年两次体检（体检必须包含传染病四项检查）。</w:t>
            </w:r>
          </w:p>
          <w:p>
            <w:pPr>
              <w:pStyle w:val="null3"/>
              <w:jc w:val="both"/>
            </w:pPr>
            <w:r>
              <w:rPr>
                <w:rFonts w:ascii="仿宋_GB2312" w:hAnsi="仿宋_GB2312" w:cs="仿宋_GB2312" w:eastAsia="仿宋_GB2312"/>
                <w:sz w:val="20"/>
              </w:rPr>
              <w:t>（二）投标服务商管理要求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依据有关规范和招标要求，负责拟定各项服务规范、操作流程、管理制度；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加强各项服务工作的管理，负责检查、指导、监督各项服务工作按时按要求完成；</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设计相关工作信息表单，负责检查各项检查工作记录是否及时、准确、完整；</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负责做好服务人员的考勤、考核；人员补充等管理工作；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西安市红会医院南院区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项目所有的服务内容完成后，由采购人根据项目竞争性磋商文件、响应文件、项目合同进行验收，检查合同内容完成情况。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按照季度付款，每季度服务完成并经甲方考核达到服务标准的次月15号前支付合同金额的25%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按照季度付款，每季度服务完成并经甲方考核达到服务标准的次月15号前支付合同金额的25%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按照季度付款，每季度服务完成并经甲方考核达到服务标准的次月15号前支付合同金额的25%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按照季度付款，每季度服务完成并经甲方考核达到服务标准的次月15号前支付合同金额的25%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(财库(2006〕90号)、国务院办公厅《关于建立政府强制采购节能产品制度的通知》(国办发〔2007〕51号)、财政部、国家发改委、生态环境部、市场监管总局联合印发《关于调整优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供应商提供本单位2024年04月至今已缴纳的至少一个月纳税证明或完税证明，依法免税的单位应提供相关证明材料；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04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供应商具备建设行政主管部门颁发的环保工程专业承包三级及以上资质，并具有效的安全生产许可证；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本项目不接受由西安市红会医院职工及其亲属投资举办的企业参加磋商；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本项目为非专门面向中小企业项目。</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供应商应提交的相关资格证明文件.docx 响应函 项目服务实施方案.docx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运营服务方案1</w:t>
            </w:r>
          </w:p>
        </w:tc>
        <w:tc>
          <w:tcPr>
            <w:tcW w:type="dxa" w:w="2492"/>
          </w:tcPr>
          <w:p>
            <w:pPr>
              <w:pStyle w:val="null3"/>
            </w:pPr>
            <w:r>
              <w:rPr>
                <w:rFonts w:ascii="仿宋_GB2312" w:hAnsi="仿宋_GB2312" w:cs="仿宋_GB2312" w:eastAsia="仿宋_GB2312"/>
              </w:rPr>
              <w:t>根据供应商针对本项目提供的总体运营服务方案进行评审： 对污水站运营管理进行全面规划，明确运营目标，对本项目有一定的针对性的得3.1-5分； 总体运营服务方案完整，内容笼统的得1.1-3分； 总体运营服务方案有欠缺，与项目需求有偏差的得0-1分；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运营服务方案2</w:t>
            </w:r>
          </w:p>
        </w:tc>
        <w:tc>
          <w:tcPr>
            <w:tcW w:type="dxa" w:w="2492"/>
          </w:tcPr>
          <w:p>
            <w:pPr>
              <w:pStyle w:val="null3"/>
            </w:pPr>
            <w:r>
              <w:rPr>
                <w:rFonts w:ascii="仿宋_GB2312" w:hAnsi="仿宋_GB2312" w:cs="仿宋_GB2312" w:eastAsia="仿宋_GB2312"/>
              </w:rPr>
              <w:t>根据供应商针对本项目提供的运营管理方案进行评审，包括：运维管理制度、运营记录、水质监测记录、药剂使用记录。 运维管理制度内容详细，建立设备运行记录、水质监测记录、药剂使用记录，确保运营数据完整、准确的得3.1-5分； 运维管理方案完整，内容简单，水质达标得的1.1-3分； 运维管理方案有欠缺，影响项目实施的得0-1分；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运营服务方案3</w:t>
            </w:r>
          </w:p>
        </w:tc>
        <w:tc>
          <w:tcPr>
            <w:tcW w:type="dxa" w:w="2492"/>
          </w:tcPr>
          <w:p>
            <w:pPr>
              <w:pStyle w:val="null3"/>
            </w:pPr>
            <w:r>
              <w:rPr>
                <w:rFonts w:ascii="仿宋_GB2312" w:hAnsi="仿宋_GB2312" w:cs="仿宋_GB2312" w:eastAsia="仿宋_GB2312"/>
              </w:rPr>
              <w:t>根据供应商针对本项目提供的运营计划及制度进行评审，包括但不限于：操作规范、风险防范、水质达标。 运营计划及制度完整，内容详细，有严格的操作规范，风险防范严格，水质达标的得3.1-5分； 托管运营计划及制度完整，内容简单，水质达标的得1.1-3分； 运营管理服务方案有欠缺，影响项目实施得的0-1分；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设备设施维修保养计划1</w:t>
            </w:r>
          </w:p>
        </w:tc>
        <w:tc>
          <w:tcPr>
            <w:tcW w:type="dxa" w:w="2492"/>
          </w:tcPr>
          <w:p>
            <w:pPr>
              <w:pStyle w:val="null3"/>
            </w:pPr>
            <w:r>
              <w:rPr>
                <w:rFonts w:ascii="仿宋_GB2312" w:hAnsi="仿宋_GB2312" w:cs="仿宋_GB2312" w:eastAsia="仿宋_GB2312"/>
              </w:rPr>
              <w:t>根据供应商针对本项目提供的设备设施维修计划方案进行评审，包括：维修计划与标准、维护记录与档案管理、维修响应机制。 设备设施维修计划方案详细，具有设备设施维护记录与档案管理，维护操作规范，对故障能够及时响应的得3.1-5分； 设备设施维修保养计划完整，内容简单，对故障基本能够及时响应的得1.1-3分； 设备保养及维修方案有欠缺，不满足项目需求的得0-1分；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设备设施维修保养计划2</w:t>
            </w:r>
          </w:p>
        </w:tc>
        <w:tc>
          <w:tcPr>
            <w:tcW w:type="dxa" w:w="2492"/>
          </w:tcPr>
          <w:p>
            <w:pPr>
              <w:pStyle w:val="null3"/>
            </w:pPr>
            <w:r>
              <w:rPr>
                <w:rFonts w:ascii="仿宋_GB2312" w:hAnsi="仿宋_GB2312" w:cs="仿宋_GB2312" w:eastAsia="仿宋_GB2312"/>
              </w:rPr>
              <w:t>根据供应商针对本项目提供的设备设备设施保养方案进行评审，包括：日常巡检、定期保养、保养记录与档案管理。 对设备设施能够做到日常巡检，定期保养并建立详细的档案管理的得3.1-5分； 设备设备设施保养方案完整，内容简单，对故障基本能够及时响应的得1.1-3分； 设备设备设施保养方案有欠缺，不满足项目需求的得0-1分；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根据供应商针对本项目提供的拟投入设备清单进行评审，设备包括但不限于维修保养设备、安全防护设备、应急设备。 拟投入设备齐全，满足项目需求的得3.1-5分； 拟投入设备较齐全，基本满足项目需求的得1.1-3分； 拟投入设备欠缺，不满足项目需求的得0-1分； 未提供证明材料不得分。 注：供应商需提供拟投入设备的购置合同、购买发票或租赁协议的相关证明材料。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项目服务团队配置</w:t>
            </w:r>
          </w:p>
        </w:tc>
        <w:tc>
          <w:tcPr>
            <w:tcW w:type="dxa" w:w="2492"/>
          </w:tcPr>
          <w:p>
            <w:pPr>
              <w:pStyle w:val="null3"/>
            </w:pPr>
            <w:r>
              <w:rPr>
                <w:rFonts w:ascii="仿宋_GB2312" w:hAnsi="仿宋_GB2312" w:cs="仿宋_GB2312" w:eastAsia="仿宋_GB2312"/>
              </w:rPr>
              <w:t>根据供应商针对本项目提供的拟派项目服务团队人员情况、人员工作经验进行评审，岗位包含：项目负责人1名、安全管理员1名、污水处理操作工2名、设备维修工2名。 拟派项目服务团队人员充沛且均提供了完整的5年以上工作经验的证明材料，岗位设置合理，并提供技术人员相关证书证明材料，完全满足项目需求的得3.1-5分； 拟派项目服务团队人员齐全，人员岗位设置较为合理，提供相关工作经验的证明材料较齐全，提供技术人员相关证书证明材料较齐全，基本满足项目需求的得1.1-3分； 拟派项目服务团队人员有缺漏，或是缺少相关工作经验的证明材料，或是缺少技术人员相关证书证明材料的得0-1分。 备注：需提供服务人员身份证、近两年内任意一次体检报告（体检必须包含传染病四项检查）、技术人员相关证书等证明材料。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拟派项目负责人具备环保工程类专业工程师高级及以上职称的得5分；具备环保工程类专业工程师中级职称的得3分；其他情况不得分。 评审依据：以供应商提供的拟派项目负责人的职称证扫描件或复印件并加盖供应商公章为准，提供多个职称证明材料的，以最高职称证书的扫描件或复印件并加盖供应商公章为准。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项目服务团队其他人员职称</w:t>
            </w:r>
          </w:p>
        </w:tc>
        <w:tc>
          <w:tcPr>
            <w:tcW w:type="dxa" w:w="2492"/>
          </w:tcPr>
          <w:p>
            <w:pPr>
              <w:pStyle w:val="null3"/>
            </w:pPr>
            <w:r>
              <w:rPr>
                <w:rFonts w:ascii="仿宋_GB2312" w:hAnsi="仿宋_GB2312" w:cs="仿宋_GB2312" w:eastAsia="仿宋_GB2312"/>
              </w:rPr>
              <w:t>项目服务团队人员（除项目负责人）每提供一名环保工程类专业工程师中级及以上职称的得2.5分，此项满分5分。评审依据：以供应商提供的拟派项目团队人员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组织机构建设方案1</w:t>
            </w:r>
          </w:p>
        </w:tc>
        <w:tc>
          <w:tcPr>
            <w:tcW w:type="dxa" w:w="2492"/>
          </w:tcPr>
          <w:p>
            <w:pPr>
              <w:pStyle w:val="null3"/>
            </w:pPr>
            <w:r>
              <w:rPr>
                <w:rFonts w:ascii="仿宋_GB2312" w:hAnsi="仿宋_GB2312" w:cs="仿宋_GB2312" w:eastAsia="仿宋_GB2312"/>
              </w:rPr>
              <w:t>根据供应商针对本项目提供的健全的组织机构方案进行评审，包括：建设目标、信息沟通机制、人员保障。 建设目标明确，信息沟通机制完善，注重应急队伍建设的得3.1-5分； 建设目标模糊，信息沟通机制基本完善，应急队伍建设简单的得3.1-5分； 组织机构建设方案内容有欠缺，不满足项目需求的得0-1分；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组织机构建设方案2</w:t>
            </w:r>
          </w:p>
        </w:tc>
        <w:tc>
          <w:tcPr>
            <w:tcW w:type="dxa" w:w="2492"/>
          </w:tcPr>
          <w:p>
            <w:pPr>
              <w:pStyle w:val="null3"/>
            </w:pPr>
            <w:r>
              <w:rPr>
                <w:rFonts w:ascii="仿宋_GB2312" w:hAnsi="仿宋_GB2312" w:cs="仿宋_GB2312" w:eastAsia="仿宋_GB2312"/>
              </w:rPr>
              <w:t>根据供应商针对本项目提供的管理制度、岗位职责制度、岗位工作标准进行评审： 管理制度完善，岗位职责制度清晰，岗位工作标准合理的得3.1-5分； 管理制度简单，岗位职责制度模糊，岗位工作标准基本合理的得1.1-3分； 组织机构建设方案内容有欠缺，不满足项目需求的得0-1分；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应急预案1</w:t>
            </w:r>
          </w:p>
        </w:tc>
        <w:tc>
          <w:tcPr>
            <w:tcW w:type="dxa" w:w="2492"/>
          </w:tcPr>
          <w:p>
            <w:pPr>
              <w:pStyle w:val="null3"/>
            </w:pPr>
            <w:r>
              <w:rPr>
                <w:rFonts w:ascii="仿宋_GB2312" w:hAnsi="仿宋_GB2312" w:cs="仿宋_GB2312" w:eastAsia="仿宋_GB2312"/>
              </w:rPr>
              <w:t>根据供应商针对本项目提供的应急预案进行评审，包括：灾害预防、火灾扑灭、暴雨、暴雪、重大事故的应急措施。 对各类突发情况有完整详细的应急措施，满足项目需求的得3.1-5分； 应急措施完整，内容简单，基本满足项目需求的得1.1-3分； 应急措施有欠缺，不满足项目需求的得0-1分；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应急预案2</w:t>
            </w:r>
          </w:p>
        </w:tc>
        <w:tc>
          <w:tcPr>
            <w:tcW w:type="dxa" w:w="2492"/>
          </w:tcPr>
          <w:p>
            <w:pPr>
              <w:pStyle w:val="null3"/>
            </w:pPr>
            <w:r>
              <w:rPr>
                <w:rFonts w:ascii="仿宋_GB2312" w:hAnsi="仿宋_GB2312" w:cs="仿宋_GB2312" w:eastAsia="仿宋_GB2312"/>
              </w:rPr>
              <w:t>根据供应商针对本项目提供设备故障、水质超标、停电事故的应急方案进行评审： 对停电事故造成的设备故障能够及时响应并解决的得3.1-5分； 应急方案完整，内容简单，基本满足项目需求的得1.1-3分； 应急方案有欠缺，不满足项目需求的得0-1分；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安全保证 措施</w:t>
            </w:r>
          </w:p>
        </w:tc>
        <w:tc>
          <w:tcPr>
            <w:tcW w:type="dxa" w:w="2492"/>
          </w:tcPr>
          <w:p>
            <w:pPr>
              <w:pStyle w:val="null3"/>
            </w:pPr>
            <w:r>
              <w:rPr>
                <w:rFonts w:ascii="仿宋_GB2312" w:hAnsi="仿宋_GB2312" w:cs="仿宋_GB2312" w:eastAsia="仿宋_GB2312"/>
              </w:rPr>
              <w:t>根据供应商针对本项目提供的安全保证措施进行评审，包括但不限于：安全上岗培训、定期安全教育和培训、污水站设备及时维修、接触有毒有害物质维修时配备的特殊防护服及专用工具。 人员上岗前能够进行安全培训，并进行定期的安全教育及培训，对污水站设备及时进行维修，配备特殊防护服及专用工具的得3.1-5分； 安全保证措施完整，内容简单，基本满足项目要求的得1.1-3分； 安全保证措施有欠缺的，影响项目实施的得0-1分；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根据供应商针对本项目提供的有利于本项目工作顺利进行的合理化建议进行评审。 合理化建议内容全面完整，具备可行性，保障项目顺利进行的得3.1-5分； 合理化建议完整，内容简单，基本能够保障项目顺利进行的得1.1-3分； 合理化建议内容有欠缺的得0-1分；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1.供应商提供在项目服务实施过程中不得随意更换项目负责人的承诺书的得2.5分。承诺书格式自拟。 2.供应商提供在运维服务过程中保证设备设施完好率不低于95%，保证出水水质持续符合国家标准，确保污水处理流程稳定运行的承诺的得2.5分，承诺书格式自拟。 未提供或提供内容不全不得分。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供应商提供2022年4月1日以来类似业绩证明（以合同签订时间为准）,每个得2分，最多提供5份，最高得10分。 评审依据：供应商提供合同复印件并加盖单位公章。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