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版本号：CTSD2025-FW-013.1B120250509001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210国道西安过境下大寨至侯官寨公路建设方案调整咨询服务(二次)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CTSD2025-FW-013.1B1</w:t>
      </w:r>
      <w:r>
        <w:br/>
      </w:r>
      <w:r>
        <w:br/>
      </w:r>
      <w:r>
        <w:br/>
      </w:r>
    </w:p>
    <w:p>
      <w:pPr>
        <w:pStyle w:val="null3"/>
        <w:jc w:val="center"/>
        <w:outlineLvl w:val="2"/>
      </w:pPr>
      <w:r>
        <w:rPr>
          <w:rFonts w:ascii="仿宋_GB2312" w:hAnsi="仿宋_GB2312" w:cs="仿宋_GB2312" w:eastAsia="仿宋_GB2312"/>
          <w:sz w:val="28"/>
          <w:b/>
        </w:rPr>
        <w:t>西安市公路工程管理处</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西安市公路工程管理处</w:t>
      </w:r>
      <w:r>
        <w:rPr>
          <w:rFonts w:ascii="仿宋_GB2312" w:hAnsi="仿宋_GB2312" w:cs="仿宋_GB2312" w:eastAsia="仿宋_GB2312"/>
        </w:rPr>
        <w:t>委托，拟对</w:t>
      </w:r>
      <w:r>
        <w:rPr>
          <w:rFonts w:ascii="仿宋_GB2312" w:hAnsi="仿宋_GB2312" w:cs="仿宋_GB2312" w:eastAsia="仿宋_GB2312"/>
        </w:rPr>
        <w:t>210国道西安过境下大寨至侯官寨公路建设方案调整咨询服务(二次)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CTSD2025-FW-013.1B1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210国道西安过境下大寨至侯官寨公路建设方案调整咨询服务(二次)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210国道西安过境下大寨至侯官寨公路，全长60.101公里，采用一级公路技术标准。根据《陕西省交通运输厅关于西安绕城高速扩能改造等项目建设模式有关意见的函》（陕交函〔2024〕230号）文件精神，需将210国道西安过境下大寨至侯官寨公路现有PPP模式与政府还贷模式调整为特许经营新机制模式，需咨询服务单位对该项目整体情况进行综合评估，并给出指导性建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1、法定代表人授权委托书：法定代表人授权委托书：非法定代表人参加磋商的，须提供法定代表人授权委托书及被授权人身份证；法定代表人参加磋商时,只须提供法定代表人身份证。</w:t>
      </w:r>
    </w:p>
    <w:p>
      <w:pPr>
        <w:pStyle w:val="null3"/>
      </w:pPr>
      <w:r>
        <w:rPr>
          <w:rFonts w:ascii="仿宋_GB2312" w:hAnsi="仿宋_GB2312" w:cs="仿宋_GB2312" w:eastAsia="仿宋_GB2312"/>
        </w:rPr>
        <w:t>2、信用记录：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3、控股关系：申请人为同一人或者存在直接控股、管理关系的不同投标人，不得参加本次采购活动。</w:t>
      </w:r>
    </w:p>
    <w:p>
      <w:pPr>
        <w:pStyle w:val="null3"/>
      </w:pPr>
      <w:r>
        <w:rPr>
          <w:rFonts w:ascii="仿宋_GB2312" w:hAnsi="仿宋_GB2312" w:cs="仿宋_GB2312" w:eastAsia="仿宋_GB2312"/>
        </w:rPr>
        <w:t>4、联合体：本项目不接受联合体磋商，不允许分包。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含光南路218号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代理服务费收费标准：支付方式：成交供应商应在领取通知书的同时，支付本项目代理服务费7000元。 成交单位的代理服务费缴纳信息： 银行户名：城投时代（陕西）项目管理有限公司 开户银行：平安银行西安经济技术开发区支行 账号：15014069400074 联系电话：029-89160083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西安市公路工程管理处</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西安市公路工程管理处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符合国家法律法规及相关行业技术标准，满足招标文件及甲方要求。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联系人：朱媛媛</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地址：陕西省西安市未央区陕西省西安市经济技术开发区凤城七路联益中心5楼501室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210国道西安过境下大寨至侯官寨公路，全长60.101公里，采用一级公路技术标准。根据《陕西省交通运输厅关于西安绕城高速扩能改造等项目建设模式有关意见的函》（陕交函〔2024〕230号）文件精神，需将210国道西安过境下大寨至侯官寨公路现有PPP模式与政府还贷模式调整为特许经营新机制模式，需咨询服务单位对该项目整体情况进行综合评估，并给出指导性建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210国道西安过境下大寨至侯官寨公路建设方案调整咨询服务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标的名称：210国道西安过境下大寨至侯官寨公路建设方案调整咨询服务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一、服务范围：</w:t>
            </w:r>
            <w:r>
              <w:rPr>
                <w:rFonts w:ascii="仿宋_GB2312" w:hAnsi="仿宋_GB2312" w:cs="仿宋_GB2312" w:eastAsia="仿宋_GB2312"/>
              </w:rPr>
              <w:t>编制《</w:t>
            </w:r>
            <w:r>
              <w:rPr>
                <w:rFonts w:ascii="仿宋_GB2312" w:hAnsi="仿宋_GB2312" w:cs="仿宋_GB2312" w:eastAsia="仿宋_GB2312"/>
              </w:rPr>
              <w:t>210国道西安过境下大寨至侯官寨公路建设方案调整咨询报告》，为210国道西安过境下大寨至侯官寨公路项目建设模式转换提供专业咨询服务。</w:t>
            </w:r>
          </w:p>
          <w:p>
            <w:pPr>
              <w:pStyle w:val="null3"/>
            </w:pPr>
            <w:r>
              <w:rPr>
                <w:rFonts w:ascii="仿宋_GB2312" w:hAnsi="仿宋_GB2312" w:cs="仿宋_GB2312" w:eastAsia="仿宋_GB2312"/>
              </w:rPr>
              <w:t>二、服务要求</w:t>
            </w:r>
            <w:r>
              <w:rPr>
                <w:rFonts w:ascii="仿宋_GB2312" w:hAnsi="仿宋_GB2312" w:cs="仿宋_GB2312" w:eastAsia="仿宋_GB2312"/>
              </w:rPr>
              <w:t>：</w:t>
            </w:r>
            <w:r>
              <w:rPr>
                <w:rFonts w:ascii="仿宋_GB2312" w:hAnsi="仿宋_GB2312" w:cs="仿宋_GB2312" w:eastAsia="仿宋_GB2312"/>
              </w:rPr>
              <w:t>根据甲方提供的相关资料，对</w:t>
            </w:r>
            <w:r>
              <w:rPr>
                <w:rFonts w:ascii="仿宋_GB2312" w:hAnsi="仿宋_GB2312" w:cs="仿宋_GB2312" w:eastAsia="仿宋_GB2312"/>
              </w:rPr>
              <w:t>210国道西安过境下大寨至侯官寨公路建设情况进行梳理，对项目不同建设模式进行对比分析并提出合理化调整意见。</w:t>
            </w:r>
            <w:r>
              <w:rPr>
                <w:rFonts w:ascii="仿宋_GB2312" w:hAnsi="仿宋_GB2312" w:cs="仿宋_GB2312" w:eastAsia="仿宋_GB2312"/>
              </w:rPr>
              <w:t>结合国家最新政策要求，对项目建设模式调整前后的建设投资、运营效果进行风险判定与评估，着力于建设模式转换后地方财政未来支出责任的变化，出具</w:t>
            </w:r>
            <w:r>
              <w:rPr>
                <w:rFonts w:ascii="仿宋_GB2312" w:hAnsi="仿宋_GB2312" w:cs="仿宋_GB2312" w:eastAsia="仿宋_GB2312"/>
              </w:rPr>
              <w:t>210国道西安过境下大寨至侯官寨公路建设方案调整咨询报告。</w:t>
            </w:r>
          </w:p>
          <w:p>
            <w:pPr>
              <w:pStyle w:val="null3"/>
            </w:pPr>
            <w:r>
              <w:rPr>
                <w:rFonts w:ascii="仿宋_GB2312" w:hAnsi="仿宋_GB2312" w:cs="仿宋_GB2312" w:eastAsia="仿宋_GB2312"/>
              </w:rPr>
              <w:t>三、服务标准：</w:t>
            </w:r>
            <w:r>
              <w:rPr>
                <w:rFonts w:ascii="仿宋_GB2312" w:hAnsi="仿宋_GB2312" w:cs="仿宋_GB2312" w:eastAsia="仿宋_GB2312"/>
              </w:rPr>
              <w:t>符合国家法律法规及相关行业技术标准，满足招标文件及甲方要求。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安全目标：在合同期间出现的安全问题由投标人自行负责，与发包人无关。</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合同服务期为45天。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合同签订并生效</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乙方完成项目成果初稿编制，初稿修改并经甲方审核确认</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2.提供磋商截止时间前6个月内至少一个月的依法缴纳税收的相关凭据（时间以税款所属日期为准)，依法免税或无须缴纳税收的供应商应提供相关证明材料；提供磋商截止时间前6个月内至少一个月的社保缴纳凭据或社保机构开具的社会保险参保缴纳情况证明，依法不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 5.磋商单位具备法律、行政法规规定的其他条件。（提供承诺函）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提供经会计师事务所审计的2023年或2024年度的财务审计报告或开标前3个月内供应商基本存款账户开户行出具的资信证明及开户许可证（基本存款账户信息）。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投标文件格式</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法定代表人授权委托书：非法定代表人参加磋商的，须提供法定代表人授权委托书及被授权人身份证；法定代表人参加磋商时,只须提供法定代表人身份证。</w:t>
            </w:r>
          </w:p>
        </w:tc>
        <w:tc>
          <w:tcPr>
            <w:tcW w:type="dxa" w:w="1661"/>
          </w:tcPr>
          <w:p>
            <w:pPr>
              <w:pStyle w:val="null3"/>
            </w:pPr>
            <w:r>
              <w:rPr>
                <w:rFonts w:ascii="仿宋_GB2312" w:hAnsi="仿宋_GB2312" w:cs="仿宋_GB2312" w:eastAsia="仿宋_GB2312"/>
              </w:rPr>
              <w:t>响应函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响应函 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申请人为同一人或者存在直接控股、管理关系的不同投标人，不得参加本次采购活动。</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按照磋商文件规定要求签署、盖章的。法定代表人或法定代表人授权书。</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 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标的清单 报价表 响应函 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 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 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 投标文件格式</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1、拟派项目负责人具有正高级职称得5分,未提供不得分。 2、项目负责人具有2个类似业绩（PPP或财务测算类项目咨询服务）的得4分；每增加一个业绩得2分，最高4分，此项共8分。 3、项目团队其他成员高级及以上职称人员五名以上得5分，少于5名每少一名扣1分，扣完为止。 未提供不得分。 （以上人员均需提供2025年社保缴纳证明加盖供应商公章；项目负责人业绩需提供完整的合同、相关证明复印件加盖供应商公章）</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提供近三年（以合同时间为准）完成的类似项目业绩（PPP或财务测算类项目咨询服务），每提供一项得1分， 未提供不得分。满分8分。 注：响应文件中提供完整的合同复印件加盖供应商公章。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服务总体方案</w:t>
            </w:r>
          </w:p>
        </w:tc>
        <w:tc>
          <w:tcPr>
            <w:tcW w:type="dxa" w:w="2492"/>
          </w:tcPr>
          <w:p>
            <w:pPr>
              <w:pStyle w:val="null3"/>
            </w:pPr>
            <w:r>
              <w:rPr>
                <w:rFonts w:ascii="仿宋_GB2312" w:hAnsi="仿宋_GB2312" w:cs="仿宋_GB2312" w:eastAsia="仿宋_GB2312"/>
              </w:rPr>
              <w:t>服务总体方案包括但不限于针对本技术服务各项内容的实际情况编制，技术规范能够严格执行现行国家及行业规范、规程和强制性条文。包含工作流程全面清晰、服务思路、服务内容、服务方法等项目需要的内容，有整体结构，切中关键问题。 1、方案非常完善可行性很高满足采购文件需求同时且优于采购人需求的得20分； 2、方案全面、详尽、完整、针对性强得18分； 3、方案全面较详尽、完整较可行，实施较便捷得14分； 4、方案内容基本完整、可行、专业，方案完善可行性基本满足采购人需求的得10分； 5、基于本项目现状、背景及采购人需求，方案内容简单的得7分。 6、方案内容不全面详尽、可行性不佳的得4分； 7、方案不满足需求的得2分； 8、未提供不得分。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服务项目进度控制措施</w:t>
            </w:r>
          </w:p>
        </w:tc>
        <w:tc>
          <w:tcPr>
            <w:tcW w:type="dxa" w:w="2492"/>
          </w:tcPr>
          <w:p>
            <w:pPr>
              <w:pStyle w:val="null3"/>
            </w:pPr>
            <w:r>
              <w:rPr>
                <w:rFonts w:ascii="仿宋_GB2312" w:hAnsi="仿宋_GB2312" w:cs="仿宋_GB2312" w:eastAsia="仿宋_GB2312"/>
              </w:rPr>
              <w:t>1、服务项目进度安排、工作计划与进度安排相关措施。明显优于采购需求的得12分， 2、服务项目进度安排、工作计划与进度安排相关措施科学、合理得10分； 3、服务项目进度安排、工作计划与进度安排基本满足采购需要的得8分； 4、服务项目进度安排、工作计划与进度安排相关措施较合理、实时性较强得5分； 5、措施简单但不影响项目实施的得3分； 6、未提供不得分。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1、项目重点难点分析、应对措施及相关的合理化建议，内容完整准确，思路清晰，贴合实际情况的得10分； 2、项目重点难点分析、应对措施及相关的合理化建议，内容基本完整准确，思路相对清晰，比较贴合实际情况的得8分； 3、项目重点难点分析、应对措施及相关的合理化建议，内容较详细，思路一般得6分；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1、确保成果报告准确的质量保证措施，保证报告的权威性、真实性、准确性，符合相关行业的标准要求。明显优于相关行业标准的得10分； 2、质量保证措施内容完整详尽，责任制度明确、可行性强得8分； 3、质量保证措施内容无缺漏能满足项目需求的得7分； 4、质量保证措施基本符合项目需求的得5分； 5、质量保证措施不完整但不影响项目实施的得3分；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1、根据项目管理组织架构和岗位设置、管理制度、内部分工和职责等情况进行打分。岗位设置合理、管理制度齐全、内部分工和职责明确的得8分， 2、岗位设置较合理、有一定的管理制度、内部分工和职责不够明确的得4分， 3、未提供不得分。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供应商提供的服务承诺应说明向采购人提供的各项服务内容、质量标准、保密措施、后续服务承诺。以上4项承诺完整提供的得4分，不能完整提供或未提供不得分。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 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