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版本号：0617-2513FZ069520250509001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训练中心高低压电气设备维保（二次）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0617-2513FZ0695</w:t>
      </w:r>
      <w:r>
        <w:br/>
      </w:r>
      <w:r>
        <w:br/>
      </w:r>
      <w:r>
        <w:br/>
      </w:r>
    </w:p>
    <w:p>
      <w:pPr>
        <w:pStyle w:val="null3"/>
        <w:jc w:val="center"/>
        <w:outlineLvl w:val="2"/>
      </w:pPr>
      <w:r>
        <w:rPr>
          <w:rFonts w:ascii="仿宋_GB2312" w:hAnsi="仿宋_GB2312" w:cs="仿宋_GB2312" w:eastAsia="仿宋_GB2312"/>
          <w:sz w:val="28"/>
          <w:b/>
        </w:rPr>
        <w:t>西安市体育训练中心（西安市人民体育场）</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西安市体育训练中心（西安市人民体育场）</w:t>
      </w:r>
      <w:r>
        <w:rPr>
          <w:rFonts w:ascii="仿宋_GB2312" w:hAnsi="仿宋_GB2312" w:cs="仿宋_GB2312" w:eastAsia="仿宋_GB2312"/>
        </w:rPr>
        <w:t>委托，拟对</w:t>
      </w:r>
      <w:r>
        <w:rPr>
          <w:rFonts w:ascii="仿宋_GB2312" w:hAnsi="仿宋_GB2312" w:cs="仿宋_GB2312" w:eastAsia="仿宋_GB2312"/>
        </w:rPr>
        <w:t>训练中心高低压电气设备维保（二次）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0617-2513FZ0695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训练中心高低压电气设备维保（二次）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训练中心高低压电气设备维保；2、项目概况：西安市体育训练中心（西安市人民体育场）项目于2023年开始运营，各场馆配电室及办公楼配电室运行2年以来，各配电设备都运转正常。根据“中华人民共和国电力行业标准DL/T 596-2021（电力设备预防性试验规程）”要求，配电设备需定期开展测试、定检服务。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采购包1（训练中心高低压电气设备维保）：属于专门面向小微企业采购。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1、供应商资质：须具备电力工程施工总承包三级以上（含三级）资质或输变电工程专业承包三级以上（含三级）资质，并具有有效的安全生产许可证。</w:t>
      </w:r>
    </w:p>
    <w:p>
      <w:pPr>
        <w:pStyle w:val="null3"/>
      </w:pPr>
      <w:r>
        <w:rPr>
          <w:rFonts w:ascii="仿宋_GB2312" w:hAnsi="仿宋_GB2312" w:cs="仿宋_GB2312" w:eastAsia="仿宋_GB2312"/>
        </w:rPr>
        <w:t>2、供应商资质：须具备承装（修、试）电力设施许可证五级或以上资质。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西安市体育训练中心（西安市人民体育场）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西安市国际港务区港务西路西安市体育训练中心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曹迎春、范龙飞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成交供应商在领取成交通知书前，须向采购代理机构一次性支付代理服务费。 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西安市体育训练中心（西安市人民体育场）</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西安市体育训练中心（西安市人民体育场）</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西安市体育训练中心（西安市人民体育场）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质量验收标准或规范：“中华人民共和国电力行业标准DL/T 596-2021（电力设备预防性试验规程）”要求以及现行的相关规范及行业要求。（具体内容以合同签订为准）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联系人：曹迎春、范龙飞</w:t>
      </w:r>
    </w:p>
    <w:p>
      <w:pPr>
        <w:pStyle w:val="null3"/>
      </w:pPr>
      <w:r>
        <w:rPr>
          <w:rFonts w:ascii="仿宋_GB2312" w:hAnsi="仿宋_GB2312" w:cs="仿宋_GB2312" w:eastAsia="仿宋_GB2312"/>
        </w:rPr>
        <w:t>联系电话：029-89651835</w:t>
      </w:r>
    </w:p>
    <w:p>
      <w:pPr>
        <w:pStyle w:val="null3"/>
      </w:pPr>
      <w:r>
        <w:rPr>
          <w:rFonts w:ascii="仿宋_GB2312" w:hAnsi="仿宋_GB2312" w:cs="仿宋_GB2312" w:eastAsia="仿宋_GB2312"/>
        </w:rPr>
        <w:t>地址：陕西省西安市雁塔区南二环西段58号成长大厦11层1107室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1、采购内容：</w:t>
      </w:r>
      <w:r>
        <w:rPr>
          <w:rFonts w:ascii="仿宋_GB2312" w:hAnsi="仿宋_GB2312" w:cs="仿宋_GB2312" w:eastAsia="仿宋_GB2312"/>
          <w:sz w:val="21"/>
        </w:rPr>
        <w:t>训练中心高低压电气设备维保</w:t>
      </w:r>
      <w:r>
        <w:rPr>
          <w:rFonts w:ascii="仿宋_GB2312" w:hAnsi="仿宋_GB2312" w:cs="仿宋_GB2312" w:eastAsia="仿宋_GB2312"/>
          <w:sz w:val="21"/>
        </w:rPr>
        <w:t>；</w:t>
      </w:r>
      <w:r>
        <w:rPr>
          <w:rFonts w:ascii="仿宋_GB2312" w:hAnsi="仿宋_GB2312" w:cs="仿宋_GB2312" w:eastAsia="仿宋_GB2312"/>
          <w:sz w:val="21"/>
        </w:rPr>
        <w:t>2、项目概况：</w:t>
      </w:r>
      <w:r>
        <w:rPr>
          <w:rFonts w:ascii="仿宋_GB2312" w:hAnsi="仿宋_GB2312" w:cs="仿宋_GB2312" w:eastAsia="仿宋_GB2312"/>
          <w:sz w:val="21"/>
        </w:rPr>
        <w:t>西安市体育训练中心（西安市人民体育场）项目于</w:t>
      </w:r>
      <w:r>
        <w:rPr>
          <w:rFonts w:ascii="仿宋_GB2312" w:hAnsi="仿宋_GB2312" w:cs="仿宋_GB2312" w:eastAsia="仿宋_GB2312"/>
          <w:sz w:val="21"/>
        </w:rPr>
        <w:t>2023年开始运营，各场馆配电室及办公楼配电室运行2年以来，各配电设备都运转正常。根据“中华人民共和国电力行业标准DL/T 596-2021（电力设备预防性试验规程）”要求，配电设备需定期开展测试、定检服务。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1,796,800.00</w:t>
      </w:r>
    </w:p>
    <w:p>
      <w:pPr>
        <w:pStyle w:val="null3"/>
      </w:pPr>
      <w:r>
        <w:rPr>
          <w:rFonts w:ascii="仿宋_GB2312" w:hAnsi="仿宋_GB2312" w:cs="仿宋_GB2312" w:eastAsia="仿宋_GB2312"/>
        </w:rPr>
        <w:t>采购包最高限价（元）: 1,796,800.00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训练中心高低压电气设备维保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标的名称：训练中心高低压电气设备维保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项目情况：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1）项目概况：</w:t>
            </w:r>
            <w:r>
              <w:rPr>
                <w:rFonts w:ascii="仿宋_GB2312" w:hAnsi="仿宋_GB2312" w:cs="仿宋_GB2312" w:eastAsia="仿宋_GB2312"/>
                <w:sz w:val="20"/>
              </w:rPr>
              <w:t>西安市体育训练中心（西安市人民体育场）项目于</w:t>
            </w:r>
            <w:r>
              <w:rPr>
                <w:rFonts w:ascii="仿宋_GB2312" w:hAnsi="仿宋_GB2312" w:cs="仿宋_GB2312" w:eastAsia="仿宋_GB2312"/>
                <w:sz w:val="20"/>
              </w:rPr>
              <w:t>2023年开始运营，各场馆配电室及办公楼配电室运行2年以来，各配电设备都运转正常。根据“中华人民共和国电力行业标准DL/T 596-2021（电力设备预防性试验规程）”要求，配电设备需定期开展测试、定检服务。</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2）服务</w:t>
            </w:r>
            <w:r>
              <w:rPr>
                <w:rFonts w:ascii="仿宋_GB2312" w:hAnsi="仿宋_GB2312" w:cs="仿宋_GB2312" w:eastAsia="仿宋_GB2312"/>
                <w:sz w:val="20"/>
              </w:rPr>
              <w:t>内容</w:t>
            </w:r>
            <w:r>
              <w:rPr>
                <w:rFonts w:ascii="仿宋_GB2312" w:hAnsi="仿宋_GB2312" w:cs="仿宋_GB2312" w:eastAsia="仿宋_GB2312"/>
                <w:sz w:val="20"/>
              </w:rPr>
              <w:t>：</w:t>
            </w:r>
            <w:r>
              <w:rPr>
                <w:rFonts w:ascii="仿宋_GB2312" w:hAnsi="仿宋_GB2312" w:cs="仿宋_GB2312" w:eastAsia="仿宋_GB2312"/>
                <w:sz w:val="20"/>
              </w:rPr>
              <w:t>为保障</w:t>
            </w:r>
            <w:r>
              <w:rPr>
                <w:rFonts w:ascii="仿宋_GB2312" w:hAnsi="仿宋_GB2312" w:cs="仿宋_GB2312" w:eastAsia="仿宋_GB2312"/>
                <w:sz w:val="20"/>
              </w:rPr>
              <w:t>10kV配电房的安全运行、杜绝发生任何人身及设备伤害事故，以及确保设备稳定运行，及对设备运行情况及时了解，消除故障隐患，促进安全生产必须对高、低压柜、直流屏、变压器、接地系统等设备和装置进行检测。包含地下车库及设备用房配电室，射击击剑馆配电室，室外看台配电室，田径馆配电室，游泳跳水训练馆配电室，综合训练馆配电室，以及每个月不低于1次的巡检任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维保人员必须持有</w:t>
            </w:r>
            <w:r>
              <w:rPr>
                <w:rFonts w:ascii="仿宋_GB2312" w:hAnsi="仿宋_GB2312" w:cs="仿宋_GB2312" w:eastAsia="仿宋_GB2312"/>
                <w:sz w:val="20"/>
              </w:rPr>
              <w:t>特种作业操作证（电工），</w:t>
            </w:r>
            <w:r>
              <w:rPr>
                <w:rFonts w:ascii="仿宋_GB2312" w:hAnsi="仿宋_GB2312" w:cs="仿宋_GB2312" w:eastAsia="仿宋_GB2312"/>
                <w:sz w:val="20"/>
              </w:rPr>
              <w:t>须同时配备操作项目为低压电工作业和高压电工作业的维保人员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维保人员应严格按照国家行业标准和操作规程进行工作，包括但不限于设备检查、清洁、紧固、润滑、更换和测试等环节。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对配电设施进行全面的检查，发现并记录设备的异常情况，如高压、低压开关的闭合状态，指示灯和仪表的指示情况，变压器温度等。</w:t>
            </w:r>
          </w:p>
          <w:p>
            <w:pPr>
              <w:pStyle w:val="null3"/>
              <w:jc w:val="both"/>
            </w:pPr>
            <w:r>
              <w:rPr>
                <w:rFonts w:ascii="仿宋_GB2312" w:hAnsi="仿宋_GB2312" w:cs="仿宋_GB2312" w:eastAsia="仿宋_GB2312"/>
                <w:sz w:val="20"/>
              </w:rPr>
              <w:t xml:space="preserve">       定期对设备进行性能测试，如测量变压器的油色、油位，检查接地线是否齐全并符合要求，以及测量每组电容器的容量等。</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对配电设备进行清洁，去除灰尘、油污等，确保设备的散热和绝缘性能。</w:t>
            </w:r>
          </w:p>
          <w:p>
            <w:pPr>
              <w:pStyle w:val="null3"/>
              <w:jc w:val="both"/>
            </w:pPr>
            <w:r>
              <w:rPr>
                <w:rFonts w:ascii="仿宋_GB2312" w:hAnsi="仿宋_GB2312" w:cs="仿宋_GB2312" w:eastAsia="仿宋_GB2312"/>
                <w:sz w:val="20"/>
              </w:rPr>
              <w:t xml:space="preserve">       对露出在外的导体接头进行防腐处理，如采用电力复合脂直接涂抹，避免氧化接头，确保接口使用可靠。</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在维保过程中，应全面落实各项安全措施，包括个人防护、设备隔离、警示标识、紧急预案等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确保配电房环境安全，如墙身、地面无裂痕、无漏水、渗水现象，电缆沟内无积水等。</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每次维保工作都应详细记录，包括维保的时间、人员、内容、发现的问题及处理结果等。</w:t>
            </w:r>
          </w:p>
          <w:p>
            <w:pPr>
              <w:pStyle w:val="null3"/>
              <w:jc w:val="both"/>
            </w:pPr>
            <w:r>
              <w:rPr>
                <w:rFonts w:ascii="仿宋_GB2312" w:hAnsi="仿宋_GB2312" w:cs="仿宋_GB2312" w:eastAsia="仿宋_GB2312"/>
                <w:sz w:val="20"/>
              </w:rPr>
              <w:t xml:space="preserve">       这些记录有助于追踪设备的维保历史，并为未来的维保工作提供参考。</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b/>
              </w:rPr>
              <w:t>服务要求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电气设备维保需要使用专业的仪器，这些仪器能够覆盖被测项目的各个电压等级，如</w:t>
            </w:r>
            <w:r>
              <w:rPr>
                <w:rFonts w:ascii="仿宋_GB2312" w:hAnsi="仿宋_GB2312" w:cs="仿宋_GB2312" w:eastAsia="仿宋_GB2312"/>
                <w:sz w:val="20"/>
              </w:rPr>
              <w:t>0.4kV、10kV等，确保对配电室内的设备进行全面的检测和维保。</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在维保过程中，需要使用各种安全设备，如个人防护装备、设备隔离装置、警示标示等，以确保维保工作的安全性</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维保服务应严格按照国家行业标准和操作规程进行，包括但不限于设备检查、清洁、紧固、润滑、更换和测试等环节。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在维保过程中，需要事先通知业主并获得同意，同时在操作现场放置醒目的标牌提示或张贴告示通知。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）对于业主的服务通知，维保单位应提供</w:t>
            </w:r>
            <w:r>
              <w:rPr>
                <w:rFonts w:ascii="仿宋_GB2312" w:hAnsi="仿宋_GB2312" w:cs="仿宋_GB2312" w:eastAsia="仿宋_GB2312"/>
                <w:sz w:val="20"/>
              </w:rPr>
              <w:t>24小时抢修响应服务。在配电系统发生故障或线路跳闸时，应在接到报修后迅速响应，并在规定时间内派员到达现场进行故障处理和维修。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）维保单位应定期向业主提交电气设备运行情况报告。</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）维保单位在维保过程中应全面负责现场人员及设备安全。如因维保不到位导致发生安全、火灾、人员伤亡等事故，维保单位需自行承担责任并赔偿损失。（需提供承诺）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color w:val="000000"/>
              </w:rPr>
              <w:t>2025年7月30日前完成各个配电室检测及资料整理移交等工作。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b/>
              </w:rPr>
              <w:t>成果交付要求</w:t>
            </w:r>
            <w:r>
              <w:rPr>
                <w:rFonts w:ascii="仿宋_GB2312" w:hAnsi="仿宋_GB2312" w:cs="仿宋_GB2312" w:eastAsia="仿宋_GB2312"/>
                <w:sz w:val="20"/>
                <w:b/>
              </w:rPr>
              <w:t>：</w:t>
            </w:r>
          </w:p>
          <w:p>
            <w:pPr>
              <w:pStyle w:val="null3"/>
              <w:ind w:firstLine="432"/>
              <w:jc w:val="both"/>
            </w:pPr>
            <w:r>
              <w:rPr>
                <w:rFonts w:ascii="仿宋_GB2312" w:hAnsi="仿宋_GB2312" w:cs="仿宋_GB2312" w:eastAsia="仿宋_GB2312"/>
                <w:sz w:val="20"/>
                <w:color w:val="000000"/>
              </w:rPr>
              <w:t>配电室维保成果交付要求需涵盖设备检查、维护操作、记录报告以及应急处理等多个方面，以确保配电室设施的安全稳定运行。</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设备状态确认</w:t>
            </w:r>
            <w:r>
              <w:rPr>
                <w:rFonts w:ascii="仿宋_GB2312" w:hAnsi="仿宋_GB2312" w:cs="仿宋_GB2312" w:eastAsia="仿宋_GB2312"/>
                <w:sz w:val="20"/>
                <w:color w:val="000000"/>
              </w:rPr>
              <w:t>：</w:t>
            </w:r>
            <w:r>
              <w:rPr>
                <w:rFonts w:ascii="仿宋_GB2312" w:hAnsi="仿宋_GB2312" w:cs="仿宋_GB2312" w:eastAsia="仿宋_GB2312"/>
                <w:sz w:val="20"/>
                <w:color w:val="000000"/>
              </w:rPr>
              <w:t>所有配电设备应处于正常运行状态无异常声响、振动或过热现象，设备的各项运行参数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如温度、电流、电压等</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应在正常范围内，符合设备制造商的要求和行业标准。</w:t>
            </w:r>
          </w:p>
          <w:p>
            <w:pPr>
              <w:pStyle w:val="null3"/>
              <w:ind w:firstLine="43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接地电阻测试</w:t>
            </w:r>
            <w:r>
              <w:rPr>
                <w:rFonts w:ascii="仿宋_GB2312" w:hAnsi="仿宋_GB2312" w:cs="仿宋_GB2312" w:eastAsia="仿宋_GB2312"/>
                <w:sz w:val="20"/>
                <w:color w:val="000000"/>
              </w:rPr>
              <w:t>：</w:t>
            </w:r>
            <w:r>
              <w:rPr>
                <w:rFonts w:ascii="仿宋_GB2312" w:hAnsi="仿宋_GB2312" w:cs="仿宋_GB2312" w:eastAsia="仿宋_GB2312"/>
                <w:sz w:val="20"/>
                <w:color w:val="000000"/>
              </w:rPr>
              <w:t>接地电阻值应不大于规定值</w:t>
            </w:r>
            <w:r>
              <w:rPr>
                <w:rFonts w:ascii="仿宋_GB2312" w:hAnsi="仿宋_GB2312" w:cs="仿宋_GB2312" w:eastAsia="仿宋_GB2312"/>
                <w:sz w:val="20"/>
                <w:color w:val="000000"/>
              </w:rPr>
              <w:t>（</w:t>
            </w:r>
            <w:r>
              <w:rPr>
                <w:rFonts w:ascii="仿宋_GB2312" w:hAnsi="仿宋_GB2312" w:cs="仿宋_GB2312" w:eastAsia="仿宋_GB2312"/>
                <w:sz w:val="20"/>
                <w:color w:val="000000"/>
              </w:rPr>
              <w:t>如</w:t>
            </w:r>
            <w:r>
              <w:rPr>
                <w:rFonts w:ascii="仿宋_GB2312" w:hAnsi="仿宋_GB2312" w:cs="仿宋_GB2312" w:eastAsia="仿宋_GB2312"/>
                <w:sz w:val="20"/>
                <w:color w:val="000000"/>
              </w:rPr>
              <w:t>4Ω</w:t>
            </w:r>
            <w:r>
              <w:rPr>
                <w:rFonts w:ascii="仿宋_GB2312" w:hAnsi="仿宋_GB2312" w:cs="仿宋_GB2312" w:eastAsia="仿宋_GB2312"/>
                <w:sz w:val="20"/>
                <w:color w:val="000000"/>
              </w:rPr>
              <w:t>），</w:t>
            </w:r>
            <w:r>
              <w:rPr>
                <w:rFonts w:ascii="仿宋_GB2312" w:hAnsi="仿宋_GB2312" w:cs="仿宋_GB2312" w:eastAsia="仿宋_GB2312"/>
                <w:sz w:val="20"/>
                <w:color w:val="000000"/>
              </w:rPr>
              <w:t>确保设备的安全接地。</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w:t>
            </w:r>
            <w:r>
              <w:rPr>
                <w:rFonts w:ascii="仿宋_GB2312" w:hAnsi="仿宋_GB2312" w:cs="仿宋_GB2312" w:eastAsia="仿宋_GB2312"/>
                <w:sz w:val="20"/>
                <w:color w:val="000000"/>
              </w:rPr>
              <w:t>）维保记录：每次维保后，应详细记录设备的运行状态、发现的问题及处理结果。记录应完整、准确，方便后续跟踪和查询。</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自</w:t>
            </w:r>
            <w:r>
              <w:rPr>
                <w:rFonts w:ascii="仿宋_GB2312" w:hAnsi="仿宋_GB2312" w:cs="仿宋_GB2312" w:eastAsia="仿宋_GB2312"/>
                <w:sz w:val="20"/>
              </w:rPr>
              <w:t>2025年6月1日起至2026年5月31日止。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款项结算</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5个工作日内支付合同总价款的</w:t>
            </w:r>
            <w:r>
              <w:rPr>
                <w:rFonts w:ascii="仿宋_GB2312" w:hAnsi="仿宋_GB2312" w:cs="仿宋_GB2312" w:eastAsia="仿宋_GB2312"/>
                <w:sz w:val="20"/>
              </w:rPr>
              <w:t>5</w:t>
            </w:r>
            <w:r>
              <w:rPr>
                <w:rFonts w:ascii="仿宋_GB2312" w:hAnsi="仿宋_GB2312" w:cs="仿宋_GB2312" w:eastAsia="仿宋_GB2312"/>
                <w:sz w:val="20"/>
              </w:rPr>
              <w:t>0%；项目实施阶段</w:t>
            </w:r>
            <w:r>
              <w:rPr>
                <w:rFonts w:ascii="仿宋_GB2312" w:hAnsi="仿宋_GB2312" w:cs="仿宋_GB2312" w:eastAsia="仿宋_GB2312"/>
                <w:sz w:val="20"/>
              </w:rPr>
              <w:t>（</w:t>
            </w:r>
            <w:r>
              <w:rPr>
                <w:rFonts w:ascii="仿宋_GB2312" w:hAnsi="仿宋_GB2312" w:cs="仿宋_GB2312" w:eastAsia="仿宋_GB2312"/>
                <w:sz w:val="20"/>
              </w:rPr>
              <w:t>2025年9月30日前</w:t>
            </w:r>
            <w:r>
              <w:rPr>
                <w:rFonts w:ascii="仿宋_GB2312" w:hAnsi="仿宋_GB2312" w:cs="仿宋_GB2312" w:eastAsia="仿宋_GB2312"/>
                <w:sz w:val="20"/>
              </w:rPr>
              <w:t>）</w:t>
            </w:r>
            <w:r>
              <w:rPr>
                <w:rFonts w:ascii="仿宋_GB2312" w:hAnsi="仿宋_GB2312" w:cs="仿宋_GB2312" w:eastAsia="仿宋_GB2312"/>
                <w:sz w:val="20"/>
              </w:rPr>
              <w:t>支付合同总价款的</w:t>
            </w:r>
            <w:r>
              <w:rPr>
                <w:rFonts w:ascii="仿宋_GB2312" w:hAnsi="仿宋_GB2312" w:cs="仿宋_GB2312" w:eastAsia="仿宋_GB2312"/>
                <w:sz w:val="20"/>
              </w:rPr>
              <w:t>3</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2025年11月30日前</w:t>
            </w:r>
            <w:r>
              <w:rPr>
                <w:rFonts w:ascii="仿宋_GB2312" w:hAnsi="仿宋_GB2312" w:cs="仿宋_GB2312" w:eastAsia="仿宋_GB2312"/>
                <w:sz w:val="20"/>
              </w:rPr>
              <w:t>支付合同总价款的</w:t>
            </w:r>
            <w:r>
              <w:rPr>
                <w:rFonts w:ascii="仿宋_GB2312" w:hAnsi="仿宋_GB2312" w:cs="仿宋_GB2312" w:eastAsia="仿宋_GB2312"/>
                <w:sz w:val="20"/>
              </w:rPr>
              <w:t>2</w:t>
            </w:r>
            <w:r>
              <w:rPr>
                <w:rFonts w:ascii="仿宋_GB2312" w:hAnsi="仿宋_GB2312" w:cs="仿宋_GB2312" w:eastAsia="仿宋_GB2312"/>
                <w:sz w:val="20"/>
              </w:rPr>
              <w:t>0%。</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采购需求中除</w:t>
            </w:r>
            <w:r>
              <w:rPr>
                <w:rFonts w:ascii="仿宋_GB2312" w:hAnsi="仿宋_GB2312" w:cs="仿宋_GB2312" w:eastAsia="仿宋_GB2312"/>
                <w:sz w:val="20"/>
              </w:rPr>
              <w:t>★项不得偏离外，其余参数根据偏离内容及情况进行评审，具体以磋商办法要求为准。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自2025年6月1日起至2026年5月31日止。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西安市体育训练中心。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质量验收标准或规范：“中华人民共和国电力行业标准DL/T 596-2021（电力设备预防性试验规程）”要求以及现行的相关规范及行业要求。（具体内容以合同签订为准）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合同签订后5个工作日内（以此处为准）</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项目实施阶段（2025年9月30日前）（以此处为准）</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2025年11月30日前（以此处为准）</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合格：乙方所提供的服务不合格的，应及时更正。更正不及时的按逾期交付服务处理，因服务质量问题甲方不同意接收的或特殊情况甲方不同意接收的，乙方应向甲方支付按本台同合计金额一定比例的违约金（如10%）并赔偿甲方经济损失。 2、乙方服务侵犯第三方权益：乙方提供的服务如侵犯了第三方合法权益而引发的任何纠纷或诉讼，均由乙方负责交涉并承担全部责任。 3、甲方无故延期接收：甲方无故延期接收的，每天向对方偿付违约货款额一定比例的违约金（如2%）但违约金累计不得超过合同合计金额的某一比例（如5%）。超过一定天数（如15天）对方有权解除合同。违约方承担因此给对方造成的经济损失。甲方延期付货款的，每天向乙方偿付延期货款额的滞纳金（如2%），但滞纳金累计不得超过合同额的某一比例（如5%）。 4、乙方未提供规定售后服务：乙方未按本合同和投标文件中规定的服务承诺提供售后服务的，乙方应按本合同合计金额一定比例（如5%）向采购人支付违约金。 5、乙方服务在履约质量保证期内造成损失：乙方提供的服务在履约质量保证期内，因服务水准及基它原因造成的损失，由乙方负责。 6、争议解决：因服务方案问题发生争议的，应聘请国家认可的相关部门进行鉴定。服务符合标准的，鉴定费由甲方承担；服务不符合标准的，鉴定费由乙方承担。因履行本合同引起的或与本合同有关的争议，甲乙双方应首先通过友好协商解决，如果协商不能解决，可向仲裁委员会申请仲裁或向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具体内容详见“技术参数与性能指标”。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4）具有依法缴纳社会保障资金的良好记录 提供缴费所属日期为磋商截止时间前12个月内任一月份（磋商截止时间当月不计入）的缴费凭据或社保机关出具的缴费证明/在法规范围内不需提供的应出具书面说明和证明文件；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原件，授权书附件同时提供：①法定代表人、被授权人身份证复印件；②被授权人在文件递交截止时间前6个月内任意一个月的社保证明材料（如为60岁以上，可提供劳动合同或公司工资转账凭证）复印件。 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或财政部门认可的政府采购专业担保机构出具的投标担保函；以上三种形式的资料提供任何一种即可。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响应文件封面 资格证明文件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须具备电力工程施工总承包三级以上（含三级）资质或输变电工程专业承包三级以上（含三级）资质，并具有有效的安全生产许可证。</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须具备承装（修、试）电力设施许可证五级或以上资质。</w:t>
            </w:r>
          </w:p>
        </w:tc>
        <w:tc>
          <w:tcPr>
            <w:tcW w:type="dxa" w:w="1661"/>
          </w:tcPr>
          <w:p>
            <w:pPr>
              <w:pStyle w:val="null3"/>
            </w:pPr>
            <w:r>
              <w:rPr>
                <w:rFonts w:ascii="仿宋_GB2312" w:hAnsi="仿宋_GB2312" w:cs="仿宋_GB2312" w:eastAsia="仿宋_GB2312"/>
              </w:rPr>
              <w:t>响应文件封面 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一、响应文件的完整性审查。响应文件是否按照磋商文件要求的格式编写； 二、响应文件的有效性审查。响应文件的签署、加盖印章是否有效；提供的各种证明文件、数据、资料是否有效。 三、响应文件的响应性审查。 1、响应报价是否超过采购预算或最高限价； 2、响应报价有效期是否符合磋商文件的要求； 3、符合《政府采购促进中小企业发展暂行办法》（财库〔2020〕46号）条件的小微企业参与，供应商应填写中小企业声明函并对真实性负责。（残疾人福利性单位及监狱企业视同为小型、微型企业）； 4、磋商文件第三章技术参数与性能指标加★项是否完全响应，无负偏离。 5、磋商文件第三章3.3商务要求全部内容是否完全响应，无负偏离。</w:t>
            </w:r>
          </w:p>
        </w:tc>
        <w:tc>
          <w:tcPr>
            <w:tcW w:type="dxa" w:w="1661"/>
          </w:tcPr>
          <w:p>
            <w:pPr>
              <w:pStyle w:val="null3"/>
            </w:pPr>
            <w:r>
              <w:rPr>
                <w:rFonts w:ascii="仿宋_GB2312" w:hAnsi="仿宋_GB2312" w:cs="仿宋_GB2312" w:eastAsia="仿宋_GB2312"/>
              </w:rPr>
              <w:t>响应文件封面 资格证明文件 中小企业声明函 残疾人福利性单位声明函 技术商务部分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服务内容制定科学合理的服务方案，包含但不限于：①每月不少于1次的巡检方案②设备清洁与防腐方案③维护保养方案④定期设备性能测试方案⑤建立标准化配电室相关的制度及操作流程⑥设备检查方案⑦安全保证措施。 1、每一项服务方案、措施针对性强、切实可行，服务计划方案详细合理，完全满足项目需求，得4分； 2、每一项服务方案、措施有一定针对性、较为科学合理，服务计划方案合理，基本满足项目需求，得3分； 3、每一项服务方案、措施针对性一般、有一定可操作性，服务计划方案完整，能满足项目需求，得2分； 4、每一项服务方案、措施针对性较差，服务计划方案保障性较差、内容有缺失，不能满足基本项目需求，得1分； 5、未提供，得0分。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项目经理实力及业绩</w:t>
            </w:r>
          </w:p>
        </w:tc>
        <w:tc>
          <w:tcPr>
            <w:tcW w:type="dxa" w:w="2492"/>
          </w:tcPr>
          <w:p>
            <w:pPr>
              <w:pStyle w:val="null3"/>
            </w:pPr>
            <w:r>
              <w:rPr>
                <w:rFonts w:ascii="仿宋_GB2312" w:hAnsi="仿宋_GB2312" w:cs="仿宋_GB2312" w:eastAsia="仿宋_GB2312"/>
              </w:rPr>
              <w:t>1、项目经理具备机电工程专业二级以上（含二级）注册建造师证书，具有有效的安全生产考核合格证书（建安B证），得2分，其它不得分； 注：①以供应商加盖公章的合法有效的证书复印件或扫描件为准；②一级注册建造师电子证书使用须符合《住房和城乡建设部办公厅关于全面实行一级建造师电子注册证书的通知》的要求。 2、项目经理具有机电工程或电力工程相关专业中级及以上职称，得2分，其它不得分。注：以供应商加盖公章的职称证复印件为准。 3、2022年1月1日起至今具有类似项目业绩，每提供1份得3分，最多得6分。 注：①以中标/成交通知书或合同协议书复印件加盖公章为准。②时间以中标/成交通知书或合同协议书签订时间为准。③建造师以中标/成交通知书或施工合同协议约定的建造师姓名为准。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根据供应商拟投入维保服务人员人数及专业配备方案、项目管理组织架构情况进行评审，需提供详细职员姓名、职务、资格证或专业证书，主要资历、经验情况等。 1、供应商针对本项目的提供详细的人员配备方案，团队组织结构合理，职责分明，人员数量充足，且具有丰富维保经验，提供详细的证明资料，得10分； 2、供应商针对本项目提供完整的人员配备方案，团队组织结构合理，职责分明，人员数量满足项目要求，且具有相关维保经验，提供部分证明资料，得7分； 3、供应商提供人员配备方案，团队组织结构合理，人员数量基本满足项目需求，主要工作人员具有维保经验，提供的证明材料单一，得4分； 4、供应商提供人员配备方案简单，团队人员无维保经验证明，得2分； 5、未提供，得0分。 注：供应商拟派项目团队成员中维保人员必须持有特种作业操作证（电工），须同时配备操作项目为低压电工作业和高压电工作业的维保人员，若未提供本项得0分。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投入维保仪器设备、安全设备</w:t>
            </w:r>
          </w:p>
        </w:tc>
        <w:tc>
          <w:tcPr>
            <w:tcW w:type="dxa" w:w="2492"/>
          </w:tcPr>
          <w:p>
            <w:pPr>
              <w:pStyle w:val="null3"/>
            </w:pPr>
            <w:r>
              <w:rPr>
                <w:rFonts w:ascii="仿宋_GB2312" w:hAnsi="仿宋_GB2312" w:cs="仿宋_GB2312" w:eastAsia="仿宋_GB2312"/>
              </w:rPr>
              <w:t>1、根据供应商所配备的电气设备情况进行评审，应提供维保需要使用专业的仪器，仪器能够覆盖被测项目的各个电压等级，如0.4kV、10kV等，确保对配电室内的设备进行全面的检测和维保。 ①设备配置配备合理、有丰富的专业维保工具，能够保证项目顺利实施，提供设备购入发票或租赁合同等相关证明材料，得6分； ②设备配备基本合理、有专业维保工具，能够保证项目顺利实施，提供部分设备购入发票或租赁合同等相关证明材料，得4分； ③设备配备基本能够保证项目实施，有部分设备购入发票或租赁合同等相关证明材料，得2分； ④未提供，得0分。 2、供应商在维保过程中，提供各种安全设备，如个人防护装备、设备隔离装置、警示标示、告示通知等。需提供安全设备一览表，相关设备购入发票或图片等相关证明材料。 ①安全设备配备齐全合理，得2分； ②未提供，得0分。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1、根据供应商针对本项目发生故障或事故时，提供切实可行的应急保障措施及人员保障方案进行评审。 ①针对各类突发事件制定切实可行的应急预案措施和应急演练方案，方案细致完整、可行、描述条理清晰，内容齐全，有较高的针对性，得6分； ②应急预案措施方案较完整，可基本满足项目要求，得3分； ③应急预案措施方案有明显缺陷，响应时间较长，针对性较差，得1分； ④未提供，得0分。 2、对于业主的服务通知，维保单位可提供24小时抢修响应服务，得2分，需提供承诺函，未提供，得0分。 3、在配电系统发生故障或线路跳闸时，可在接到报修后迅速响应，并在2小时内派员到达现场进行故障处理和维修，得2分，需提供承诺函及相应佐证资料，未提供，得0分。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维护报告及保养记录</w:t>
            </w:r>
          </w:p>
        </w:tc>
        <w:tc>
          <w:tcPr>
            <w:tcW w:type="dxa" w:w="2492"/>
          </w:tcPr>
          <w:p>
            <w:pPr>
              <w:pStyle w:val="null3"/>
            </w:pPr>
            <w:r>
              <w:rPr>
                <w:rFonts w:ascii="仿宋_GB2312" w:hAnsi="仿宋_GB2312" w:cs="仿宋_GB2312" w:eastAsia="仿宋_GB2312"/>
              </w:rPr>
              <w:t>供应商需根据服务内容提供完善的维护保养记录，每次维保工作都应详细记录，包括维保的时间、人员、内容、发现的问题及处理结果等、每月的巡检维保报告及定期提供电气设备运行情况报告。 1、服务报告全面、详细、服务报告形式多样，科学合理、规范，可操作性强，可提供相关案例报告、记录，得9分； 2、服务报告较全面、服务报告形式多样，科学合理、规范，有相关案例报告、记录，得6分； 3、服务报告合理、服务报告形式单一，但报告、记录内容齐全，有相关案例报告、记录，得3分； 4、服务报告简单，报告、记录内容不够齐全，无相关案例报告，得1分； 5、服务报告、记录不合理或未提供，得0分。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供应商自2022年1月1日起至今，具有类似项目业绩，每提供1份得5分，最多得15分。 注：①以中标/成交通知书或合同协议书复印件加盖公章为准。②时间以中标/成交通知书或合同协议书签订时间为准。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技术商务部分</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