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801C8E">
      <w:pPr>
        <w:spacing w:line="400" w:lineRule="exact"/>
        <w:ind w:firstLine="803"/>
        <w:jc w:val="center"/>
        <w:rPr>
          <w:rFonts w:ascii="仿宋" w:hAnsi="仿宋" w:eastAsia="仿宋" w:cs="仿宋_GB2312"/>
          <w:b/>
          <w:sz w:val="32"/>
          <w:szCs w:val="32"/>
        </w:rPr>
      </w:pPr>
      <w:r>
        <w:rPr>
          <w:rFonts w:hint="eastAsia" w:ascii="仿宋" w:hAnsi="仿宋" w:eastAsia="仿宋" w:cs="仿宋_GB2312"/>
          <w:b/>
          <w:sz w:val="32"/>
          <w:szCs w:val="32"/>
        </w:rPr>
        <w:t>服 务 合 同</w:t>
      </w:r>
    </w:p>
    <w:p w14:paraId="2D96EB47">
      <w:pPr>
        <w:keepNext w:val="0"/>
        <w:keepLines w:val="0"/>
        <w:pageBreakBefore w:val="0"/>
        <w:wordWrap/>
        <w:overflowPunct/>
        <w:topLinePunct w:val="0"/>
        <w:bidi w:val="0"/>
        <w:adjustRightInd/>
        <w:spacing w:line="240" w:lineRule="auto"/>
        <w:rPr>
          <w:rFonts w:hint="eastAsia" w:ascii="仿宋" w:hAnsi="仿宋" w:eastAsia="仿宋" w:cs="仿宋"/>
          <w:sz w:val="20"/>
          <w:szCs w:val="20"/>
        </w:rPr>
      </w:pPr>
      <w:r>
        <w:rPr>
          <w:rFonts w:hint="eastAsia" w:ascii="仿宋" w:hAnsi="仿宋" w:eastAsia="仿宋" w:cs="仿宋"/>
          <w:sz w:val="20"/>
          <w:szCs w:val="20"/>
        </w:rPr>
        <w:t>甲方：西安市红会医院</w:t>
      </w:r>
    </w:p>
    <w:p w14:paraId="18BF5364">
      <w:pPr>
        <w:keepNext w:val="0"/>
        <w:keepLines w:val="0"/>
        <w:pageBreakBefore w:val="0"/>
        <w:wordWrap/>
        <w:overflowPunct/>
        <w:topLinePunct w:val="0"/>
        <w:bidi w:val="0"/>
        <w:adjustRightInd/>
        <w:spacing w:line="240" w:lineRule="auto"/>
        <w:rPr>
          <w:rFonts w:hint="eastAsia" w:ascii="仿宋" w:hAnsi="仿宋" w:eastAsia="仿宋" w:cs="仿宋"/>
          <w:sz w:val="20"/>
          <w:szCs w:val="20"/>
        </w:rPr>
      </w:pPr>
      <w:r>
        <w:rPr>
          <w:rFonts w:hint="eastAsia" w:ascii="仿宋" w:hAnsi="仿宋" w:eastAsia="仿宋" w:cs="仿宋"/>
          <w:sz w:val="20"/>
          <w:szCs w:val="20"/>
        </w:rPr>
        <w:t>乙方：</w:t>
      </w:r>
    </w:p>
    <w:p w14:paraId="0BAF410B">
      <w:pPr>
        <w:keepNext w:val="0"/>
        <w:keepLines w:val="0"/>
        <w:pageBreakBefore w:val="0"/>
        <w:wordWrap/>
        <w:overflowPunct/>
        <w:topLinePunct w:val="0"/>
        <w:bidi w:val="0"/>
        <w:adjustRightInd/>
        <w:spacing w:line="240" w:lineRule="auto"/>
        <w:rPr>
          <w:rFonts w:hint="eastAsia" w:ascii="仿宋" w:hAnsi="仿宋" w:eastAsia="仿宋" w:cs="仿宋"/>
          <w:sz w:val="20"/>
          <w:szCs w:val="20"/>
        </w:rPr>
      </w:pPr>
      <w:r>
        <w:rPr>
          <w:rFonts w:hint="eastAsia" w:ascii="仿宋" w:hAnsi="仿宋" w:eastAsia="仿宋" w:cs="仿宋"/>
          <w:sz w:val="20"/>
          <w:szCs w:val="20"/>
        </w:rPr>
        <w:t>鉴证方：</w:t>
      </w:r>
    </w:p>
    <w:p w14:paraId="34FBD767">
      <w:pPr>
        <w:keepNext w:val="0"/>
        <w:keepLines w:val="0"/>
        <w:pageBreakBefore w:val="0"/>
        <w:wordWrap/>
        <w:overflowPunct/>
        <w:topLinePunct w:val="0"/>
        <w:bidi w:val="0"/>
        <w:adjustRightInd/>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甲方所需服务，按照采购程序，确定乙方为成交供应商。依据《中华人民共和国政府采购法》及实施条例、《中华人民共和国民法典》、成交供应商响应文件正本、成交通知书，经甲、乙双方协商，达成如下条款。</w:t>
      </w:r>
    </w:p>
    <w:p w14:paraId="483D70D4">
      <w:pPr>
        <w:pStyle w:val="10"/>
        <w:keepNext w:val="0"/>
        <w:keepLines w:val="0"/>
        <w:pageBreakBefore w:val="0"/>
        <w:widowControl/>
        <w:numPr>
          <w:ilvl w:val="0"/>
          <w:numId w:val="2"/>
        </w:numPr>
        <w:tabs>
          <w:tab w:val="left" w:pos="480"/>
          <w:tab w:val="left" w:pos="1146"/>
        </w:tabs>
        <w:wordWrap/>
        <w:overflowPunct/>
        <w:topLinePunct w:val="0"/>
        <w:bidi w:val="0"/>
        <w:adjustRightInd/>
        <w:spacing w:line="240" w:lineRule="auto"/>
        <w:ind w:firstLineChars="0"/>
        <w:jc w:val="left"/>
        <w:rPr>
          <w:rFonts w:hint="eastAsia" w:ascii="仿宋" w:hAnsi="仿宋" w:eastAsia="仿宋" w:cs="仿宋"/>
          <w:b/>
          <w:sz w:val="20"/>
          <w:szCs w:val="20"/>
        </w:rPr>
      </w:pPr>
      <w:r>
        <w:rPr>
          <w:rFonts w:hint="eastAsia" w:ascii="仿宋" w:hAnsi="仿宋" w:eastAsia="仿宋" w:cs="仿宋"/>
          <w:b/>
          <w:sz w:val="20"/>
          <w:szCs w:val="20"/>
        </w:rPr>
        <w:t>合同标的物内容及数量</w:t>
      </w:r>
    </w:p>
    <w:p w14:paraId="58C26FF3">
      <w:pPr>
        <w:keepNext w:val="0"/>
        <w:keepLines w:val="0"/>
        <w:pageBreakBefore w:val="0"/>
        <w:tabs>
          <w:tab w:val="left" w:pos="480"/>
        </w:tabs>
        <w:wordWrap/>
        <w:overflowPunct/>
        <w:topLinePunct w:val="0"/>
        <w:bidi w:val="0"/>
        <w:adjustRightInd/>
        <w:spacing w:line="240" w:lineRule="auto"/>
        <w:rPr>
          <w:rFonts w:hint="eastAsia" w:ascii="仿宋" w:hAnsi="仿宋" w:eastAsia="仿宋" w:cs="仿宋"/>
          <w:b/>
          <w:sz w:val="20"/>
          <w:szCs w:val="20"/>
        </w:rPr>
      </w:pPr>
      <w:r>
        <w:rPr>
          <w:rFonts w:hint="eastAsia" w:ascii="仿宋" w:hAnsi="仿宋" w:eastAsia="仿宋" w:cs="仿宋"/>
          <w:sz w:val="20"/>
          <w:szCs w:val="20"/>
        </w:rPr>
        <w:t>（一）合同最高执行总价</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940"/>
        <w:gridCol w:w="2526"/>
        <w:gridCol w:w="2670"/>
      </w:tblGrid>
      <w:tr w14:paraId="40214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176" w:type="dxa"/>
            <w:noWrap w:val="0"/>
            <w:vAlign w:val="center"/>
          </w:tcPr>
          <w:p w14:paraId="6CEF2668">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r>
              <w:rPr>
                <w:rFonts w:hint="eastAsia" w:ascii="仿宋" w:hAnsi="仿宋" w:eastAsia="仿宋" w:cs="仿宋"/>
                <w:sz w:val="20"/>
                <w:szCs w:val="20"/>
              </w:rPr>
              <w:t>序号</w:t>
            </w:r>
          </w:p>
        </w:tc>
        <w:tc>
          <w:tcPr>
            <w:tcW w:w="2940" w:type="dxa"/>
            <w:noWrap w:val="0"/>
            <w:vAlign w:val="center"/>
          </w:tcPr>
          <w:p w14:paraId="0BA8865A">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r>
              <w:rPr>
                <w:rFonts w:hint="eastAsia" w:ascii="仿宋" w:hAnsi="仿宋" w:eastAsia="仿宋" w:cs="仿宋"/>
                <w:sz w:val="20"/>
                <w:szCs w:val="20"/>
              </w:rPr>
              <w:t>名称</w:t>
            </w:r>
          </w:p>
        </w:tc>
        <w:tc>
          <w:tcPr>
            <w:tcW w:w="2526" w:type="dxa"/>
            <w:noWrap w:val="0"/>
            <w:vAlign w:val="center"/>
          </w:tcPr>
          <w:p w14:paraId="0E4A2171">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r>
              <w:rPr>
                <w:rFonts w:hint="eastAsia" w:ascii="仿宋" w:hAnsi="仿宋" w:eastAsia="仿宋" w:cs="仿宋"/>
                <w:sz w:val="20"/>
                <w:szCs w:val="20"/>
              </w:rPr>
              <w:t>数量</w:t>
            </w:r>
          </w:p>
        </w:tc>
        <w:tc>
          <w:tcPr>
            <w:tcW w:w="2670" w:type="dxa"/>
            <w:noWrap w:val="0"/>
            <w:vAlign w:val="center"/>
          </w:tcPr>
          <w:p w14:paraId="0B32E2FC">
            <w:pPr>
              <w:keepNext w:val="0"/>
              <w:keepLines w:val="0"/>
              <w:pageBreakBefore w:val="0"/>
              <w:wordWrap/>
              <w:overflowPunct/>
              <w:topLinePunct w:val="0"/>
              <w:bidi w:val="0"/>
              <w:adjustRightInd/>
              <w:spacing w:line="240" w:lineRule="auto"/>
              <w:rPr>
                <w:rFonts w:hint="eastAsia" w:ascii="仿宋" w:hAnsi="仿宋" w:eastAsia="仿宋" w:cs="仿宋"/>
                <w:sz w:val="20"/>
                <w:szCs w:val="20"/>
              </w:rPr>
            </w:pPr>
            <w:r>
              <w:rPr>
                <w:rFonts w:hint="eastAsia" w:ascii="仿宋" w:hAnsi="仿宋" w:eastAsia="仿宋" w:cs="仿宋"/>
                <w:sz w:val="20"/>
                <w:szCs w:val="20"/>
              </w:rPr>
              <w:t>金额合计（小写）</w:t>
            </w:r>
          </w:p>
        </w:tc>
      </w:tr>
      <w:tr w14:paraId="73E59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176" w:type="dxa"/>
            <w:noWrap w:val="0"/>
            <w:vAlign w:val="center"/>
          </w:tcPr>
          <w:p w14:paraId="2262D729">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r>
              <w:rPr>
                <w:rFonts w:hint="eastAsia" w:ascii="仿宋" w:hAnsi="仿宋" w:eastAsia="仿宋" w:cs="仿宋"/>
                <w:sz w:val="20"/>
                <w:szCs w:val="20"/>
              </w:rPr>
              <w:t>1</w:t>
            </w:r>
          </w:p>
        </w:tc>
        <w:tc>
          <w:tcPr>
            <w:tcW w:w="2940" w:type="dxa"/>
            <w:noWrap w:val="0"/>
            <w:vAlign w:val="center"/>
          </w:tcPr>
          <w:p w14:paraId="7CFA63B3">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r>
              <w:rPr>
                <w:rFonts w:hint="eastAsia" w:ascii="仿宋" w:hAnsi="仿宋" w:eastAsia="仿宋" w:cs="仿宋"/>
                <w:b/>
                <w:sz w:val="20"/>
                <w:szCs w:val="20"/>
              </w:rPr>
              <w:t xml:space="preserve"> </w:t>
            </w:r>
          </w:p>
        </w:tc>
        <w:tc>
          <w:tcPr>
            <w:tcW w:w="2526" w:type="dxa"/>
            <w:noWrap w:val="0"/>
            <w:vAlign w:val="center"/>
          </w:tcPr>
          <w:p w14:paraId="76A8805B">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r>
              <w:rPr>
                <w:rFonts w:hint="eastAsia" w:ascii="仿宋" w:hAnsi="仿宋" w:eastAsia="仿宋" w:cs="仿宋"/>
                <w:sz w:val="20"/>
                <w:szCs w:val="20"/>
              </w:rPr>
              <w:t>1项</w:t>
            </w:r>
          </w:p>
        </w:tc>
        <w:tc>
          <w:tcPr>
            <w:tcW w:w="2670" w:type="dxa"/>
            <w:noWrap w:val="0"/>
            <w:vAlign w:val="center"/>
          </w:tcPr>
          <w:p w14:paraId="0B43732E">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r>
              <w:rPr>
                <w:rFonts w:hint="eastAsia" w:ascii="仿宋" w:hAnsi="仿宋" w:eastAsia="仿宋" w:cs="仿宋"/>
                <w:sz w:val="20"/>
                <w:szCs w:val="20"/>
              </w:rPr>
              <w:t xml:space="preserve"> 元</w:t>
            </w:r>
          </w:p>
        </w:tc>
      </w:tr>
      <w:tr w14:paraId="77170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9312" w:type="dxa"/>
            <w:gridSpan w:val="4"/>
            <w:noWrap w:val="0"/>
            <w:vAlign w:val="center"/>
          </w:tcPr>
          <w:p w14:paraId="50FB9B8F">
            <w:pPr>
              <w:keepNext w:val="0"/>
              <w:keepLines w:val="0"/>
              <w:pageBreakBefore w:val="0"/>
              <w:wordWrap/>
              <w:overflowPunct/>
              <w:topLinePunct w:val="0"/>
              <w:bidi w:val="0"/>
              <w:adjustRightInd/>
              <w:spacing w:line="240" w:lineRule="auto"/>
              <w:rPr>
                <w:rFonts w:hint="eastAsia" w:ascii="仿宋" w:hAnsi="仿宋" w:eastAsia="仿宋" w:cs="仿宋"/>
                <w:sz w:val="20"/>
                <w:szCs w:val="20"/>
              </w:rPr>
            </w:pPr>
            <w:r>
              <w:rPr>
                <w:rFonts w:hint="eastAsia" w:ascii="仿宋" w:hAnsi="仿宋" w:eastAsia="仿宋" w:cs="仿宋"/>
                <w:sz w:val="20"/>
                <w:szCs w:val="20"/>
              </w:rPr>
              <w:t>合同最高执行总价人民币：（小写）         元整      （大写）</w:t>
            </w:r>
          </w:p>
        </w:tc>
      </w:tr>
    </w:tbl>
    <w:p w14:paraId="2B50E88C">
      <w:pPr>
        <w:keepNext w:val="0"/>
        <w:keepLines w:val="0"/>
        <w:pageBreakBefore w:val="0"/>
        <w:tabs>
          <w:tab w:val="left" w:pos="1155"/>
        </w:tabs>
        <w:wordWrap/>
        <w:overflowPunct/>
        <w:topLinePunct w:val="0"/>
        <w:bidi w:val="0"/>
        <w:adjustRightInd/>
        <w:spacing w:line="240" w:lineRule="auto"/>
        <w:rPr>
          <w:rFonts w:hint="eastAsia" w:ascii="仿宋" w:hAnsi="仿宋" w:eastAsia="仿宋" w:cs="仿宋"/>
          <w:sz w:val="20"/>
          <w:szCs w:val="20"/>
        </w:rPr>
      </w:pPr>
      <w:r>
        <w:rPr>
          <w:rFonts w:hint="eastAsia" w:ascii="仿宋" w:hAnsi="仿宋" w:eastAsia="仿宋" w:cs="仿宋"/>
          <w:sz w:val="20"/>
          <w:szCs w:val="20"/>
        </w:rPr>
        <w:t>（二）分项价格</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582"/>
        <w:gridCol w:w="2780"/>
        <w:gridCol w:w="1120"/>
        <w:gridCol w:w="972"/>
        <w:gridCol w:w="1080"/>
        <w:gridCol w:w="1080"/>
      </w:tblGrid>
      <w:tr w14:paraId="45302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14:paraId="0B3BA2D6">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r>
              <w:rPr>
                <w:rFonts w:hint="eastAsia" w:ascii="仿宋" w:hAnsi="仿宋" w:eastAsia="仿宋" w:cs="仿宋"/>
                <w:sz w:val="20"/>
                <w:szCs w:val="20"/>
              </w:rPr>
              <w:t>序号</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7960D308">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r>
              <w:rPr>
                <w:rFonts w:hint="eastAsia" w:ascii="仿宋" w:hAnsi="仿宋" w:eastAsia="仿宋" w:cs="仿宋"/>
                <w:sz w:val="20"/>
                <w:szCs w:val="20"/>
              </w:rPr>
              <w:t>服务内容</w:t>
            </w:r>
          </w:p>
        </w:tc>
        <w:tc>
          <w:tcPr>
            <w:tcW w:w="2780" w:type="dxa"/>
            <w:tcBorders>
              <w:top w:val="single" w:color="auto" w:sz="4" w:space="0"/>
              <w:left w:val="single" w:color="auto" w:sz="4" w:space="0"/>
              <w:bottom w:val="single" w:color="auto" w:sz="4" w:space="0"/>
              <w:right w:val="single" w:color="auto" w:sz="4" w:space="0"/>
            </w:tcBorders>
            <w:noWrap w:val="0"/>
            <w:vAlign w:val="center"/>
          </w:tcPr>
          <w:p w14:paraId="66488C24">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r>
              <w:rPr>
                <w:rFonts w:hint="eastAsia" w:ascii="仿宋" w:hAnsi="仿宋" w:eastAsia="仿宋" w:cs="仿宋"/>
                <w:sz w:val="20"/>
                <w:szCs w:val="20"/>
              </w:rPr>
              <w:t>服务范围</w:t>
            </w:r>
          </w:p>
        </w:tc>
        <w:tc>
          <w:tcPr>
            <w:tcW w:w="1120" w:type="dxa"/>
            <w:tcBorders>
              <w:top w:val="single" w:color="auto" w:sz="4" w:space="0"/>
              <w:left w:val="single" w:color="auto" w:sz="4" w:space="0"/>
              <w:bottom w:val="single" w:color="auto" w:sz="4" w:space="0"/>
              <w:right w:val="single" w:color="auto" w:sz="4" w:space="0"/>
            </w:tcBorders>
            <w:noWrap w:val="0"/>
            <w:vAlign w:val="center"/>
          </w:tcPr>
          <w:p w14:paraId="636B53DC">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r>
              <w:rPr>
                <w:rFonts w:hint="eastAsia" w:ascii="仿宋" w:hAnsi="仿宋" w:eastAsia="仿宋" w:cs="仿宋"/>
                <w:sz w:val="20"/>
                <w:szCs w:val="20"/>
              </w:rPr>
              <w:t>服务</w:t>
            </w:r>
          </w:p>
          <w:p w14:paraId="6AA14DC8">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r>
              <w:rPr>
                <w:rFonts w:hint="eastAsia" w:ascii="仿宋" w:hAnsi="仿宋" w:eastAsia="仿宋" w:cs="仿宋"/>
                <w:sz w:val="20"/>
                <w:szCs w:val="20"/>
              </w:rPr>
              <w:t>次数</w:t>
            </w:r>
          </w:p>
        </w:tc>
        <w:tc>
          <w:tcPr>
            <w:tcW w:w="972" w:type="dxa"/>
            <w:tcBorders>
              <w:top w:val="single" w:color="auto" w:sz="4" w:space="0"/>
              <w:left w:val="single" w:color="auto" w:sz="4" w:space="0"/>
              <w:bottom w:val="single" w:color="auto" w:sz="4" w:space="0"/>
              <w:right w:val="single" w:color="auto" w:sz="4" w:space="0"/>
            </w:tcBorders>
            <w:noWrap w:val="0"/>
            <w:vAlign w:val="center"/>
          </w:tcPr>
          <w:p w14:paraId="724D3051">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r>
              <w:rPr>
                <w:rFonts w:hint="eastAsia" w:ascii="仿宋" w:hAnsi="仿宋" w:eastAsia="仿宋" w:cs="仿宋"/>
                <w:sz w:val="20"/>
                <w:szCs w:val="20"/>
              </w:rPr>
              <w:t>服务</w:t>
            </w:r>
          </w:p>
          <w:p w14:paraId="3C4DDBD4">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r>
              <w:rPr>
                <w:rFonts w:hint="eastAsia" w:ascii="仿宋" w:hAnsi="仿宋" w:eastAsia="仿宋" w:cs="仿宋"/>
                <w:sz w:val="20"/>
                <w:szCs w:val="20"/>
              </w:rPr>
              <w:t>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C54883E">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r>
              <w:rPr>
                <w:rFonts w:hint="eastAsia" w:ascii="仿宋" w:hAnsi="仿宋" w:eastAsia="仿宋" w:cs="仿宋"/>
                <w:sz w:val="20"/>
                <w:szCs w:val="20"/>
              </w:rPr>
              <w:t>单价</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EE909F2">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r>
              <w:rPr>
                <w:rFonts w:hint="eastAsia" w:ascii="仿宋" w:hAnsi="仿宋" w:eastAsia="仿宋" w:cs="仿宋"/>
                <w:sz w:val="20"/>
                <w:szCs w:val="20"/>
              </w:rPr>
              <w:t>合计</w:t>
            </w:r>
          </w:p>
        </w:tc>
      </w:tr>
      <w:tr w14:paraId="5AF4D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14:paraId="42991A30">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14:paraId="15793B6C">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2780" w:type="dxa"/>
            <w:tcBorders>
              <w:top w:val="single" w:color="auto" w:sz="4" w:space="0"/>
              <w:left w:val="single" w:color="auto" w:sz="4" w:space="0"/>
              <w:bottom w:val="single" w:color="auto" w:sz="4" w:space="0"/>
              <w:right w:val="single" w:color="auto" w:sz="4" w:space="0"/>
            </w:tcBorders>
            <w:noWrap w:val="0"/>
            <w:vAlign w:val="center"/>
          </w:tcPr>
          <w:p w14:paraId="72DF64DB">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14:paraId="0F0A1F12">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972" w:type="dxa"/>
            <w:tcBorders>
              <w:top w:val="single" w:color="auto" w:sz="4" w:space="0"/>
              <w:left w:val="single" w:color="auto" w:sz="4" w:space="0"/>
              <w:bottom w:val="single" w:color="auto" w:sz="4" w:space="0"/>
              <w:right w:val="single" w:color="auto" w:sz="4" w:space="0"/>
            </w:tcBorders>
            <w:noWrap w:val="0"/>
            <w:vAlign w:val="center"/>
          </w:tcPr>
          <w:p w14:paraId="1C7E3332">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1B51877">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C4037C0">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r>
      <w:tr w14:paraId="689EB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14:paraId="7662AC4B">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14:paraId="25229CEF">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2780" w:type="dxa"/>
            <w:tcBorders>
              <w:top w:val="single" w:color="auto" w:sz="4" w:space="0"/>
              <w:left w:val="single" w:color="auto" w:sz="4" w:space="0"/>
              <w:bottom w:val="single" w:color="auto" w:sz="4" w:space="0"/>
              <w:right w:val="single" w:color="auto" w:sz="4" w:space="0"/>
            </w:tcBorders>
            <w:noWrap w:val="0"/>
            <w:vAlign w:val="center"/>
          </w:tcPr>
          <w:p w14:paraId="62FD64F1">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14:paraId="62C8DB45">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972" w:type="dxa"/>
            <w:tcBorders>
              <w:top w:val="single" w:color="auto" w:sz="4" w:space="0"/>
              <w:left w:val="single" w:color="auto" w:sz="4" w:space="0"/>
              <w:bottom w:val="single" w:color="auto" w:sz="4" w:space="0"/>
              <w:right w:val="single" w:color="auto" w:sz="4" w:space="0"/>
            </w:tcBorders>
            <w:noWrap w:val="0"/>
            <w:vAlign w:val="center"/>
          </w:tcPr>
          <w:p w14:paraId="40F1C912">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BA5226D">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AC28EAC">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r>
      <w:tr w14:paraId="29875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14:paraId="5E4477DF">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14:paraId="6929B11A">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2780" w:type="dxa"/>
            <w:tcBorders>
              <w:top w:val="single" w:color="auto" w:sz="4" w:space="0"/>
              <w:left w:val="single" w:color="auto" w:sz="4" w:space="0"/>
              <w:bottom w:val="single" w:color="auto" w:sz="4" w:space="0"/>
              <w:right w:val="single" w:color="auto" w:sz="4" w:space="0"/>
            </w:tcBorders>
            <w:noWrap w:val="0"/>
            <w:vAlign w:val="center"/>
          </w:tcPr>
          <w:p w14:paraId="7A04F55D">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14:paraId="3D48FA9F">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972" w:type="dxa"/>
            <w:tcBorders>
              <w:top w:val="single" w:color="auto" w:sz="4" w:space="0"/>
              <w:left w:val="single" w:color="auto" w:sz="4" w:space="0"/>
              <w:bottom w:val="single" w:color="auto" w:sz="4" w:space="0"/>
              <w:right w:val="single" w:color="auto" w:sz="4" w:space="0"/>
            </w:tcBorders>
            <w:noWrap w:val="0"/>
            <w:vAlign w:val="center"/>
          </w:tcPr>
          <w:p w14:paraId="75F77F1B">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9C18EAF">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045134B">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r>
      <w:tr w14:paraId="30608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14:paraId="693E1A8C">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14:paraId="4A3CE464">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2780" w:type="dxa"/>
            <w:tcBorders>
              <w:top w:val="single" w:color="auto" w:sz="4" w:space="0"/>
              <w:left w:val="single" w:color="auto" w:sz="4" w:space="0"/>
              <w:bottom w:val="single" w:color="auto" w:sz="4" w:space="0"/>
              <w:right w:val="single" w:color="auto" w:sz="4" w:space="0"/>
            </w:tcBorders>
            <w:noWrap w:val="0"/>
            <w:vAlign w:val="center"/>
          </w:tcPr>
          <w:p w14:paraId="67E29DD8">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14:paraId="088C0C1F">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972" w:type="dxa"/>
            <w:tcBorders>
              <w:top w:val="single" w:color="auto" w:sz="4" w:space="0"/>
              <w:left w:val="single" w:color="auto" w:sz="4" w:space="0"/>
              <w:bottom w:val="single" w:color="auto" w:sz="4" w:space="0"/>
              <w:right w:val="single" w:color="auto" w:sz="4" w:space="0"/>
            </w:tcBorders>
            <w:noWrap w:val="0"/>
            <w:vAlign w:val="center"/>
          </w:tcPr>
          <w:p w14:paraId="3EA3233F">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A0D7F18">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5CE3353">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r>
      <w:tr w14:paraId="4D9A1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14:paraId="51CB04F2">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14:paraId="22EC0E42">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2780" w:type="dxa"/>
            <w:tcBorders>
              <w:top w:val="single" w:color="auto" w:sz="4" w:space="0"/>
              <w:left w:val="single" w:color="auto" w:sz="4" w:space="0"/>
              <w:bottom w:val="single" w:color="auto" w:sz="4" w:space="0"/>
              <w:right w:val="single" w:color="auto" w:sz="4" w:space="0"/>
            </w:tcBorders>
            <w:noWrap w:val="0"/>
            <w:vAlign w:val="center"/>
          </w:tcPr>
          <w:p w14:paraId="6971A62E">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14:paraId="66A60FC5">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972" w:type="dxa"/>
            <w:tcBorders>
              <w:top w:val="single" w:color="auto" w:sz="4" w:space="0"/>
              <w:left w:val="single" w:color="auto" w:sz="4" w:space="0"/>
              <w:bottom w:val="single" w:color="auto" w:sz="4" w:space="0"/>
              <w:right w:val="single" w:color="auto" w:sz="4" w:space="0"/>
            </w:tcBorders>
            <w:noWrap w:val="0"/>
            <w:vAlign w:val="center"/>
          </w:tcPr>
          <w:p w14:paraId="3F28B05C">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26DA668">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48A430E">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r>
      <w:tr w14:paraId="46453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14:paraId="7F90BE33">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14:paraId="27380B7B">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r>
              <w:rPr>
                <w:rFonts w:hint="eastAsia" w:ascii="仿宋" w:hAnsi="仿宋" w:eastAsia="仿宋" w:cs="仿宋"/>
                <w:sz w:val="20"/>
                <w:szCs w:val="20"/>
              </w:rPr>
              <w:t>总合计</w:t>
            </w:r>
          </w:p>
        </w:tc>
        <w:tc>
          <w:tcPr>
            <w:tcW w:w="2780" w:type="dxa"/>
            <w:tcBorders>
              <w:top w:val="single" w:color="auto" w:sz="4" w:space="0"/>
              <w:left w:val="single" w:color="auto" w:sz="4" w:space="0"/>
              <w:bottom w:val="single" w:color="auto" w:sz="4" w:space="0"/>
              <w:right w:val="single" w:color="auto" w:sz="4" w:space="0"/>
            </w:tcBorders>
            <w:noWrap w:val="0"/>
            <w:vAlign w:val="center"/>
          </w:tcPr>
          <w:p w14:paraId="6CC8A6FA">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14:paraId="67705B5C">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972" w:type="dxa"/>
            <w:tcBorders>
              <w:top w:val="single" w:color="auto" w:sz="4" w:space="0"/>
              <w:left w:val="single" w:color="auto" w:sz="4" w:space="0"/>
              <w:bottom w:val="single" w:color="auto" w:sz="4" w:space="0"/>
              <w:right w:val="single" w:color="auto" w:sz="4" w:space="0"/>
            </w:tcBorders>
            <w:noWrap w:val="0"/>
            <w:vAlign w:val="center"/>
          </w:tcPr>
          <w:p w14:paraId="7850F7A4">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EA77E9B">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8BAE425">
            <w:pPr>
              <w:keepNext w:val="0"/>
              <w:keepLines w:val="0"/>
              <w:pageBreakBefore w:val="0"/>
              <w:wordWrap/>
              <w:overflowPunct/>
              <w:topLinePunct w:val="0"/>
              <w:bidi w:val="0"/>
              <w:adjustRightInd/>
              <w:spacing w:line="240" w:lineRule="auto"/>
              <w:jc w:val="center"/>
              <w:rPr>
                <w:rFonts w:hint="eastAsia" w:ascii="仿宋" w:hAnsi="仿宋" w:eastAsia="仿宋" w:cs="仿宋"/>
                <w:sz w:val="20"/>
                <w:szCs w:val="20"/>
              </w:rPr>
            </w:pPr>
          </w:p>
        </w:tc>
      </w:tr>
    </w:tbl>
    <w:p w14:paraId="554E8D4B">
      <w:pPr>
        <w:keepNext w:val="0"/>
        <w:keepLines w:val="0"/>
        <w:pageBreakBefore w:val="0"/>
        <w:tabs>
          <w:tab w:val="left" w:pos="1155"/>
        </w:tabs>
        <w:wordWrap/>
        <w:overflowPunct/>
        <w:topLinePunct w:val="0"/>
        <w:bidi w:val="0"/>
        <w:adjustRightInd/>
        <w:spacing w:line="240" w:lineRule="auto"/>
        <w:rPr>
          <w:rFonts w:hint="eastAsia" w:ascii="仿宋" w:hAnsi="仿宋" w:eastAsia="仿宋" w:cs="仿宋"/>
          <w:b/>
          <w:sz w:val="20"/>
          <w:szCs w:val="20"/>
        </w:rPr>
      </w:pPr>
      <w:r>
        <w:rPr>
          <w:rFonts w:hint="eastAsia" w:ascii="仿宋" w:hAnsi="仿宋" w:eastAsia="仿宋" w:cs="仿宋"/>
          <w:b/>
          <w:sz w:val="20"/>
          <w:szCs w:val="20"/>
        </w:rPr>
        <w:t>二、服务期</w:t>
      </w:r>
    </w:p>
    <w:p w14:paraId="4BE973D4">
      <w:pPr>
        <w:keepNext w:val="0"/>
        <w:keepLines w:val="0"/>
        <w:pageBreakBefore w:val="0"/>
        <w:wordWrap/>
        <w:overflowPunct/>
        <w:topLinePunct w:val="0"/>
        <w:bidi w:val="0"/>
        <w:adjustRightInd/>
        <w:spacing w:line="240" w:lineRule="auto"/>
        <w:ind w:firstLine="400" w:firstLineChars="200"/>
        <w:rPr>
          <w:rFonts w:hint="eastAsia" w:ascii="仿宋" w:hAnsi="仿宋" w:eastAsia="仿宋" w:cs="仿宋"/>
          <w:bCs/>
          <w:sz w:val="20"/>
          <w:szCs w:val="20"/>
        </w:rPr>
      </w:pPr>
      <w:r>
        <w:rPr>
          <w:rFonts w:hint="eastAsia" w:ascii="仿宋" w:hAnsi="仿宋" w:eastAsia="仿宋" w:cs="仿宋"/>
          <w:bCs/>
          <w:sz w:val="20"/>
          <w:szCs w:val="20"/>
          <w:lang w:val="en-US" w:eastAsia="zh-CN"/>
        </w:rPr>
        <w:t>飞利浦 UNIQ FD20 Flexmove 数字减影血管造影机自合</w:t>
      </w:r>
      <w:r>
        <w:rPr>
          <w:rFonts w:hint="eastAsia" w:ascii="仿宋" w:hAnsi="仿宋" w:eastAsia="仿宋" w:cs="仿宋"/>
          <w:bCs/>
          <w:sz w:val="20"/>
          <w:szCs w:val="20"/>
          <w:highlight w:val="none"/>
          <w:lang w:val="en-US" w:eastAsia="zh-CN"/>
        </w:rPr>
        <w:t>同签订之日起三年，飞利浦 UNIQ FD20数字减影血管造影机自合同签订之日起一年。</w:t>
      </w:r>
    </w:p>
    <w:p w14:paraId="53499B65">
      <w:pPr>
        <w:keepNext w:val="0"/>
        <w:keepLines w:val="0"/>
        <w:pageBreakBefore w:val="0"/>
        <w:tabs>
          <w:tab w:val="left" w:pos="5971"/>
        </w:tabs>
        <w:kinsoku w:val="0"/>
        <w:wordWrap/>
        <w:overflowPunct/>
        <w:topLinePunct w:val="0"/>
        <w:bidi w:val="0"/>
        <w:adjustRightInd/>
        <w:spacing w:line="240" w:lineRule="auto"/>
        <w:rPr>
          <w:rFonts w:hint="eastAsia" w:ascii="仿宋" w:hAnsi="仿宋" w:eastAsia="仿宋" w:cs="仿宋"/>
          <w:b/>
          <w:sz w:val="20"/>
          <w:szCs w:val="20"/>
        </w:rPr>
      </w:pPr>
      <w:r>
        <w:rPr>
          <w:rFonts w:hint="eastAsia" w:ascii="仿宋" w:hAnsi="仿宋" w:eastAsia="仿宋" w:cs="仿宋"/>
          <w:b/>
          <w:sz w:val="20"/>
          <w:szCs w:val="20"/>
        </w:rPr>
        <w:t>三、服务地点</w:t>
      </w:r>
    </w:p>
    <w:p w14:paraId="15F38BAA">
      <w:pPr>
        <w:keepNext w:val="0"/>
        <w:keepLines w:val="0"/>
        <w:pageBreakBefore w:val="0"/>
        <w:tabs>
          <w:tab w:val="left" w:pos="5971"/>
        </w:tabs>
        <w:kinsoku w:val="0"/>
        <w:wordWrap/>
        <w:overflowPunct/>
        <w:topLinePunct w:val="0"/>
        <w:bidi w:val="0"/>
        <w:adjustRightInd/>
        <w:spacing w:line="240" w:lineRule="auto"/>
        <w:ind w:firstLine="602"/>
        <w:rPr>
          <w:rFonts w:hint="eastAsia" w:ascii="仿宋" w:hAnsi="仿宋" w:eastAsia="仿宋" w:cs="仿宋"/>
          <w:sz w:val="20"/>
          <w:szCs w:val="20"/>
        </w:rPr>
      </w:pPr>
      <w:r>
        <w:rPr>
          <w:rFonts w:hint="eastAsia" w:ascii="仿宋" w:hAnsi="仿宋" w:eastAsia="仿宋" w:cs="仿宋"/>
          <w:sz w:val="20"/>
          <w:szCs w:val="20"/>
        </w:rPr>
        <w:t>服务地点：甲方指定地点。</w:t>
      </w:r>
    </w:p>
    <w:p w14:paraId="11CE1DC4">
      <w:pPr>
        <w:keepNext w:val="0"/>
        <w:keepLines w:val="0"/>
        <w:pageBreakBefore w:val="0"/>
        <w:tabs>
          <w:tab w:val="left" w:pos="480"/>
        </w:tabs>
        <w:wordWrap/>
        <w:overflowPunct/>
        <w:topLinePunct w:val="0"/>
        <w:bidi w:val="0"/>
        <w:adjustRightInd/>
        <w:spacing w:line="240" w:lineRule="auto"/>
        <w:rPr>
          <w:rFonts w:hint="eastAsia" w:ascii="仿宋" w:hAnsi="仿宋" w:eastAsia="仿宋" w:cs="仿宋"/>
          <w:b/>
          <w:sz w:val="20"/>
          <w:szCs w:val="20"/>
        </w:rPr>
      </w:pPr>
      <w:r>
        <w:rPr>
          <w:rFonts w:hint="eastAsia" w:ascii="仿宋" w:hAnsi="仿宋" w:eastAsia="仿宋" w:cs="仿宋"/>
          <w:b/>
          <w:sz w:val="20"/>
          <w:szCs w:val="20"/>
        </w:rPr>
        <w:t>四、合同价款</w:t>
      </w:r>
    </w:p>
    <w:p w14:paraId="1237E688">
      <w:pPr>
        <w:keepNext w:val="0"/>
        <w:keepLines w:val="0"/>
        <w:pageBreakBefore w:val="0"/>
        <w:wordWrap/>
        <w:overflowPunct/>
        <w:topLinePunct w:val="0"/>
        <w:bidi w:val="0"/>
        <w:adjustRightInd/>
        <w:spacing w:line="240" w:lineRule="auto"/>
        <w:ind w:firstLine="400" w:firstLineChars="200"/>
        <w:rPr>
          <w:rFonts w:hint="eastAsia" w:ascii="仿宋" w:hAnsi="仿宋" w:eastAsia="仿宋" w:cs="仿宋"/>
          <w:bCs/>
          <w:sz w:val="20"/>
          <w:szCs w:val="20"/>
        </w:rPr>
      </w:pPr>
      <w:r>
        <w:rPr>
          <w:rFonts w:hint="eastAsia" w:ascii="仿宋" w:hAnsi="仿宋" w:eastAsia="仿宋" w:cs="仿宋"/>
          <w:bCs/>
          <w:sz w:val="20"/>
          <w:szCs w:val="20"/>
        </w:rPr>
        <w:t>（一）合同最高</w:t>
      </w:r>
      <w:r>
        <w:rPr>
          <w:rFonts w:hint="eastAsia" w:ascii="仿宋" w:hAnsi="仿宋" w:eastAsia="仿宋" w:cs="仿宋"/>
          <w:sz w:val="20"/>
          <w:szCs w:val="20"/>
        </w:rPr>
        <w:t>执行总价</w:t>
      </w:r>
      <w:r>
        <w:rPr>
          <w:rFonts w:hint="eastAsia" w:ascii="仿宋" w:hAnsi="仿宋" w:eastAsia="仿宋" w:cs="仿宋"/>
          <w:bCs/>
          <w:sz w:val="20"/>
          <w:szCs w:val="20"/>
        </w:rPr>
        <w:t>人民币：</w:t>
      </w:r>
      <w:r>
        <w:rPr>
          <w:rFonts w:hint="eastAsia" w:ascii="仿宋" w:hAnsi="仿宋" w:eastAsia="仿宋" w:cs="仿宋"/>
          <w:sz w:val="20"/>
          <w:szCs w:val="20"/>
        </w:rPr>
        <w:t>（小写）</w:t>
      </w:r>
      <w:r>
        <w:rPr>
          <w:rFonts w:hint="eastAsia" w:ascii="仿宋" w:hAnsi="仿宋" w:eastAsia="仿宋" w:cs="仿宋"/>
          <w:sz w:val="20"/>
          <w:szCs w:val="20"/>
          <w:u w:val="single"/>
        </w:rPr>
        <w:t xml:space="preserve">     </w:t>
      </w:r>
      <w:r>
        <w:rPr>
          <w:rFonts w:hint="eastAsia" w:ascii="仿宋" w:hAnsi="仿宋" w:eastAsia="仿宋" w:cs="仿宋"/>
          <w:sz w:val="20"/>
          <w:szCs w:val="20"/>
        </w:rPr>
        <w:t>（大写）</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127A04A8">
      <w:pPr>
        <w:keepNext w:val="0"/>
        <w:keepLines w:val="0"/>
        <w:pageBreakBefore w:val="0"/>
        <w:tabs>
          <w:tab w:val="left" w:pos="480"/>
        </w:tabs>
        <w:wordWrap/>
        <w:overflowPunct/>
        <w:topLinePunct w:val="0"/>
        <w:bidi w:val="0"/>
        <w:adjustRightInd/>
        <w:spacing w:line="240" w:lineRule="auto"/>
        <w:ind w:firstLine="400" w:firstLineChars="200"/>
        <w:rPr>
          <w:rFonts w:hint="eastAsia" w:ascii="仿宋" w:hAnsi="仿宋" w:eastAsia="仿宋" w:cs="仿宋"/>
          <w:bCs/>
          <w:sz w:val="20"/>
          <w:szCs w:val="20"/>
        </w:rPr>
      </w:pPr>
      <w:r>
        <w:rPr>
          <w:rFonts w:hint="eastAsia" w:ascii="仿宋" w:hAnsi="仿宋" w:eastAsia="仿宋" w:cs="仿宋"/>
          <w:bCs/>
          <w:sz w:val="20"/>
          <w:szCs w:val="20"/>
        </w:rPr>
        <w:t>（二）合同单价包括：服务响应报价为提供磋商文件要求服务的</w:t>
      </w:r>
      <w:r>
        <w:rPr>
          <w:rFonts w:hint="eastAsia" w:ascii="仿宋" w:hAnsi="仿宋" w:eastAsia="仿宋" w:cs="仿宋"/>
          <w:bCs/>
          <w:sz w:val="20"/>
          <w:szCs w:val="20"/>
          <w:lang w:eastAsia="zh-CN"/>
        </w:rPr>
        <w:t>全部</w:t>
      </w:r>
      <w:r>
        <w:rPr>
          <w:rFonts w:hint="eastAsia" w:ascii="仿宋" w:hAnsi="仿宋" w:eastAsia="仿宋" w:cs="仿宋"/>
          <w:bCs/>
          <w:sz w:val="20"/>
          <w:szCs w:val="20"/>
        </w:rPr>
        <w:t>费用，包括但不限于进行人员工资、备品备件等其他</w:t>
      </w:r>
      <w:r>
        <w:rPr>
          <w:rFonts w:hint="eastAsia" w:ascii="仿宋" w:hAnsi="仿宋" w:eastAsia="仿宋" w:cs="仿宋"/>
          <w:bCs/>
          <w:sz w:val="20"/>
          <w:szCs w:val="20"/>
          <w:lang w:val="en-US" w:eastAsia="zh-CN"/>
        </w:rPr>
        <w:t>全部</w:t>
      </w:r>
      <w:r>
        <w:rPr>
          <w:rFonts w:hint="eastAsia" w:ascii="仿宋" w:hAnsi="仿宋" w:eastAsia="仿宋" w:cs="仿宋"/>
          <w:bCs/>
          <w:sz w:val="20"/>
          <w:szCs w:val="20"/>
        </w:rPr>
        <w:t>费用。</w:t>
      </w:r>
    </w:p>
    <w:p w14:paraId="374E703F">
      <w:pPr>
        <w:keepNext w:val="0"/>
        <w:keepLines w:val="0"/>
        <w:pageBreakBefore w:val="0"/>
        <w:tabs>
          <w:tab w:val="left" w:pos="480"/>
        </w:tabs>
        <w:wordWrap/>
        <w:overflowPunct/>
        <w:topLinePunct w:val="0"/>
        <w:bidi w:val="0"/>
        <w:adjustRightInd/>
        <w:spacing w:line="240" w:lineRule="auto"/>
        <w:ind w:firstLine="400" w:firstLineChars="200"/>
        <w:rPr>
          <w:rFonts w:hint="eastAsia" w:ascii="仿宋" w:hAnsi="仿宋" w:eastAsia="仿宋" w:cs="仿宋"/>
          <w:bCs/>
          <w:sz w:val="20"/>
          <w:szCs w:val="20"/>
        </w:rPr>
      </w:pPr>
      <w:r>
        <w:rPr>
          <w:rFonts w:hint="eastAsia" w:ascii="仿宋" w:hAnsi="仿宋" w:eastAsia="仿宋" w:cs="仿宋"/>
          <w:bCs/>
          <w:sz w:val="20"/>
          <w:szCs w:val="20"/>
        </w:rPr>
        <w:t>（三）合同金额一次性包死，不受市场价格变化等因素的影响。</w:t>
      </w:r>
    </w:p>
    <w:p w14:paraId="32708AD5">
      <w:pPr>
        <w:keepNext w:val="0"/>
        <w:keepLines w:val="0"/>
        <w:pageBreakBefore w:val="0"/>
        <w:wordWrap/>
        <w:overflowPunct/>
        <w:topLinePunct w:val="0"/>
        <w:bidi w:val="0"/>
        <w:adjustRightInd/>
        <w:spacing w:line="240" w:lineRule="auto"/>
        <w:rPr>
          <w:rFonts w:hint="eastAsia" w:ascii="仿宋" w:hAnsi="仿宋" w:eastAsia="仿宋" w:cs="仿宋"/>
          <w:b/>
          <w:sz w:val="20"/>
          <w:szCs w:val="20"/>
        </w:rPr>
      </w:pPr>
      <w:r>
        <w:rPr>
          <w:rFonts w:hint="eastAsia" w:ascii="仿宋" w:hAnsi="仿宋" w:eastAsia="仿宋" w:cs="仿宋"/>
          <w:b/>
          <w:sz w:val="20"/>
          <w:szCs w:val="20"/>
        </w:rPr>
        <w:t>五、款项结算：</w:t>
      </w:r>
    </w:p>
    <w:p w14:paraId="2198B47C">
      <w:pPr>
        <w:keepNext w:val="0"/>
        <w:keepLines w:val="0"/>
        <w:pageBreakBefore w:val="0"/>
        <w:wordWrap/>
        <w:overflowPunct/>
        <w:topLinePunct w:val="0"/>
        <w:bidi w:val="0"/>
        <w:adjustRightInd/>
        <w:spacing w:line="240" w:lineRule="auto"/>
        <w:ind w:firstLine="400" w:firstLineChars="200"/>
        <w:rPr>
          <w:rFonts w:hint="eastAsia" w:ascii="仿宋" w:hAnsi="仿宋" w:eastAsia="仿宋" w:cs="仿宋"/>
          <w:bCs/>
          <w:kern w:val="36"/>
          <w:sz w:val="20"/>
          <w:szCs w:val="20"/>
        </w:rPr>
      </w:pPr>
      <w:r>
        <w:rPr>
          <w:rFonts w:hint="eastAsia" w:ascii="仿宋" w:hAnsi="仿宋" w:eastAsia="仿宋" w:cs="仿宋"/>
          <w:bCs/>
          <w:kern w:val="36"/>
          <w:sz w:val="20"/>
          <w:szCs w:val="20"/>
        </w:rPr>
        <w:t>（一）付款方式：</w:t>
      </w:r>
    </w:p>
    <w:p w14:paraId="02DDD85A">
      <w:pPr>
        <w:keepNext w:val="0"/>
        <w:keepLines w:val="0"/>
        <w:pageBreakBefore w:val="0"/>
        <w:wordWrap/>
        <w:overflowPunct/>
        <w:topLinePunct w:val="0"/>
        <w:bidi w:val="0"/>
        <w:adjustRightInd/>
        <w:spacing w:line="240" w:lineRule="auto"/>
        <w:ind w:firstLine="200" w:firstLineChars="100"/>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1.1履约保证金的收取与退还：</w:t>
      </w:r>
    </w:p>
    <w:p w14:paraId="27B7CDA3">
      <w:pPr>
        <w:keepNext w:val="0"/>
        <w:keepLines w:val="0"/>
        <w:pageBreakBefore w:val="0"/>
        <w:wordWrap/>
        <w:overflowPunct/>
        <w:topLinePunct w:val="0"/>
        <w:bidi w:val="0"/>
        <w:adjustRightInd/>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（1）乙方应当在中标通知书领取后五个工作日内将项目履约保证金（包预算总金额的 5%）转账至甲方基本户,未按照磋商文件要求按时足额缴纳履约保证金的，甲方将取消乙方中标资格，且无需承担任何责任，甲方可重新组织招标活动。服务期满无质量问题后，无息退还履约保证金。</w:t>
      </w:r>
    </w:p>
    <w:p w14:paraId="56D9A002">
      <w:pPr>
        <w:keepNext w:val="0"/>
        <w:keepLines w:val="0"/>
        <w:pageBreakBefore w:val="0"/>
        <w:wordWrap/>
        <w:overflowPunct/>
        <w:topLinePunct w:val="0"/>
        <w:bidi w:val="0"/>
        <w:adjustRightInd/>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（2）招标方基本户：</w:t>
      </w:r>
    </w:p>
    <w:p w14:paraId="46A4B3DA">
      <w:pPr>
        <w:keepNext w:val="0"/>
        <w:keepLines w:val="0"/>
        <w:pageBreakBefore w:val="0"/>
        <w:wordWrap/>
        <w:overflowPunct/>
        <w:topLinePunct w:val="0"/>
        <w:bidi w:val="0"/>
        <w:adjustRightInd/>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户名：西安市红会医院</w:t>
      </w:r>
    </w:p>
    <w:p w14:paraId="1EBDCBA0">
      <w:pPr>
        <w:keepNext w:val="0"/>
        <w:keepLines w:val="0"/>
        <w:pageBreakBefore w:val="0"/>
        <w:wordWrap/>
        <w:overflowPunct/>
        <w:topLinePunct w:val="0"/>
        <w:bidi w:val="0"/>
        <w:adjustRightInd/>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账号：102407334632</w:t>
      </w:r>
    </w:p>
    <w:p w14:paraId="31638794">
      <w:pPr>
        <w:keepNext w:val="0"/>
        <w:keepLines w:val="0"/>
        <w:pageBreakBefore w:val="0"/>
        <w:wordWrap/>
        <w:overflowPunct/>
        <w:topLinePunct w:val="0"/>
        <w:bidi w:val="0"/>
        <w:adjustRightInd/>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开户行：中行西安长安路支行</w:t>
      </w:r>
    </w:p>
    <w:p w14:paraId="18B11D8C">
      <w:pPr>
        <w:keepNext w:val="0"/>
        <w:keepLines w:val="0"/>
        <w:pageBreakBefore w:val="0"/>
        <w:wordWrap/>
        <w:overflowPunct/>
        <w:topLinePunct w:val="0"/>
        <w:bidi w:val="0"/>
        <w:adjustRightInd/>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转账请注明用途</w:t>
      </w:r>
    </w:p>
    <w:p w14:paraId="5D7F0016">
      <w:pPr>
        <w:keepNext w:val="0"/>
        <w:keepLines w:val="0"/>
        <w:pageBreakBefore w:val="0"/>
        <w:wordWrap/>
        <w:overflowPunct/>
        <w:topLinePunct w:val="0"/>
        <w:bidi w:val="0"/>
        <w:adjustRightInd/>
        <w:spacing w:line="240" w:lineRule="auto"/>
        <w:ind w:firstLine="400" w:firstLineChars="200"/>
        <w:rPr>
          <w:rFonts w:hint="eastAsia" w:ascii="仿宋" w:hAnsi="仿宋" w:eastAsia="仿宋" w:cs="仿宋"/>
          <w:bCs/>
          <w:kern w:val="36"/>
          <w:sz w:val="20"/>
          <w:szCs w:val="20"/>
        </w:rPr>
      </w:pPr>
      <w:r>
        <w:rPr>
          <w:rFonts w:hint="eastAsia" w:ascii="仿宋" w:hAnsi="仿宋" w:eastAsia="仿宋" w:cs="仿宋"/>
          <w:bCs/>
          <w:kern w:val="36"/>
          <w:sz w:val="20"/>
          <w:szCs w:val="20"/>
        </w:rPr>
        <w:t>（二）支付方式：银行转账。</w:t>
      </w:r>
    </w:p>
    <w:p w14:paraId="12F9746E">
      <w:pPr>
        <w:keepNext w:val="0"/>
        <w:keepLines w:val="0"/>
        <w:pageBreakBefore w:val="0"/>
        <w:wordWrap/>
        <w:overflowPunct/>
        <w:topLinePunct w:val="0"/>
        <w:bidi w:val="0"/>
        <w:adjustRightInd/>
        <w:spacing w:line="240" w:lineRule="auto"/>
        <w:ind w:firstLine="400" w:firstLineChars="200"/>
        <w:rPr>
          <w:rFonts w:hint="eastAsia" w:ascii="仿宋" w:hAnsi="仿宋" w:eastAsia="仿宋" w:cs="仿宋"/>
          <w:bCs/>
          <w:kern w:val="36"/>
          <w:sz w:val="20"/>
          <w:szCs w:val="20"/>
        </w:rPr>
      </w:pPr>
      <w:r>
        <w:rPr>
          <w:rFonts w:hint="eastAsia" w:ascii="仿宋" w:hAnsi="仿宋" w:eastAsia="仿宋" w:cs="仿宋"/>
          <w:bCs/>
          <w:kern w:val="36"/>
          <w:sz w:val="20"/>
          <w:szCs w:val="20"/>
        </w:rPr>
        <w:t>乙方确认以下信息为收款信息：</w:t>
      </w:r>
    </w:p>
    <w:p w14:paraId="2EB580BC">
      <w:pPr>
        <w:keepNext w:val="0"/>
        <w:keepLines w:val="0"/>
        <w:pageBreakBefore w:val="0"/>
        <w:wordWrap/>
        <w:overflowPunct/>
        <w:topLinePunct w:val="0"/>
        <w:bidi w:val="0"/>
        <w:adjustRightInd/>
        <w:spacing w:line="240" w:lineRule="auto"/>
        <w:ind w:firstLine="400" w:firstLineChars="200"/>
        <w:rPr>
          <w:rFonts w:hint="eastAsia" w:ascii="仿宋" w:hAnsi="仿宋" w:eastAsia="仿宋" w:cs="仿宋"/>
          <w:bCs/>
          <w:kern w:val="36"/>
          <w:sz w:val="20"/>
          <w:szCs w:val="20"/>
        </w:rPr>
      </w:pPr>
      <w:r>
        <w:rPr>
          <w:rFonts w:hint="eastAsia" w:ascii="仿宋" w:hAnsi="仿宋" w:eastAsia="仿宋" w:cs="仿宋"/>
          <w:bCs/>
          <w:kern w:val="36"/>
          <w:sz w:val="20"/>
          <w:szCs w:val="20"/>
        </w:rPr>
        <w:t>开户名：</w:t>
      </w:r>
    </w:p>
    <w:p w14:paraId="44DDA750">
      <w:pPr>
        <w:keepNext w:val="0"/>
        <w:keepLines w:val="0"/>
        <w:pageBreakBefore w:val="0"/>
        <w:wordWrap/>
        <w:overflowPunct/>
        <w:topLinePunct w:val="0"/>
        <w:bidi w:val="0"/>
        <w:adjustRightInd/>
        <w:spacing w:line="240" w:lineRule="auto"/>
        <w:ind w:firstLine="400" w:firstLineChars="200"/>
        <w:rPr>
          <w:rFonts w:hint="eastAsia" w:ascii="仿宋" w:hAnsi="仿宋" w:eastAsia="仿宋" w:cs="仿宋"/>
          <w:bCs/>
          <w:kern w:val="36"/>
          <w:sz w:val="20"/>
          <w:szCs w:val="20"/>
        </w:rPr>
      </w:pPr>
      <w:r>
        <w:rPr>
          <w:rFonts w:hint="eastAsia" w:ascii="仿宋" w:hAnsi="仿宋" w:eastAsia="仿宋" w:cs="仿宋"/>
          <w:bCs/>
          <w:kern w:val="36"/>
          <w:sz w:val="20"/>
          <w:szCs w:val="20"/>
        </w:rPr>
        <w:t>开户行：</w:t>
      </w:r>
    </w:p>
    <w:p w14:paraId="601FDEE1">
      <w:pPr>
        <w:keepNext w:val="0"/>
        <w:keepLines w:val="0"/>
        <w:pageBreakBefore w:val="0"/>
        <w:wordWrap/>
        <w:overflowPunct/>
        <w:topLinePunct w:val="0"/>
        <w:bidi w:val="0"/>
        <w:adjustRightInd/>
        <w:spacing w:line="240" w:lineRule="auto"/>
        <w:ind w:firstLine="392" w:firstLineChars="196"/>
        <w:rPr>
          <w:rFonts w:hint="eastAsia" w:ascii="仿宋" w:hAnsi="仿宋" w:eastAsia="仿宋" w:cs="仿宋"/>
          <w:bCs/>
          <w:kern w:val="36"/>
          <w:sz w:val="20"/>
          <w:szCs w:val="20"/>
        </w:rPr>
      </w:pPr>
      <w:r>
        <w:rPr>
          <w:rFonts w:hint="eastAsia" w:ascii="仿宋" w:hAnsi="仿宋" w:eastAsia="仿宋" w:cs="仿宋"/>
          <w:bCs/>
          <w:kern w:val="36"/>
          <w:sz w:val="20"/>
          <w:szCs w:val="20"/>
        </w:rPr>
        <w:t>账号：</w:t>
      </w:r>
    </w:p>
    <w:p w14:paraId="13C8C4C4">
      <w:pPr>
        <w:keepNext w:val="0"/>
        <w:keepLines w:val="0"/>
        <w:pageBreakBefore w:val="0"/>
        <w:tabs>
          <w:tab w:val="left" w:pos="1155"/>
        </w:tabs>
        <w:wordWrap/>
        <w:overflowPunct/>
        <w:topLinePunct w:val="0"/>
        <w:bidi w:val="0"/>
        <w:adjustRightInd/>
        <w:spacing w:line="240" w:lineRule="auto"/>
        <w:ind w:firstLine="400" w:firstLineChars="200"/>
        <w:rPr>
          <w:rFonts w:hint="eastAsia" w:ascii="仿宋" w:hAnsi="仿宋" w:eastAsia="仿宋" w:cs="仿宋"/>
          <w:b/>
          <w:sz w:val="20"/>
          <w:szCs w:val="20"/>
        </w:rPr>
      </w:pPr>
      <w:r>
        <w:rPr>
          <w:rFonts w:hint="eastAsia" w:ascii="仿宋" w:hAnsi="仿宋" w:eastAsia="仿宋" w:cs="仿宋"/>
          <w:bCs/>
          <w:kern w:val="36"/>
          <w:sz w:val="20"/>
          <w:szCs w:val="20"/>
        </w:rPr>
        <w:t>（三）结算方式：分六期付款，每执行半年，</w:t>
      </w:r>
      <w:r>
        <w:rPr>
          <w:rFonts w:hint="eastAsia" w:ascii="仿宋" w:hAnsi="仿宋" w:eastAsia="仿宋" w:cs="仿宋"/>
          <w:bCs/>
          <w:kern w:val="36"/>
          <w:sz w:val="20"/>
          <w:szCs w:val="20"/>
          <w:lang w:eastAsia="zh-CN"/>
        </w:rPr>
        <w:t>验收合格后</w:t>
      </w:r>
      <w:r>
        <w:rPr>
          <w:rFonts w:hint="eastAsia" w:ascii="仿宋" w:hAnsi="仿宋" w:eastAsia="仿宋" w:cs="仿宋"/>
          <w:bCs/>
          <w:kern w:val="36"/>
          <w:sz w:val="20"/>
          <w:szCs w:val="20"/>
          <w:highlight w:val="none"/>
        </w:rPr>
        <w:t>支付当年合同款</w:t>
      </w:r>
      <w:r>
        <w:rPr>
          <w:rFonts w:hint="eastAsia" w:ascii="仿宋" w:hAnsi="仿宋" w:eastAsia="仿宋" w:cs="仿宋"/>
          <w:bCs/>
          <w:kern w:val="36"/>
          <w:sz w:val="20"/>
          <w:szCs w:val="20"/>
          <w:highlight w:val="none"/>
          <w:lang w:val="en-US" w:eastAsia="zh-CN"/>
        </w:rPr>
        <w:t>的50%</w:t>
      </w:r>
      <w:r>
        <w:rPr>
          <w:rFonts w:hint="eastAsia" w:ascii="仿宋" w:hAnsi="仿宋" w:eastAsia="仿宋" w:cs="仿宋"/>
          <w:bCs/>
          <w:kern w:val="36"/>
          <w:sz w:val="20"/>
          <w:szCs w:val="20"/>
          <w:highlight w:val="none"/>
        </w:rPr>
        <w:t>。</w:t>
      </w:r>
    </w:p>
    <w:p w14:paraId="48EA2B72">
      <w:pPr>
        <w:keepNext w:val="0"/>
        <w:keepLines w:val="0"/>
        <w:pageBreakBefore w:val="0"/>
        <w:wordWrap/>
        <w:overflowPunct/>
        <w:topLinePunct w:val="0"/>
        <w:bidi w:val="0"/>
        <w:adjustRightInd/>
        <w:spacing w:line="240" w:lineRule="auto"/>
        <w:rPr>
          <w:rFonts w:hint="eastAsia" w:ascii="仿宋" w:hAnsi="仿宋" w:eastAsia="仿宋" w:cs="仿宋"/>
          <w:b/>
          <w:sz w:val="20"/>
          <w:szCs w:val="20"/>
        </w:rPr>
      </w:pPr>
      <w:r>
        <w:rPr>
          <w:rFonts w:hint="eastAsia" w:ascii="仿宋" w:hAnsi="仿宋" w:eastAsia="仿宋" w:cs="仿宋"/>
          <w:b/>
          <w:sz w:val="20"/>
          <w:szCs w:val="20"/>
        </w:rPr>
        <w:t>六、双方的权利和义务：</w:t>
      </w:r>
    </w:p>
    <w:p w14:paraId="02EF93E3">
      <w:pPr>
        <w:keepNext w:val="0"/>
        <w:keepLines w:val="0"/>
        <w:pageBreakBefore w:val="0"/>
        <w:wordWrap/>
        <w:overflowPunct/>
        <w:topLinePunct w:val="0"/>
        <w:bidi w:val="0"/>
        <w:adjustRightInd/>
        <w:spacing w:line="240" w:lineRule="auto"/>
        <w:ind w:firstLine="392" w:firstLineChars="196"/>
        <w:rPr>
          <w:rFonts w:hint="eastAsia" w:ascii="仿宋" w:hAnsi="仿宋" w:eastAsia="仿宋" w:cs="仿宋"/>
          <w:bCs/>
          <w:sz w:val="20"/>
          <w:szCs w:val="20"/>
        </w:rPr>
      </w:pPr>
      <w:r>
        <w:rPr>
          <w:rFonts w:hint="eastAsia" w:ascii="仿宋" w:hAnsi="仿宋" w:eastAsia="仿宋" w:cs="仿宋"/>
          <w:bCs/>
          <w:sz w:val="20"/>
          <w:szCs w:val="20"/>
        </w:rPr>
        <w:t>（一）甲方的权利和义务</w:t>
      </w:r>
    </w:p>
    <w:p w14:paraId="4F5709DB">
      <w:pPr>
        <w:keepNext w:val="0"/>
        <w:keepLines w:val="0"/>
        <w:pageBreakBefore w:val="0"/>
        <w:wordWrap/>
        <w:overflowPunct/>
        <w:topLinePunct w:val="0"/>
        <w:bidi w:val="0"/>
        <w:adjustRightInd/>
        <w:spacing w:line="240" w:lineRule="auto"/>
        <w:ind w:firstLine="392" w:firstLineChars="196"/>
        <w:rPr>
          <w:rFonts w:hint="eastAsia" w:ascii="仿宋" w:hAnsi="仿宋" w:eastAsia="仿宋" w:cs="仿宋"/>
          <w:bCs/>
          <w:sz w:val="20"/>
          <w:szCs w:val="20"/>
        </w:rPr>
      </w:pPr>
      <w:r>
        <w:rPr>
          <w:rFonts w:hint="eastAsia" w:ascii="仿宋" w:hAnsi="仿宋" w:eastAsia="仿宋" w:cs="仿宋"/>
          <w:bCs/>
          <w:sz w:val="20"/>
          <w:szCs w:val="20"/>
        </w:rPr>
        <w:t>1、甲方保证提供给乙方的资料、信息内容合法， 不侵犯第三方的合法权益。如因甲方原因致使乙方遭受第三方追诉的，甲方在过错范围内承担由此给乙方造成的损失，并承担违约责任。</w:t>
      </w:r>
    </w:p>
    <w:p w14:paraId="1E735EF6">
      <w:pPr>
        <w:keepNext w:val="0"/>
        <w:keepLines w:val="0"/>
        <w:pageBreakBefore w:val="0"/>
        <w:wordWrap/>
        <w:overflowPunct/>
        <w:topLinePunct w:val="0"/>
        <w:bidi w:val="0"/>
        <w:adjustRightInd/>
        <w:spacing w:line="240" w:lineRule="auto"/>
        <w:ind w:firstLine="392" w:firstLineChars="196"/>
        <w:rPr>
          <w:rFonts w:hint="eastAsia" w:ascii="仿宋" w:hAnsi="仿宋" w:eastAsia="仿宋" w:cs="仿宋"/>
          <w:bCs/>
          <w:kern w:val="36"/>
          <w:sz w:val="20"/>
          <w:szCs w:val="20"/>
        </w:rPr>
      </w:pPr>
      <w:r>
        <w:rPr>
          <w:rFonts w:hint="eastAsia" w:ascii="仿宋" w:hAnsi="仿宋" w:eastAsia="仿宋" w:cs="仿宋"/>
          <w:bCs/>
          <w:sz w:val="20"/>
          <w:szCs w:val="20"/>
        </w:rPr>
        <w:t>2、</w:t>
      </w:r>
      <w:r>
        <w:rPr>
          <w:rFonts w:hint="eastAsia" w:ascii="仿宋" w:hAnsi="仿宋" w:eastAsia="仿宋" w:cs="仿宋"/>
          <w:bCs/>
          <w:kern w:val="36"/>
          <w:sz w:val="20"/>
          <w:szCs w:val="20"/>
        </w:rPr>
        <w:t>由于乙方原因不能按合同约定履约，甲方有权扣留剩余款项，作为对甲方损失的赔偿</w:t>
      </w:r>
      <w:r>
        <w:rPr>
          <w:rFonts w:hint="eastAsia" w:ascii="仿宋" w:hAnsi="仿宋" w:eastAsia="仿宋" w:cs="仿宋"/>
          <w:bCs/>
          <w:sz w:val="20"/>
          <w:szCs w:val="20"/>
        </w:rPr>
        <w:t>。剩余款项已付或不足以赔偿甲方损失的，由乙方另行支付。</w:t>
      </w:r>
    </w:p>
    <w:p w14:paraId="105E2562">
      <w:pPr>
        <w:keepNext w:val="0"/>
        <w:keepLines w:val="0"/>
        <w:pageBreakBefore w:val="0"/>
        <w:wordWrap/>
        <w:overflowPunct/>
        <w:topLinePunct w:val="0"/>
        <w:bidi w:val="0"/>
        <w:adjustRightInd/>
        <w:spacing w:line="240" w:lineRule="auto"/>
        <w:ind w:firstLine="400" w:firstLineChars="200"/>
        <w:rPr>
          <w:rFonts w:hint="eastAsia" w:ascii="仿宋" w:hAnsi="仿宋" w:eastAsia="仿宋" w:cs="仿宋"/>
          <w:bCs/>
          <w:sz w:val="20"/>
          <w:szCs w:val="20"/>
        </w:rPr>
      </w:pPr>
      <w:r>
        <w:rPr>
          <w:rFonts w:hint="eastAsia" w:ascii="仿宋" w:hAnsi="仿宋" w:eastAsia="仿宋" w:cs="仿宋"/>
          <w:bCs/>
          <w:sz w:val="20"/>
          <w:szCs w:val="20"/>
        </w:rPr>
        <w:t>（二）乙方的权利和义务</w:t>
      </w:r>
    </w:p>
    <w:p w14:paraId="77740881">
      <w:pPr>
        <w:keepNext w:val="0"/>
        <w:keepLines w:val="0"/>
        <w:pageBreakBefore w:val="0"/>
        <w:wordWrap/>
        <w:overflowPunct/>
        <w:topLinePunct w:val="0"/>
        <w:bidi w:val="0"/>
        <w:adjustRightInd/>
        <w:spacing w:line="240" w:lineRule="auto"/>
        <w:ind w:firstLine="392" w:firstLineChars="196"/>
        <w:rPr>
          <w:rFonts w:hint="eastAsia" w:ascii="仿宋" w:hAnsi="仿宋" w:eastAsia="仿宋" w:cs="仿宋"/>
          <w:bCs/>
          <w:sz w:val="20"/>
          <w:szCs w:val="20"/>
        </w:rPr>
      </w:pPr>
      <w:r>
        <w:rPr>
          <w:rFonts w:hint="eastAsia" w:ascii="仿宋" w:hAnsi="仿宋" w:eastAsia="仿宋" w:cs="仿宋"/>
          <w:bCs/>
          <w:sz w:val="20"/>
          <w:szCs w:val="20"/>
        </w:rPr>
        <w:t>1、乙方保证在本项目服务期内，不侵犯第三方的合法权益。如因乙方原因致使甲方遭受第三方追诉的，乙方应承担由此给甲方造成的全部损失，并承担违约责任。</w:t>
      </w:r>
    </w:p>
    <w:p w14:paraId="7B724DA8">
      <w:pPr>
        <w:keepNext w:val="0"/>
        <w:keepLines w:val="0"/>
        <w:pageBreakBefore w:val="0"/>
        <w:tabs>
          <w:tab w:val="left" w:pos="480"/>
        </w:tabs>
        <w:wordWrap/>
        <w:overflowPunct/>
        <w:topLinePunct w:val="0"/>
        <w:bidi w:val="0"/>
        <w:adjustRightInd/>
        <w:spacing w:line="240" w:lineRule="auto"/>
        <w:ind w:firstLine="400" w:firstLineChars="200"/>
        <w:rPr>
          <w:rFonts w:hint="eastAsia" w:ascii="仿宋" w:hAnsi="仿宋" w:eastAsia="仿宋" w:cs="仿宋"/>
          <w:bCs/>
          <w:sz w:val="20"/>
          <w:szCs w:val="20"/>
        </w:rPr>
      </w:pPr>
      <w:r>
        <w:rPr>
          <w:rFonts w:hint="eastAsia" w:ascii="仿宋" w:hAnsi="仿宋" w:eastAsia="仿宋" w:cs="仿宋"/>
          <w:bCs/>
          <w:sz w:val="20"/>
          <w:szCs w:val="20"/>
        </w:rPr>
        <w:t>2、乙方按照本合同约定，在履行的过程中，不允许利用甲方提供的相关资料和工作条件，进行与本项目无关的工作。如因乙方原因，致使甲方遭受经济及法律追诉的，由乙方完全承担。</w:t>
      </w:r>
    </w:p>
    <w:p w14:paraId="620B07A2">
      <w:pPr>
        <w:keepNext w:val="0"/>
        <w:keepLines w:val="0"/>
        <w:pageBreakBefore w:val="0"/>
        <w:wordWrap/>
        <w:overflowPunct/>
        <w:topLinePunct w:val="0"/>
        <w:bidi w:val="0"/>
        <w:adjustRightInd/>
        <w:spacing w:line="240" w:lineRule="auto"/>
        <w:contextualSpacing/>
        <w:rPr>
          <w:rFonts w:hint="eastAsia" w:ascii="仿宋" w:hAnsi="仿宋" w:eastAsia="仿宋" w:cs="仿宋"/>
          <w:b/>
          <w:sz w:val="20"/>
          <w:szCs w:val="20"/>
          <w:highlight w:val="none"/>
        </w:rPr>
      </w:pPr>
      <w:r>
        <w:rPr>
          <w:rFonts w:hint="eastAsia" w:ascii="仿宋" w:hAnsi="仿宋" w:eastAsia="仿宋" w:cs="仿宋"/>
          <w:b/>
          <w:sz w:val="20"/>
          <w:szCs w:val="20"/>
          <w:highlight w:val="none"/>
        </w:rPr>
        <w:t>七、服务内容及要求：</w:t>
      </w:r>
    </w:p>
    <w:p w14:paraId="34BA6B88">
      <w:pPr>
        <w:keepNext w:val="0"/>
        <w:keepLines w:val="0"/>
        <w:pageBreakBefore w:val="0"/>
        <w:widowControl w:val="0"/>
        <w:kinsoku/>
        <w:wordWrap/>
        <w:overflowPunct/>
        <w:topLinePunct w:val="0"/>
        <w:autoSpaceDE/>
        <w:autoSpaceDN/>
        <w:bidi w:val="0"/>
        <w:adjustRightInd/>
        <w:snapToGrid/>
        <w:ind w:left="0" w:leftChars="0" w:firstLine="418" w:firstLineChars="209"/>
        <w:textAlignment w:val="auto"/>
        <w:rPr>
          <w:rFonts w:hint="eastAsia" w:ascii="仿宋" w:hAnsi="仿宋" w:eastAsia="仿宋" w:cs="Times New Roman"/>
          <w:color w:val="auto"/>
          <w:sz w:val="20"/>
          <w:szCs w:val="20"/>
          <w:lang w:val="en-US" w:eastAsia="zh-CN"/>
        </w:rPr>
      </w:pPr>
      <w:r>
        <w:rPr>
          <w:rFonts w:hint="eastAsia" w:ascii="仿宋" w:hAnsi="仿宋" w:eastAsia="仿宋" w:cs="Times New Roman"/>
          <w:color w:val="auto"/>
          <w:sz w:val="20"/>
          <w:szCs w:val="20"/>
          <w:lang w:val="en-US" w:eastAsia="zh-CN"/>
        </w:rPr>
        <w:t>1、维保设备品牌、型号：飞利浦UNIQ FD20  Flexmove数字减影血管造影机；服务期限、标准：整机3年全保（不含球管、探测器）。</w:t>
      </w:r>
    </w:p>
    <w:p w14:paraId="480DE6C7">
      <w:pPr>
        <w:keepNext w:val="0"/>
        <w:keepLines w:val="0"/>
        <w:pageBreakBefore w:val="0"/>
        <w:widowControl w:val="0"/>
        <w:kinsoku/>
        <w:wordWrap/>
        <w:overflowPunct/>
        <w:topLinePunct w:val="0"/>
        <w:autoSpaceDE/>
        <w:autoSpaceDN/>
        <w:bidi w:val="0"/>
        <w:adjustRightInd/>
        <w:snapToGrid/>
        <w:ind w:left="0" w:leftChars="0" w:firstLine="418" w:firstLineChars="209"/>
        <w:textAlignment w:val="auto"/>
        <w:rPr>
          <w:rFonts w:hint="eastAsia" w:ascii="仿宋" w:hAnsi="仿宋" w:eastAsia="仿宋" w:cs="Times New Roman"/>
          <w:color w:val="auto"/>
          <w:kern w:val="2"/>
          <w:sz w:val="20"/>
          <w:szCs w:val="20"/>
          <w:lang w:val="en-US" w:eastAsia="zh-CN" w:bidi="ar-SA"/>
        </w:rPr>
      </w:pPr>
      <w:r>
        <w:rPr>
          <w:rFonts w:hint="eastAsia" w:ascii="仿宋" w:hAnsi="仿宋" w:eastAsia="仿宋" w:cs="Times New Roman"/>
          <w:color w:val="auto"/>
          <w:sz w:val="20"/>
          <w:szCs w:val="20"/>
          <w:lang w:val="en-US" w:eastAsia="zh-CN"/>
        </w:rPr>
        <w:t>2、维保设备品牌、型号：飞利浦 UNIQ FD20数字减影血管造影机；服务期限、标准：整机1年全保（不含球管、探测器）。</w:t>
      </w:r>
    </w:p>
    <w:p w14:paraId="2752F234">
      <w:pPr>
        <w:pStyle w:val="2"/>
        <w:keepNext w:val="0"/>
        <w:keepLines w:val="0"/>
        <w:pageBreakBefore w:val="0"/>
        <w:widowControl w:val="0"/>
        <w:kinsoku/>
        <w:wordWrap/>
        <w:overflowPunct/>
        <w:topLinePunct w:val="0"/>
        <w:autoSpaceDE/>
        <w:autoSpaceDN/>
        <w:bidi w:val="0"/>
        <w:adjustRightInd/>
        <w:snapToGrid/>
        <w:spacing w:after="0"/>
        <w:ind w:left="0" w:leftChars="0" w:firstLine="418" w:firstLineChars="209"/>
        <w:textAlignment w:val="auto"/>
        <w:rPr>
          <w:rFonts w:hint="eastAsia" w:ascii="仿宋" w:hAnsi="仿宋" w:eastAsia="仿宋" w:cs="Times New Roman"/>
          <w:kern w:val="2"/>
          <w:sz w:val="20"/>
          <w:szCs w:val="20"/>
          <w:lang w:val="en-US" w:eastAsia="zh-CN" w:bidi="ar-SA"/>
        </w:rPr>
      </w:pPr>
      <w:r>
        <w:rPr>
          <w:rFonts w:hint="eastAsia" w:ascii="仿宋" w:hAnsi="仿宋" w:eastAsia="仿宋" w:cs="Times New Roman"/>
          <w:kern w:val="2"/>
          <w:sz w:val="20"/>
          <w:szCs w:val="20"/>
          <w:lang w:val="en-US" w:eastAsia="zh-CN" w:bidi="ar-SA"/>
        </w:rPr>
        <w:t>3、提供一年不少于四次的定期维护保养，需制定详细的保养计划，提供整机的全面定期维护保养及预防性巡检，每次维护保养时间前通知，应在不影响正常工作的时间内进行。维护保养服务内容包括：设备的安全检查、影像质量检查、设备除尘保养、运行状态检查等，并提供书面保养报告及整机质量评估报告等。</w:t>
      </w:r>
    </w:p>
    <w:p w14:paraId="36AE3A17">
      <w:pPr>
        <w:pStyle w:val="2"/>
        <w:keepNext w:val="0"/>
        <w:keepLines w:val="0"/>
        <w:pageBreakBefore w:val="0"/>
        <w:widowControl w:val="0"/>
        <w:kinsoku/>
        <w:wordWrap/>
        <w:overflowPunct/>
        <w:topLinePunct w:val="0"/>
        <w:autoSpaceDE/>
        <w:autoSpaceDN/>
        <w:bidi w:val="0"/>
        <w:adjustRightInd/>
        <w:snapToGrid/>
        <w:spacing w:after="0"/>
        <w:ind w:left="0" w:leftChars="0" w:firstLine="418" w:firstLineChars="209"/>
        <w:textAlignment w:val="auto"/>
        <w:rPr>
          <w:rFonts w:hint="eastAsia" w:ascii="仿宋" w:hAnsi="仿宋" w:eastAsia="仿宋" w:cs="Times New Roman"/>
          <w:kern w:val="2"/>
          <w:sz w:val="20"/>
          <w:szCs w:val="20"/>
          <w:lang w:val="en-US" w:eastAsia="zh-CN" w:bidi="ar-SA"/>
        </w:rPr>
      </w:pPr>
      <w:r>
        <w:rPr>
          <w:rFonts w:hint="eastAsia" w:ascii="仿宋" w:hAnsi="仿宋" w:eastAsia="仿宋" w:cs="Times New Roman"/>
          <w:kern w:val="2"/>
          <w:sz w:val="20"/>
          <w:szCs w:val="20"/>
          <w:lang w:val="en-US" w:eastAsia="zh-CN" w:bidi="ar-SA"/>
        </w:rPr>
        <w:t>4、合同期内提供24小时热线电话随时在线响应，全年365天24小时开通。接到报修电话后30分钟内响应，工程师在4小时内到达现场。</w:t>
      </w:r>
    </w:p>
    <w:p w14:paraId="4A15D90D">
      <w:pPr>
        <w:pStyle w:val="2"/>
        <w:keepNext w:val="0"/>
        <w:keepLines w:val="0"/>
        <w:pageBreakBefore w:val="0"/>
        <w:widowControl w:val="0"/>
        <w:kinsoku/>
        <w:wordWrap/>
        <w:overflowPunct/>
        <w:topLinePunct w:val="0"/>
        <w:autoSpaceDE/>
        <w:autoSpaceDN/>
        <w:bidi w:val="0"/>
        <w:adjustRightInd/>
        <w:snapToGrid/>
        <w:spacing w:after="0"/>
        <w:ind w:left="0" w:leftChars="0" w:firstLine="418" w:firstLineChars="209"/>
        <w:textAlignment w:val="auto"/>
        <w:rPr>
          <w:rFonts w:hint="eastAsia" w:ascii="仿宋" w:hAnsi="仿宋" w:eastAsia="仿宋" w:cs="Times New Roman"/>
          <w:kern w:val="2"/>
          <w:sz w:val="20"/>
          <w:szCs w:val="20"/>
          <w:lang w:val="en-US" w:eastAsia="zh-CN" w:bidi="ar-SA"/>
        </w:rPr>
      </w:pPr>
      <w:r>
        <w:rPr>
          <w:rFonts w:hint="eastAsia" w:ascii="仿宋" w:hAnsi="仿宋" w:eastAsia="仿宋" w:cs="Times New Roman"/>
          <w:kern w:val="2"/>
          <w:sz w:val="20"/>
          <w:szCs w:val="20"/>
          <w:lang w:val="en-US" w:eastAsia="zh-CN" w:bidi="ar-SA"/>
        </w:rPr>
        <w:t>5、人员要求：供应商须具备专业服务团队</w:t>
      </w:r>
      <w:r>
        <w:rPr>
          <w:rFonts w:hint="eastAsia" w:ascii="仿宋" w:hAnsi="仿宋" w:eastAsia="仿宋" w:cs="Times New Roman"/>
          <w:color w:val="auto"/>
          <w:kern w:val="2"/>
          <w:sz w:val="20"/>
          <w:szCs w:val="20"/>
          <w:lang w:val="en-US" w:eastAsia="zh-CN" w:bidi="ar-SA"/>
        </w:rPr>
        <w:t>，具备医疗器械</w:t>
      </w:r>
      <w:r>
        <w:rPr>
          <w:rFonts w:hint="eastAsia" w:ascii="仿宋" w:hAnsi="仿宋" w:eastAsia="仿宋" w:cs="Times New Roman"/>
          <w:kern w:val="2"/>
          <w:sz w:val="20"/>
          <w:szCs w:val="20"/>
          <w:lang w:val="en-US" w:eastAsia="zh-CN" w:bidi="ar-SA"/>
        </w:rPr>
        <w:t>高级工程师证书或原厂培训合格工程师证书的服务人员不少于3人。（提供工程师证书复印件及本单位近三个月为该工程师缴纳的社保证明）。</w:t>
      </w:r>
    </w:p>
    <w:p w14:paraId="2DDC78AC">
      <w:pPr>
        <w:keepNext w:val="0"/>
        <w:keepLines w:val="0"/>
        <w:pageBreakBefore w:val="0"/>
        <w:widowControl w:val="0"/>
        <w:kinsoku/>
        <w:wordWrap/>
        <w:overflowPunct/>
        <w:topLinePunct w:val="0"/>
        <w:autoSpaceDE/>
        <w:autoSpaceDN/>
        <w:bidi w:val="0"/>
        <w:adjustRightInd/>
        <w:snapToGrid/>
        <w:ind w:left="0" w:leftChars="0" w:firstLine="418" w:firstLineChars="209"/>
        <w:textAlignment w:val="auto"/>
        <w:rPr>
          <w:rFonts w:hint="eastAsia" w:ascii="仿宋" w:hAnsi="仿宋" w:eastAsia="仿宋" w:cs="Times New Roman"/>
          <w:b w:val="0"/>
          <w:bCs w:val="0"/>
          <w:kern w:val="2"/>
          <w:sz w:val="20"/>
          <w:szCs w:val="20"/>
          <w:lang w:val="en-US" w:eastAsia="zh-CN" w:bidi="ar-SA"/>
        </w:rPr>
      </w:pPr>
      <w:r>
        <w:rPr>
          <w:rFonts w:hint="eastAsia" w:ascii="仿宋" w:hAnsi="仿宋" w:eastAsia="仿宋" w:cs="Times New Roman"/>
          <w:kern w:val="2"/>
          <w:sz w:val="20"/>
          <w:szCs w:val="20"/>
          <w:lang w:val="en-US" w:eastAsia="zh-CN" w:bidi="ar-SA"/>
        </w:rPr>
        <w:t>6、应具备充足的备件供应能力，需在设有备件仓库，备件达到项目维保地点时间≤24小时(提供</w:t>
      </w:r>
      <w:r>
        <w:rPr>
          <w:rFonts w:hint="eastAsia" w:ascii="仿宋" w:hAnsi="仿宋" w:eastAsia="仿宋" w:cs="Times New Roman"/>
          <w:b w:val="0"/>
          <w:bCs w:val="0"/>
          <w:kern w:val="2"/>
          <w:sz w:val="20"/>
          <w:szCs w:val="20"/>
          <w:lang w:val="en-US" w:eastAsia="zh-CN" w:bidi="ar-SA"/>
        </w:rPr>
        <w:t>库房产权证书或租赁合同、库房照片等证明材料)。</w:t>
      </w:r>
    </w:p>
    <w:p w14:paraId="1C8537A3">
      <w:pPr>
        <w:keepNext w:val="0"/>
        <w:keepLines w:val="0"/>
        <w:pageBreakBefore w:val="0"/>
        <w:widowControl w:val="0"/>
        <w:kinsoku/>
        <w:wordWrap/>
        <w:overflowPunct/>
        <w:topLinePunct w:val="0"/>
        <w:autoSpaceDE/>
        <w:autoSpaceDN/>
        <w:bidi w:val="0"/>
        <w:adjustRightInd/>
        <w:snapToGrid/>
        <w:ind w:left="0" w:leftChars="0" w:firstLine="418" w:firstLineChars="209"/>
        <w:textAlignment w:val="auto"/>
        <w:rPr>
          <w:rFonts w:hint="eastAsia" w:ascii="仿宋" w:hAnsi="仿宋" w:eastAsia="仿宋" w:cs="Times New Roman"/>
          <w:kern w:val="2"/>
          <w:sz w:val="20"/>
          <w:szCs w:val="20"/>
          <w:lang w:val="en-US" w:eastAsia="zh-CN" w:bidi="ar-SA"/>
        </w:rPr>
      </w:pPr>
      <w:r>
        <w:rPr>
          <w:rFonts w:hint="eastAsia" w:ascii="仿宋" w:hAnsi="仿宋" w:eastAsia="仿宋" w:cs="Times New Roman"/>
          <w:kern w:val="2"/>
          <w:sz w:val="20"/>
          <w:szCs w:val="20"/>
          <w:lang w:val="en-US" w:eastAsia="zh-CN" w:bidi="ar-SA"/>
        </w:rPr>
        <w:t>7、提供《设备年度服务报告》，汇总年度设备维修概况，优化服务方案，提供最佳服务保障建议。</w:t>
      </w:r>
    </w:p>
    <w:p w14:paraId="3E0A3C93">
      <w:pPr>
        <w:keepNext w:val="0"/>
        <w:keepLines w:val="0"/>
        <w:pageBreakBefore w:val="0"/>
        <w:widowControl w:val="0"/>
        <w:kinsoku/>
        <w:wordWrap/>
        <w:overflowPunct/>
        <w:topLinePunct w:val="0"/>
        <w:autoSpaceDE/>
        <w:autoSpaceDN/>
        <w:bidi w:val="0"/>
        <w:adjustRightInd/>
        <w:snapToGrid/>
        <w:ind w:left="0" w:leftChars="0" w:firstLine="418" w:firstLineChars="209"/>
        <w:textAlignment w:val="auto"/>
        <w:rPr>
          <w:rFonts w:hint="eastAsia" w:ascii="仿宋" w:hAnsi="仿宋" w:eastAsia="仿宋" w:cs="Times New Roman"/>
          <w:color w:val="auto"/>
          <w:kern w:val="2"/>
          <w:sz w:val="20"/>
          <w:szCs w:val="20"/>
          <w:lang w:val="en-US" w:eastAsia="zh-CN" w:bidi="ar-SA"/>
        </w:rPr>
      </w:pPr>
      <w:r>
        <w:rPr>
          <w:rFonts w:hint="eastAsia" w:ascii="仿宋" w:hAnsi="仿宋" w:eastAsia="仿宋" w:cs="Times New Roman"/>
          <w:kern w:val="2"/>
          <w:sz w:val="20"/>
          <w:szCs w:val="20"/>
          <w:lang w:val="en-US" w:eastAsia="zh-CN" w:bidi="ar-SA"/>
        </w:rPr>
        <w:t>8、每</w:t>
      </w:r>
      <w:r>
        <w:rPr>
          <w:rFonts w:hint="eastAsia" w:ascii="仿宋" w:hAnsi="仿宋" w:eastAsia="仿宋" w:cs="Times New Roman"/>
          <w:color w:val="auto"/>
          <w:kern w:val="2"/>
          <w:sz w:val="20"/>
          <w:szCs w:val="20"/>
          <w:lang w:val="en-US" w:eastAsia="zh-CN" w:bidi="ar-SA"/>
        </w:rPr>
        <w:t>次维修或保养服务完成得到院方认可后，须填写并签署维保报告一式两份，双方各留存一份。每次维护后应对设备的现状、使用中需要注意的内容写入维保报告。</w:t>
      </w:r>
    </w:p>
    <w:p w14:paraId="451CD9C1">
      <w:pPr>
        <w:keepNext w:val="0"/>
        <w:keepLines w:val="0"/>
        <w:pageBreakBefore w:val="0"/>
        <w:tabs>
          <w:tab w:val="left" w:pos="0"/>
        </w:tabs>
        <w:wordWrap/>
        <w:overflowPunct/>
        <w:topLinePunct w:val="0"/>
        <w:bidi w:val="0"/>
        <w:adjustRightInd/>
        <w:spacing w:line="240" w:lineRule="auto"/>
        <w:ind w:left="0" w:leftChars="0" w:firstLine="418" w:firstLineChars="209"/>
        <w:rPr>
          <w:rFonts w:hint="eastAsia" w:ascii="仿宋" w:hAnsi="仿宋" w:eastAsia="仿宋" w:cs="仿宋"/>
          <w:b w:val="0"/>
          <w:bCs/>
          <w:sz w:val="20"/>
          <w:szCs w:val="20"/>
          <w:highlight w:val="none"/>
          <w:lang w:val="en-US" w:eastAsia="zh-CN"/>
        </w:rPr>
      </w:pPr>
      <w:r>
        <w:rPr>
          <w:rFonts w:hint="eastAsia" w:ascii="仿宋" w:hAnsi="仿宋" w:eastAsia="仿宋" w:cs="Times New Roman"/>
          <w:color w:val="auto"/>
          <w:kern w:val="2"/>
          <w:sz w:val="20"/>
          <w:szCs w:val="20"/>
          <w:lang w:val="en-US" w:eastAsia="zh-CN" w:bidi="ar-SA"/>
        </w:rPr>
        <w:t>9、供应商成交</w:t>
      </w:r>
      <w:r>
        <w:rPr>
          <w:rFonts w:hint="eastAsia" w:ascii="仿宋" w:hAnsi="仿宋" w:eastAsia="仿宋" w:cs="Times New Roman"/>
          <w:color w:val="auto"/>
          <w:kern w:val="2"/>
          <w:sz w:val="20"/>
          <w:szCs w:val="20"/>
          <w:highlight w:val="none"/>
          <w:lang w:val="en-US" w:eastAsia="zh-CN" w:bidi="ar-SA"/>
        </w:rPr>
        <w:t>之后需恢复维保设备现有故障(</w:t>
      </w:r>
      <w:r>
        <w:rPr>
          <w:rFonts w:hint="eastAsia" w:ascii="仿宋" w:hAnsi="仿宋" w:eastAsia="仿宋" w:cs="Times New Roman"/>
          <w:color w:val="auto"/>
          <w:sz w:val="20"/>
          <w:szCs w:val="20"/>
          <w:highlight w:val="none"/>
          <w:lang w:val="en-US" w:eastAsia="zh-CN"/>
        </w:rPr>
        <w:t>更换两台设备曝光脚踏</w:t>
      </w:r>
      <w:r>
        <w:rPr>
          <w:rFonts w:hint="eastAsia" w:ascii="仿宋" w:hAnsi="仿宋" w:eastAsia="仿宋" w:cs="Times New Roman"/>
          <w:color w:val="auto"/>
          <w:kern w:val="2"/>
          <w:sz w:val="20"/>
          <w:szCs w:val="20"/>
          <w:highlight w:val="none"/>
          <w:lang w:val="en-US" w:eastAsia="zh-CN" w:bidi="ar-SA"/>
        </w:rPr>
        <w:t>，更换</w:t>
      </w:r>
      <w:r>
        <w:rPr>
          <w:rFonts w:hint="eastAsia" w:ascii="仿宋" w:hAnsi="仿宋" w:eastAsia="仿宋" w:cs="Times New Roman"/>
          <w:color w:val="auto"/>
          <w:sz w:val="20"/>
          <w:szCs w:val="20"/>
          <w:highlight w:val="none"/>
          <w:lang w:val="en-US" w:eastAsia="zh-CN"/>
        </w:rPr>
        <w:t>飞利浦Flexmove</w:t>
      </w:r>
      <w:r>
        <w:rPr>
          <w:rFonts w:hint="eastAsia" w:ascii="仿宋" w:hAnsi="仿宋" w:eastAsia="仿宋" w:cs="Times New Roman"/>
          <w:color w:val="auto"/>
          <w:kern w:val="2"/>
          <w:sz w:val="20"/>
          <w:szCs w:val="20"/>
          <w:highlight w:val="none"/>
          <w:lang w:val="en-US" w:eastAsia="zh-CN" w:bidi="ar-SA"/>
        </w:rPr>
        <w:t>设备主机内存条、更换</w:t>
      </w:r>
      <w:r>
        <w:rPr>
          <w:rFonts w:hint="eastAsia" w:ascii="仿宋" w:hAnsi="仿宋" w:eastAsia="仿宋" w:cs="Times New Roman"/>
          <w:color w:val="auto"/>
          <w:sz w:val="20"/>
          <w:szCs w:val="20"/>
          <w:highlight w:val="none"/>
          <w:lang w:val="en-US" w:eastAsia="zh-CN"/>
        </w:rPr>
        <w:t>飞利浦UNIQ FD20设备主机显示器</w:t>
      </w:r>
      <w:r>
        <w:rPr>
          <w:rFonts w:hint="eastAsia" w:ascii="仿宋" w:hAnsi="仿宋" w:eastAsia="仿宋" w:cs="Times New Roman"/>
          <w:color w:val="auto"/>
          <w:kern w:val="2"/>
          <w:sz w:val="20"/>
          <w:szCs w:val="20"/>
          <w:highlight w:val="none"/>
          <w:lang w:val="en-US" w:eastAsia="zh-CN" w:bidi="ar-SA"/>
        </w:rPr>
        <w:t>）。</w:t>
      </w:r>
    </w:p>
    <w:p w14:paraId="205EFB76">
      <w:pPr>
        <w:keepNext w:val="0"/>
        <w:keepLines w:val="0"/>
        <w:pageBreakBefore w:val="0"/>
        <w:tabs>
          <w:tab w:val="left" w:pos="0"/>
        </w:tabs>
        <w:wordWrap/>
        <w:overflowPunct/>
        <w:topLinePunct w:val="0"/>
        <w:bidi w:val="0"/>
        <w:adjustRightInd/>
        <w:spacing w:line="24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八、技术要求</w:t>
      </w:r>
    </w:p>
    <w:p w14:paraId="5FBC55DE">
      <w:pPr>
        <w:keepNext w:val="0"/>
        <w:keepLines w:val="0"/>
        <w:pageBreakBefore w:val="0"/>
        <w:tabs>
          <w:tab w:val="left" w:pos="0"/>
          <w:tab w:val="center" w:pos="4153"/>
        </w:tabs>
        <w:wordWrap/>
        <w:overflowPunct/>
        <w:topLinePunct w:val="0"/>
        <w:bidi w:val="0"/>
        <w:adjustRightInd/>
        <w:spacing w:line="240" w:lineRule="auto"/>
        <w:ind w:left="0" w:leftChars="0" w:firstLine="350" w:firstLineChars="175"/>
        <w:rPr>
          <w:rFonts w:hint="eastAsia" w:ascii="仿宋" w:hAnsi="仿宋" w:eastAsia="仿宋" w:cs="仿宋"/>
          <w:b w:val="0"/>
          <w:bCs/>
          <w:sz w:val="20"/>
          <w:szCs w:val="20"/>
          <w:lang w:val="en-US" w:eastAsia="zh-CN"/>
        </w:rPr>
      </w:pPr>
      <w:r>
        <w:rPr>
          <w:rFonts w:hint="eastAsia" w:ascii="仿宋" w:hAnsi="仿宋" w:eastAsia="仿宋" w:cs="仿宋"/>
          <w:b w:val="0"/>
          <w:bCs/>
          <w:sz w:val="20"/>
          <w:szCs w:val="20"/>
          <w:lang w:val="en-US" w:eastAsia="zh-CN"/>
        </w:rPr>
        <w:t>1、维保范围：整机全保（除球管、探测器），包括但不限于人工服务费、设备保养服务，维修配件等。</w:t>
      </w:r>
    </w:p>
    <w:p w14:paraId="5FDF1089">
      <w:pPr>
        <w:keepNext w:val="0"/>
        <w:keepLines w:val="0"/>
        <w:pageBreakBefore w:val="0"/>
        <w:tabs>
          <w:tab w:val="left" w:pos="0"/>
          <w:tab w:val="center" w:pos="4153"/>
        </w:tabs>
        <w:wordWrap/>
        <w:overflowPunct/>
        <w:topLinePunct w:val="0"/>
        <w:bidi w:val="0"/>
        <w:adjustRightInd/>
        <w:spacing w:line="240" w:lineRule="auto"/>
        <w:ind w:left="0" w:leftChars="0" w:firstLine="350" w:firstLineChars="175"/>
        <w:rPr>
          <w:rFonts w:hint="eastAsia" w:ascii="仿宋" w:hAnsi="仿宋" w:eastAsia="仿宋" w:cs="仿宋"/>
          <w:b w:val="0"/>
          <w:bCs/>
          <w:sz w:val="20"/>
          <w:szCs w:val="20"/>
          <w:lang w:val="en-US" w:eastAsia="zh-CN"/>
        </w:rPr>
      </w:pPr>
      <w:r>
        <w:rPr>
          <w:rFonts w:hint="eastAsia" w:ascii="仿宋" w:hAnsi="仿宋" w:eastAsia="仿宋" w:cs="仿宋"/>
          <w:b w:val="0"/>
          <w:bCs/>
          <w:sz w:val="20"/>
          <w:szCs w:val="20"/>
          <w:lang w:val="en-US" w:eastAsia="zh-CN"/>
        </w:rPr>
        <w:t>2、具有合法的维保设备故障诊断维修钥匙。</w:t>
      </w:r>
    </w:p>
    <w:p w14:paraId="13B58FEC">
      <w:pPr>
        <w:keepNext w:val="0"/>
        <w:keepLines w:val="0"/>
        <w:pageBreakBefore w:val="0"/>
        <w:tabs>
          <w:tab w:val="left" w:pos="0"/>
          <w:tab w:val="center" w:pos="4153"/>
        </w:tabs>
        <w:wordWrap/>
        <w:overflowPunct/>
        <w:topLinePunct w:val="0"/>
        <w:bidi w:val="0"/>
        <w:adjustRightInd/>
        <w:spacing w:line="240" w:lineRule="auto"/>
        <w:ind w:left="0" w:leftChars="0" w:firstLine="350" w:firstLineChars="175"/>
        <w:rPr>
          <w:rFonts w:hint="eastAsia" w:ascii="仿宋" w:hAnsi="仿宋" w:eastAsia="仿宋" w:cs="仿宋"/>
          <w:b w:val="0"/>
          <w:bCs/>
          <w:sz w:val="20"/>
          <w:szCs w:val="20"/>
          <w:lang w:val="en-US" w:eastAsia="zh-CN"/>
        </w:rPr>
      </w:pPr>
      <w:r>
        <w:rPr>
          <w:rFonts w:hint="eastAsia" w:ascii="仿宋" w:hAnsi="仿宋" w:eastAsia="仿宋" w:cs="仿宋"/>
          <w:b w:val="0"/>
          <w:bCs/>
          <w:sz w:val="20"/>
          <w:szCs w:val="20"/>
          <w:lang w:val="en-US" w:eastAsia="zh-CN"/>
        </w:rPr>
        <w:t>3、服务期内维保设备的年开机率≥98%(按日历天数计算)；自设备报修后开始计时，计算设备停机时间，以此确认设备开机率；年开机率未达98%，停机每超出一天，维修服务合同期限自动延长7天。</w:t>
      </w:r>
    </w:p>
    <w:p w14:paraId="2AE2595E">
      <w:pPr>
        <w:keepNext w:val="0"/>
        <w:keepLines w:val="0"/>
        <w:pageBreakBefore w:val="0"/>
        <w:tabs>
          <w:tab w:val="left" w:pos="0"/>
          <w:tab w:val="center" w:pos="4153"/>
        </w:tabs>
        <w:wordWrap/>
        <w:overflowPunct/>
        <w:topLinePunct w:val="0"/>
        <w:bidi w:val="0"/>
        <w:adjustRightInd/>
        <w:spacing w:line="240" w:lineRule="auto"/>
        <w:ind w:left="0" w:leftChars="0" w:firstLine="350" w:firstLineChars="175"/>
        <w:rPr>
          <w:rFonts w:hint="eastAsia" w:ascii="仿宋" w:hAnsi="仿宋" w:eastAsia="仿宋" w:cs="仿宋"/>
          <w:b w:val="0"/>
          <w:bCs/>
          <w:sz w:val="20"/>
          <w:szCs w:val="20"/>
          <w:lang w:val="en-US" w:eastAsia="zh-CN"/>
        </w:rPr>
      </w:pPr>
      <w:r>
        <w:rPr>
          <w:rFonts w:hint="eastAsia" w:ascii="仿宋" w:hAnsi="仿宋" w:eastAsia="仿宋" w:cs="仿宋"/>
          <w:b w:val="0"/>
          <w:bCs/>
          <w:sz w:val="20"/>
          <w:szCs w:val="20"/>
          <w:lang w:val="en-US" w:eastAsia="zh-CN"/>
        </w:rPr>
        <w:t>（1）开机率=（365-故障停机天数）/365</w:t>
      </w:r>
    </w:p>
    <w:p w14:paraId="658846E7">
      <w:pPr>
        <w:keepNext w:val="0"/>
        <w:keepLines w:val="0"/>
        <w:pageBreakBefore w:val="0"/>
        <w:tabs>
          <w:tab w:val="left" w:pos="0"/>
          <w:tab w:val="center" w:pos="4153"/>
        </w:tabs>
        <w:wordWrap/>
        <w:overflowPunct/>
        <w:topLinePunct w:val="0"/>
        <w:bidi w:val="0"/>
        <w:adjustRightInd/>
        <w:spacing w:line="240" w:lineRule="auto"/>
        <w:ind w:left="0" w:leftChars="0" w:firstLine="350" w:firstLineChars="175"/>
        <w:rPr>
          <w:rFonts w:hint="eastAsia" w:ascii="仿宋" w:hAnsi="仿宋" w:eastAsia="仿宋" w:cs="仿宋"/>
          <w:b w:val="0"/>
          <w:bCs/>
          <w:sz w:val="20"/>
          <w:szCs w:val="20"/>
          <w:lang w:val="en-US" w:eastAsia="zh-CN"/>
        </w:rPr>
      </w:pPr>
      <w:r>
        <w:rPr>
          <w:rFonts w:hint="eastAsia" w:ascii="仿宋" w:hAnsi="仿宋" w:eastAsia="仿宋" w:cs="仿宋"/>
          <w:b w:val="0"/>
          <w:bCs/>
          <w:sz w:val="20"/>
          <w:szCs w:val="20"/>
          <w:lang w:val="en-US" w:eastAsia="zh-CN"/>
        </w:rPr>
        <w:t>4、须具备进口备件的供应能力（提供与本项目维保内容相关配件报关单不少于五份）；维保期内更换的备件为全新合法、合规备件，确保备件质量应符合国家及行业标准。</w:t>
      </w:r>
    </w:p>
    <w:p w14:paraId="3B406310">
      <w:pPr>
        <w:keepNext w:val="0"/>
        <w:keepLines w:val="0"/>
        <w:pageBreakBefore w:val="0"/>
        <w:tabs>
          <w:tab w:val="left" w:pos="0"/>
          <w:tab w:val="center" w:pos="4153"/>
        </w:tabs>
        <w:wordWrap/>
        <w:overflowPunct/>
        <w:topLinePunct w:val="0"/>
        <w:bidi w:val="0"/>
        <w:adjustRightInd/>
        <w:spacing w:line="240" w:lineRule="auto"/>
        <w:rPr>
          <w:rFonts w:hint="eastAsia" w:ascii="仿宋" w:hAnsi="仿宋" w:eastAsia="仿宋" w:cs="仿宋"/>
          <w:sz w:val="20"/>
          <w:szCs w:val="20"/>
          <w:highlight w:val="none"/>
        </w:rPr>
      </w:pPr>
      <w:r>
        <w:rPr>
          <w:rFonts w:hint="eastAsia" w:ascii="仿宋" w:hAnsi="仿宋" w:eastAsia="仿宋" w:cs="仿宋"/>
          <w:b/>
          <w:sz w:val="20"/>
          <w:szCs w:val="20"/>
          <w:highlight w:val="none"/>
        </w:rPr>
        <w:t>九、违约责任</w:t>
      </w:r>
    </w:p>
    <w:p w14:paraId="2929E4E2">
      <w:pPr>
        <w:keepNext w:val="0"/>
        <w:keepLines w:val="0"/>
        <w:pageBreakBefore w:val="0"/>
        <w:tabs>
          <w:tab w:val="left" w:pos="0"/>
          <w:tab w:val="center" w:pos="4153"/>
        </w:tabs>
        <w:wordWrap/>
        <w:overflowPunct/>
        <w:topLinePunct w:val="0"/>
        <w:bidi w:val="0"/>
        <w:adjustRightInd/>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（一）按《中华人民共和国民法典》中的相关条款执行。</w:t>
      </w:r>
    </w:p>
    <w:p w14:paraId="1F905A0A">
      <w:pPr>
        <w:keepNext w:val="0"/>
        <w:keepLines w:val="0"/>
        <w:pageBreakBefore w:val="0"/>
        <w:tabs>
          <w:tab w:val="left" w:pos="0"/>
          <w:tab w:val="center" w:pos="4153"/>
        </w:tabs>
        <w:wordWrap/>
        <w:overflowPunct/>
        <w:topLinePunct w:val="0"/>
        <w:bidi w:val="0"/>
        <w:adjustRightInd/>
        <w:spacing w:line="24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二）乙方未按合同要求提供，质量不能满足技术要求的，甲方有权解除合同（合同自书面解除通知到达乙方之日起解除），乙方赔偿甲方解除合同的全部损失（包括但不限于重新采购产生的费用及其它由此造成的甲方对第三方的违约损失），并按照合同最高执行总价的30%支付违约金，同时按《政府采购法》有关处罚条款报监管机构进行相应的处罚。</w:t>
      </w:r>
    </w:p>
    <w:p w14:paraId="53609BF3">
      <w:pPr>
        <w:keepNext w:val="0"/>
        <w:keepLines w:val="0"/>
        <w:pageBreakBefore w:val="0"/>
        <w:tabs>
          <w:tab w:val="left" w:pos="0"/>
          <w:tab w:val="center" w:pos="4153"/>
        </w:tabs>
        <w:wordWrap/>
        <w:overflowPunct/>
        <w:topLinePunct w:val="0"/>
        <w:bidi w:val="0"/>
        <w:adjustRightInd/>
        <w:spacing w:line="240" w:lineRule="auto"/>
        <w:ind w:firstLine="602"/>
        <w:rPr>
          <w:rFonts w:hint="eastAsia" w:ascii="仿宋" w:hAnsi="仿宋" w:eastAsia="仿宋" w:cs="仿宋"/>
          <w:bCs/>
          <w:kern w:val="36"/>
          <w:sz w:val="20"/>
          <w:szCs w:val="20"/>
        </w:rPr>
      </w:pPr>
      <w:r>
        <w:rPr>
          <w:rFonts w:hint="eastAsia" w:ascii="仿宋" w:hAnsi="仿宋" w:eastAsia="仿宋" w:cs="仿宋"/>
          <w:sz w:val="20"/>
          <w:szCs w:val="20"/>
        </w:rPr>
        <w:t>（三）服务期内，乙方每推迟或未提供服务1天，支付合同最高执行总价的</w:t>
      </w:r>
      <w:bookmarkStart w:id="0" w:name="OLE_LINK1"/>
      <w:r>
        <w:rPr>
          <w:rFonts w:hint="eastAsia" w:ascii="仿宋" w:hAnsi="仿宋" w:eastAsia="仿宋" w:cs="仿宋"/>
          <w:sz w:val="20"/>
          <w:szCs w:val="20"/>
        </w:rPr>
        <w:t>3‰</w:t>
      </w:r>
      <w:bookmarkEnd w:id="0"/>
      <w:r>
        <w:rPr>
          <w:rFonts w:hint="eastAsia" w:ascii="仿宋" w:hAnsi="仿宋" w:eastAsia="仿宋" w:cs="仿宋"/>
          <w:sz w:val="20"/>
          <w:szCs w:val="20"/>
        </w:rPr>
        <w:t>作为违约金。累计超过15天的，视为乙方根本违约，甲方有权单方解除合同（合同自书面解除通知送达乙方之日起解除），乙方应赔偿解除合同给甲方造成的全部损失（包括但不限于重新采购产生的费用、合同未履行导致项目不能按规划提供可能产生的服务费用），</w:t>
      </w:r>
      <w:r>
        <w:rPr>
          <w:rFonts w:hint="eastAsia" w:ascii="仿宋" w:hAnsi="仿宋" w:eastAsia="仿宋" w:cs="仿宋"/>
          <w:bCs/>
          <w:kern w:val="36"/>
          <w:sz w:val="20"/>
          <w:szCs w:val="20"/>
        </w:rPr>
        <w:t>乙方应按照合同最高执行总价的30%承担违约金，若违约金不足以弥补甲方损失的，由乙方另行支付。</w:t>
      </w:r>
    </w:p>
    <w:p w14:paraId="25EE4612">
      <w:pPr>
        <w:keepNext w:val="0"/>
        <w:keepLines w:val="0"/>
        <w:pageBreakBefore w:val="0"/>
        <w:wordWrap/>
        <w:overflowPunct/>
        <w:topLinePunct w:val="0"/>
        <w:bidi w:val="0"/>
        <w:adjustRightInd/>
        <w:spacing w:line="240" w:lineRule="auto"/>
        <w:ind w:firstLine="392" w:firstLineChars="196"/>
        <w:rPr>
          <w:rFonts w:hint="eastAsia" w:ascii="仿宋" w:hAnsi="仿宋" w:eastAsia="仿宋" w:cs="仿宋"/>
          <w:sz w:val="20"/>
          <w:szCs w:val="20"/>
          <w:lang w:val="en-US" w:eastAsia="zh-CN"/>
        </w:rPr>
      </w:pPr>
      <w:r>
        <w:rPr>
          <w:rFonts w:hint="eastAsia" w:ascii="仿宋" w:hAnsi="仿宋" w:eastAsia="仿宋" w:cs="仿宋"/>
          <w:bCs/>
          <w:kern w:val="36"/>
          <w:sz w:val="20"/>
          <w:szCs w:val="20"/>
          <w:lang w:val="en-US" w:eastAsia="zh-CN"/>
        </w:rPr>
        <w:t xml:space="preserve">  (四）服务期内维保设备的年开机率≥98%(按日历天数计算)；自设备报修后开始计时，计算设备停机时间，以此确认设备开机率；年开机率未达98%，停机每超出一天，维修服务合同期限自动延长7天</w:t>
      </w:r>
      <w:r>
        <w:rPr>
          <w:rFonts w:hint="eastAsia" w:ascii="仿宋" w:hAnsi="仿宋" w:eastAsia="仿宋" w:cs="仿宋"/>
          <w:bCs/>
          <w:sz w:val="20"/>
          <w:szCs w:val="20"/>
        </w:rPr>
        <w:t>。</w:t>
      </w:r>
      <w:r>
        <w:rPr>
          <w:rFonts w:hint="eastAsia" w:ascii="仿宋" w:hAnsi="仿宋" w:eastAsia="仿宋" w:cs="仿宋"/>
          <w:sz w:val="20"/>
          <w:szCs w:val="20"/>
        </w:rPr>
        <w:t>当设备开机率低于85%时视为乙方违约，甲方有权解除合同，自甲方书面解除合同通知到达乙方之日起，视为合同解除。</w:t>
      </w:r>
    </w:p>
    <w:p w14:paraId="4F5F13C5">
      <w:pPr>
        <w:keepNext w:val="0"/>
        <w:keepLines w:val="0"/>
        <w:pageBreakBefore w:val="0"/>
        <w:tabs>
          <w:tab w:val="left" w:pos="0"/>
          <w:tab w:val="center" w:pos="4153"/>
        </w:tabs>
        <w:wordWrap/>
        <w:overflowPunct/>
        <w:topLinePunct w:val="0"/>
        <w:bidi w:val="0"/>
        <w:adjustRightInd/>
        <w:spacing w:line="240" w:lineRule="auto"/>
        <w:rPr>
          <w:rFonts w:hint="eastAsia" w:ascii="仿宋" w:hAnsi="仿宋" w:eastAsia="仿宋" w:cs="仿宋"/>
          <w:b/>
          <w:sz w:val="20"/>
          <w:szCs w:val="20"/>
        </w:rPr>
      </w:pPr>
      <w:r>
        <w:rPr>
          <w:rFonts w:hint="eastAsia" w:ascii="仿宋" w:hAnsi="仿宋" w:eastAsia="仿宋" w:cs="仿宋"/>
          <w:b/>
          <w:sz w:val="20"/>
          <w:szCs w:val="20"/>
        </w:rPr>
        <w:t>十、合同争议的解决</w:t>
      </w:r>
    </w:p>
    <w:p w14:paraId="7CAA0868">
      <w:pPr>
        <w:pStyle w:val="4"/>
        <w:keepNext w:val="0"/>
        <w:keepLines w:val="0"/>
        <w:pageBreakBefore w:val="0"/>
        <w:wordWrap/>
        <w:overflowPunct/>
        <w:topLinePunct w:val="0"/>
        <w:bidi w:val="0"/>
        <w:adjustRightInd/>
        <w:spacing w:line="240" w:lineRule="auto"/>
        <w:ind w:firstLine="362" w:firstLineChars="181"/>
        <w:rPr>
          <w:rFonts w:hint="eastAsia" w:ascii="仿宋" w:hAnsi="仿宋" w:eastAsia="仿宋" w:cs="仿宋"/>
          <w:bCs/>
          <w:sz w:val="20"/>
          <w:szCs w:val="20"/>
        </w:rPr>
      </w:pPr>
      <w:r>
        <w:rPr>
          <w:rFonts w:hint="eastAsia" w:ascii="仿宋" w:hAnsi="仿宋" w:eastAsia="仿宋" w:cs="仿宋"/>
          <w:bCs/>
          <w:sz w:val="20"/>
          <w:szCs w:val="20"/>
        </w:rPr>
        <w:t>合同执行中发生争议的，当事人双方应协商解决，无法协商或协商达不成一致时，双方均有权向甲方住所地人民法院提请诉讼。</w:t>
      </w:r>
    </w:p>
    <w:p w14:paraId="6E68016D">
      <w:pPr>
        <w:keepNext w:val="0"/>
        <w:keepLines w:val="0"/>
        <w:pageBreakBefore w:val="0"/>
        <w:wordWrap/>
        <w:overflowPunct/>
        <w:topLinePunct w:val="0"/>
        <w:bidi w:val="0"/>
        <w:adjustRightInd/>
        <w:spacing w:line="240" w:lineRule="auto"/>
        <w:outlineLvl w:val="9"/>
        <w:rPr>
          <w:rFonts w:hint="eastAsia" w:ascii="仿宋" w:hAnsi="仿宋" w:eastAsia="仿宋" w:cs="仿宋"/>
          <w:b/>
          <w:sz w:val="20"/>
          <w:szCs w:val="20"/>
        </w:rPr>
      </w:pPr>
      <w:r>
        <w:rPr>
          <w:rFonts w:hint="eastAsia" w:ascii="仿宋" w:hAnsi="仿宋" w:eastAsia="仿宋" w:cs="仿宋"/>
          <w:b/>
          <w:sz w:val="20"/>
          <w:szCs w:val="20"/>
        </w:rPr>
        <w:t>十一、合同生效</w:t>
      </w:r>
    </w:p>
    <w:p w14:paraId="48D73972">
      <w:pPr>
        <w:keepNext w:val="0"/>
        <w:keepLines w:val="0"/>
        <w:pageBreakBefore w:val="0"/>
        <w:wordWrap/>
        <w:overflowPunct/>
        <w:topLinePunct w:val="0"/>
        <w:bidi w:val="0"/>
        <w:adjustRightInd/>
        <w:spacing w:line="240" w:lineRule="auto"/>
        <w:ind w:firstLine="400" w:firstLineChars="200"/>
        <w:outlineLvl w:val="9"/>
        <w:rPr>
          <w:rFonts w:hint="eastAsia" w:ascii="仿宋" w:hAnsi="仿宋" w:eastAsia="仿宋" w:cs="仿宋"/>
          <w:bCs/>
          <w:sz w:val="20"/>
          <w:szCs w:val="20"/>
        </w:rPr>
      </w:pPr>
      <w:r>
        <w:rPr>
          <w:rFonts w:hint="eastAsia" w:ascii="仿宋" w:hAnsi="仿宋" w:eastAsia="仿宋" w:cs="仿宋"/>
          <w:bCs/>
          <w:sz w:val="20"/>
          <w:szCs w:val="20"/>
        </w:rPr>
        <w:t>合同一式八份，甲方五份、乙方三份，均具有同等法律效力。合同经甲方、乙方、鉴证方签字盖章后生效，合同执行完毕后，自动终止（合同的服务承诺则长期有效）。</w:t>
      </w:r>
    </w:p>
    <w:p w14:paraId="1A982D14">
      <w:pPr>
        <w:keepNext w:val="0"/>
        <w:keepLines w:val="0"/>
        <w:pageBreakBefore w:val="0"/>
        <w:wordWrap/>
        <w:overflowPunct/>
        <w:topLinePunct w:val="0"/>
        <w:bidi w:val="0"/>
        <w:adjustRightInd/>
        <w:spacing w:line="240" w:lineRule="auto"/>
        <w:outlineLvl w:val="9"/>
        <w:rPr>
          <w:rFonts w:hint="eastAsia" w:ascii="仿宋" w:hAnsi="仿宋" w:eastAsia="仿宋" w:cs="仿宋"/>
          <w:b/>
          <w:sz w:val="20"/>
          <w:szCs w:val="20"/>
        </w:rPr>
      </w:pPr>
      <w:r>
        <w:rPr>
          <w:rFonts w:hint="eastAsia" w:ascii="仿宋" w:hAnsi="仿宋" w:eastAsia="仿宋" w:cs="仿宋"/>
          <w:b/>
          <w:sz w:val="20"/>
          <w:szCs w:val="20"/>
        </w:rPr>
        <w:t>十二、其他事项</w:t>
      </w:r>
    </w:p>
    <w:p w14:paraId="4DF6D5EC">
      <w:pPr>
        <w:keepNext w:val="0"/>
        <w:keepLines w:val="0"/>
        <w:pageBreakBefore w:val="0"/>
        <w:tabs>
          <w:tab w:val="left" w:pos="480"/>
        </w:tabs>
        <w:wordWrap/>
        <w:overflowPunct/>
        <w:topLinePunct w:val="0"/>
        <w:bidi w:val="0"/>
        <w:adjustRightInd/>
        <w:spacing w:line="240" w:lineRule="auto"/>
        <w:ind w:firstLine="400" w:firstLineChars="200"/>
        <w:rPr>
          <w:rFonts w:hint="eastAsia" w:ascii="仿宋" w:hAnsi="仿宋" w:eastAsia="仿宋" w:cs="仿宋"/>
          <w:bCs/>
          <w:sz w:val="20"/>
          <w:szCs w:val="20"/>
        </w:rPr>
      </w:pPr>
      <w:r>
        <w:rPr>
          <w:rFonts w:hint="eastAsia" w:ascii="仿宋" w:hAnsi="仿宋" w:eastAsia="仿宋" w:cs="仿宋"/>
          <w:bCs/>
          <w:sz w:val="20"/>
          <w:szCs w:val="20"/>
        </w:rPr>
        <w:t>（一）磋商文件、磋商响应文件、澄清表（函）、成交通知书、合同附件均成为合同不可分割的部分，与本合同具有同等法律效力。</w:t>
      </w:r>
    </w:p>
    <w:p w14:paraId="6F0DC764">
      <w:pPr>
        <w:keepNext w:val="0"/>
        <w:keepLines w:val="0"/>
        <w:pageBreakBefore w:val="0"/>
        <w:tabs>
          <w:tab w:val="left" w:pos="480"/>
        </w:tabs>
        <w:wordWrap/>
        <w:overflowPunct/>
        <w:topLinePunct w:val="0"/>
        <w:bidi w:val="0"/>
        <w:adjustRightInd/>
        <w:spacing w:line="240" w:lineRule="auto"/>
        <w:ind w:firstLine="400" w:firstLineChars="200"/>
        <w:rPr>
          <w:rFonts w:hint="eastAsia" w:ascii="仿宋" w:hAnsi="仿宋" w:eastAsia="仿宋" w:cs="仿宋"/>
          <w:bCs/>
          <w:sz w:val="20"/>
          <w:szCs w:val="20"/>
        </w:rPr>
      </w:pPr>
      <w:r>
        <w:rPr>
          <w:rFonts w:hint="eastAsia" w:ascii="仿宋" w:hAnsi="仿宋" w:eastAsia="仿宋" w:cs="仿宋"/>
          <w:bCs/>
          <w:sz w:val="20"/>
          <w:szCs w:val="20"/>
        </w:rPr>
        <w:t>（二）合同未尽事宜，由甲、乙双方协商签订补充协议，作为合同的补充，与原合同具有同等法律效力，补充协议与原协议不一致的，以补充协议为准。</w:t>
      </w:r>
    </w:p>
    <w:p w14:paraId="5DD77A36">
      <w:pPr>
        <w:keepNext w:val="0"/>
        <w:keepLines w:val="0"/>
        <w:pageBreakBefore w:val="0"/>
        <w:tabs>
          <w:tab w:val="left" w:pos="480"/>
        </w:tabs>
        <w:wordWrap/>
        <w:overflowPunct/>
        <w:topLinePunct w:val="0"/>
        <w:bidi w:val="0"/>
        <w:adjustRightInd/>
        <w:spacing w:line="240" w:lineRule="auto"/>
        <w:ind w:firstLine="400" w:firstLineChars="200"/>
        <w:rPr>
          <w:rFonts w:hint="eastAsia" w:ascii="仿宋" w:hAnsi="仿宋" w:eastAsia="仿宋" w:cs="仿宋"/>
          <w:bCs/>
          <w:sz w:val="20"/>
          <w:szCs w:val="20"/>
        </w:rPr>
      </w:pPr>
      <w:r>
        <w:rPr>
          <w:rFonts w:hint="eastAsia" w:ascii="仿宋" w:hAnsi="仿宋" w:eastAsia="仿宋" w:cs="仿宋"/>
          <w:bCs/>
          <w:sz w:val="20"/>
          <w:szCs w:val="20"/>
        </w:rPr>
        <w:t>（以下无正文）</w:t>
      </w:r>
    </w:p>
    <w:p w14:paraId="776F09D1">
      <w:pPr>
        <w:keepNext w:val="0"/>
        <w:keepLines w:val="0"/>
        <w:pageBreakBefore w:val="0"/>
        <w:tabs>
          <w:tab w:val="left" w:pos="480"/>
        </w:tabs>
        <w:wordWrap/>
        <w:overflowPunct/>
        <w:topLinePunct w:val="0"/>
        <w:bidi w:val="0"/>
        <w:adjustRightInd/>
        <w:spacing w:line="240" w:lineRule="auto"/>
        <w:rPr>
          <w:rFonts w:hint="eastAsia" w:ascii="仿宋" w:hAnsi="仿宋" w:eastAsia="仿宋" w:cs="仿宋"/>
          <w:sz w:val="20"/>
          <w:szCs w:val="20"/>
        </w:rPr>
      </w:pPr>
    </w:p>
    <w:p w14:paraId="6DC208B5">
      <w:pPr>
        <w:keepNext w:val="0"/>
        <w:keepLines w:val="0"/>
        <w:pageBreakBefore w:val="0"/>
        <w:tabs>
          <w:tab w:val="left" w:pos="480"/>
        </w:tabs>
        <w:wordWrap/>
        <w:overflowPunct/>
        <w:topLinePunct w:val="0"/>
        <w:bidi w:val="0"/>
        <w:adjustRightInd/>
        <w:spacing w:line="240" w:lineRule="auto"/>
        <w:rPr>
          <w:rFonts w:hint="eastAsia" w:ascii="仿宋" w:hAnsi="仿宋" w:eastAsia="仿宋" w:cs="仿宋"/>
          <w:sz w:val="20"/>
          <w:szCs w:val="20"/>
        </w:rPr>
      </w:pPr>
      <w:r>
        <w:rPr>
          <w:rFonts w:hint="eastAsia" w:ascii="仿宋" w:hAnsi="仿宋" w:eastAsia="仿宋" w:cs="仿宋"/>
          <w:sz w:val="20"/>
          <w:szCs w:val="20"/>
        </w:rPr>
        <w:t>甲  方（单位公章）                    乙  方（单位公章）</w:t>
      </w:r>
    </w:p>
    <w:p w14:paraId="79165AF6">
      <w:pPr>
        <w:keepNext w:val="0"/>
        <w:keepLines w:val="0"/>
        <w:pageBreakBefore w:val="0"/>
        <w:tabs>
          <w:tab w:val="left" w:pos="480"/>
        </w:tabs>
        <w:wordWrap/>
        <w:overflowPunct/>
        <w:topLinePunct w:val="0"/>
        <w:bidi w:val="0"/>
        <w:adjustRightInd/>
        <w:spacing w:line="240" w:lineRule="auto"/>
        <w:ind w:left="4440" w:hanging="3700" w:hangingChars="1850"/>
        <w:rPr>
          <w:rFonts w:hint="eastAsia" w:ascii="仿宋" w:hAnsi="仿宋" w:eastAsia="仿宋" w:cs="仿宋"/>
          <w:sz w:val="20"/>
          <w:szCs w:val="20"/>
        </w:rPr>
      </w:pPr>
      <w:r>
        <w:rPr>
          <w:rFonts w:hint="eastAsia" w:ascii="仿宋" w:hAnsi="仿宋" w:eastAsia="仿宋" w:cs="仿宋"/>
          <w:sz w:val="20"/>
          <w:szCs w:val="20"/>
        </w:rPr>
        <w:t>单位名称：                            单位名称：</w:t>
      </w:r>
    </w:p>
    <w:p w14:paraId="525AE257">
      <w:pPr>
        <w:keepNext w:val="0"/>
        <w:keepLines w:val="0"/>
        <w:pageBreakBefore w:val="0"/>
        <w:tabs>
          <w:tab w:val="left" w:pos="480"/>
        </w:tabs>
        <w:wordWrap/>
        <w:overflowPunct/>
        <w:topLinePunct w:val="0"/>
        <w:bidi w:val="0"/>
        <w:adjustRightInd/>
        <w:spacing w:line="240" w:lineRule="auto"/>
        <w:rPr>
          <w:rFonts w:hint="eastAsia" w:ascii="仿宋" w:hAnsi="仿宋" w:eastAsia="仿宋" w:cs="仿宋"/>
          <w:sz w:val="20"/>
          <w:szCs w:val="20"/>
        </w:rPr>
      </w:pPr>
      <w:r>
        <w:rPr>
          <w:rFonts w:hint="eastAsia" w:ascii="仿宋" w:hAnsi="仿宋" w:eastAsia="仿宋" w:cs="仿宋"/>
          <w:sz w:val="20"/>
          <w:szCs w:val="20"/>
        </w:rPr>
        <w:t>地  址：                              地  址：</w:t>
      </w:r>
    </w:p>
    <w:p w14:paraId="5810FCF3">
      <w:pPr>
        <w:keepNext w:val="0"/>
        <w:keepLines w:val="0"/>
        <w:pageBreakBefore w:val="0"/>
        <w:tabs>
          <w:tab w:val="left" w:pos="480"/>
        </w:tabs>
        <w:wordWrap/>
        <w:overflowPunct/>
        <w:topLinePunct w:val="0"/>
        <w:bidi w:val="0"/>
        <w:adjustRightInd/>
        <w:spacing w:line="240" w:lineRule="auto"/>
        <w:rPr>
          <w:rFonts w:hint="eastAsia" w:ascii="仿宋" w:hAnsi="仿宋" w:eastAsia="仿宋" w:cs="仿宋"/>
          <w:sz w:val="20"/>
          <w:szCs w:val="20"/>
        </w:rPr>
      </w:pPr>
      <w:r>
        <w:rPr>
          <w:rFonts w:hint="eastAsia" w:ascii="仿宋" w:hAnsi="仿宋" w:eastAsia="仿宋" w:cs="仿宋"/>
          <w:sz w:val="20"/>
          <w:szCs w:val="20"/>
        </w:rPr>
        <w:t>法定代表人：                          法定代表人：</w:t>
      </w:r>
    </w:p>
    <w:p w14:paraId="1912A81C">
      <w:pPr>
        <w:keepNext w:val="0"/>
        <w:keepLines w:val="0"/>
        <w:pageBreakBefore w:val="0"/>
        <w:tabs>
          <w:tab w:val="left" w:pos="480"/>
        </w:tabs>
        <w:wordWrap/>
        <w:overflowPunct/>
        <w:topLinePunct w:val="0"/>
        <w:bidi w:val="0"/>
        <w:adjustRightInd/>
        <w:spacing w:line="240" w:lineRule="auto"/>
        <w:rPr>
          <w:rFonts w:hint="eastAsia" w:ascii="仿宋" w:hAnsi="仿宋" w:eastAsia="仿宋" w:cs="仿宋"/>
          <w:sz w:val="20"/>
          <w:szCs w:val="20"/>
        </w:rPr>
      </w:pPr>
    </w:p>
    <w:p w14:paraId="2A87E464">
      <w:pPr>
        <w:keepNext w:val="0"/>
        <w:keepLines w:val="0"/>
        <w:pageBreakBefore w:val="0"/>
        <w:widowControl/>
        <w:wordWrap/>
        <w:overflowPunct/>
        <w:topLinePunct w:val="0"/>
        <w:autoSpaceDE w:val="0"/>
        <w:autoSpaceDN w:val="0"/>
        <w:bidi w:val="0"/>
        <w:adjustRightInd/>
        <w:snapToGrid w:val="0"/>
        <w:spacing w:line="240" w:lineRule="auto"/>
        <w:ind w:right="-154"/>
        <w:textAlignment w:val="bottom"/>
        <w:rPr>
          <w:rFonts w:hint="eastAsia" w:ascii="仿宋" w:hAnsi="仿宋" w:eastAsia="仿宋" w:cs="仿宋"/>
          <w:sz w:val="20"/>
          <w:szCs w:val="20"/>
        </w:rPr>
      </w:pPr>
      <w:r>
        <w:rPr>
          <w:rFonts w:hint="eastAsia" w:ascii="仿宋" w:hAnsi="仿宋" w:eastAsia="仿宋" w:cs="仿宋"/>
          <w:sz w:val="20"/>
          <w:szCs w:val="20"/>
        </w:rPr>
        <w:t>联系电话：                            开户银行：</w:t>
      </w:r>
    </w:p>
    <w:p w14:paraId="4390F00C">
      <w:pPr>
        <w:keepNext w:val="0"/>
        <w:keepLines w:val="0"/>
        <w:pageBreakBefore w:val="0"/>
        <w:tabs>
          <w:tab w:val="left" w:pos="480"/>
        </w:tabs>
        <w:wordWrap/>
        <w:overflowPunct/>
        <w:topLinePunct w:val="0"/>
        <w:bidi w:val="0"/>
        <w:adjustRightInd/>
        <w:spacing w:line="240" w:lineRule="auto"/>
        <w:ind w:right="-720" w:rightChars="-343"/>
        <w:rPr>
          <w:rFonts w:hint="eastAsia" w:ascii="仿宋" w:hAnsi="仿宋" w:eastAsia="仿宋" w:cs="仿宋"/>
          <w:kern w:val="0"/>
          <w:sz w:val="20"/>
          <w:szCs w:val="20"/>
        </w:rPr>
      </w:pPr>
      <w:r>
        <w:rPr>
          <w:rFonts w:hint="eastAsia" w:ascii="仿宋" w:hAnsi="仿宋" w:eastAsia="仿宋" w:cs="仿宋"/>
          <w:sz w:val="20"/>
          <w:szCs w:val="20"/>
        </w:rPr>
        <w:t xml:space="preserve">                                      帐    号：</w:t>
      </w:r>
    </w:p>
    <w:p w14:paraId="481AC27A">
      <w:pPr>
        <w:keepNext w:val="0"/>
        <w:keepLines w:val="0"/>
        <w:pageBreakBefore w:val="0"/>
        <w:widowControl/>
        <w:wordWrap/>
        <w:overflowPunct/>
        <w:topLinePunct w:val="0"/>
        <w:autoSpaceDE w:val="0"/>
        <w:autoSpaceDN w:val="0"/>
        <w:bidi w:val="0"/>
        <w:adjustRightInd/>
        <w:snapToGrid w:val="0"/>
        <w:spacing w:line="240" w:lineRule="auto"/>
        <w:ind w:right="-154"/>
        <w:textAlignment w:val="bottom"/>
        <w:rPr>
          <w:rFonts w:hint="eastAsia" w:ascii="仿宋" w:hAnsi="仿宋" w:eastAsia="仿宋" w:cs="仿宋"/>
          <w:kern w:val="0"/>
          <w:sz w:val="20"/>
          <w:szCs w:val="20"/>
        </w:rPr>
      </w:pPr>
      <w:r>
        <w:rPr>
          <w:rFonts w:hint="eastAsia" w:ascii="仿宋" w:hAnsi="仿宋" w:eastAsia="仿宋" w:cs="仿宋"/>
          <w:sz w:val="20"/>
          <w:szCs w:val="20"/>
        </w:rPr>
        <w:t xml:space="preserve">                                      联系电话：</w:t>
      </w:r>
    </w:p>
    <w:p w14:paraId="7A4D602E">
      <w:r>
        <w:rPr>
          <w:rFonts w:hint="eastAsia" w:ascii="仿宋" w:hAnsi="仿宋" w:eastAsia="仿宋" w:cs="仿宋"/>
          <w:sz w:val="20"/>
          <w:szCs w:val="20"/>
        </w:rPr>
        <w:t>签订日期：   年  月  日               签订日期：    年  月   日</w:t>
      </w:r>
      <w:bookmarkStart w:id="1" w:name="_GoBack"/>
      <w:bookmarkEnd w:id="1"/>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7DFE56B4"/>
    <w:multiLevelType w:val="multilevel"/>
    <w:tmpl w:val="7DFE56B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C112BE"/>
    <w:rsid w:val="0D5F6D00"/>
    <w:rsid w:val="1E4F4D7F"/>
    <w:rsid w:val="3E710F2E"/>
    <w:rsid w:val="707C7171"/>
    <w:rsid w:val="7AC11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numPr>
        <w:ilvl w:val="3"/>
        <w:numId w:val="1"/>
      </w:numPr>
      <w:spacing w:line="460" w:lineRule="exact"/>
    </w:pPr>
    <w:rPr>
      <w:rFonts w:cs="Times New Roman"/>
      <w:szCs w:val="16"/>
    </w:rPr>
  </w:style>
  <w:style w:type="paragraph" w:styleId="3">
    <w:name w:val="Body Text 2"/>
    <w:basedOn w:val="1"/>
    <w:qFormat/>
    <w:uiPriority w:val="0"/>
    <w:pPr>
      <w:widowControl w:val="0"/>
      <w:spacing w:after="0" w:line="360" w:lineRule="auto"/>
      <w:jc w:val="both"/>
    </w:pPr>
    <w:rPr>
      <w:rFonts w:ascii="幼圆" w:hAnsi="Times New Roman" w:eastAsia="幼圆" w:cs="Times New Roman"/>
      <w:kern w:val="2"/>
      <w:sz w:val="24"/>
      <w:u w:val="single"/>
      <w:lang w:val="en-US" w:eastAsia="zh-CN" w:bidi="ar-SA"/>
    </w:rPr>
  </w:style>
  <w:style w:type="paragraph" w:styleId="4">
    <w:name w:val="Normal Indent"/>
    <w:basedOn w:val="1"/>
    <w:qFormat/>
    <w:uiPriority w:val="99"/>
    <w:pPr>
      <w:ind w:firstLine="420"/>
    </w:pPr>
  </w:style>
  <w:style w:type="paragraph" w:styleId="5">
    <w:name w:val="annotation text"/>
    <w:basedOn w:val="1"/>
    <w:qFormat/>
    <w:uiPriority w:val="0"/>
    <w:pPr>
      <w:jc w:val="left"/>
    </w:p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styleId="10">
    <w:name w:val="List Paragraph"/>
    <w:basedOn w:val="1"/>
    <w:autoRedefine/>
    <w:qFormat/>
    <w:uiPriority w:val="34"/>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2025-01-06T08:45:00Z</dcterms:created>
  <dc:creator>陕西中技招标有限公司</dc:creator>
  <cp:lastModifiedBy>陕西中技招标有限公司</cp:lastModifiedBy>
  <dcterms:modified xsi:type="dcterms:W3CDTF">2025-06-11T03:54:52Z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8573BC1919684FBA9BE4CF6853AF4183_11</vt:lpwstr>
  </property>
  <property fmtid="{D5CDD505-2E9C-101B-9397-08002B2CF9AE}" pid="4" name="KSOTemplateDocerSaveRecord">
    <vt:lpwstr>eyJoZGlkIjoiZTg0ODc1OWRkZTEyNzkyOTU3NDAwNWM1NzIwYzdiNDYiLCJ1c2VySWQiOiI0ODM0NjExNDgifQ==</vt:lpwstr>
  </property>
</Properties>
</file>