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版本号：SXWZ2025ZB-BLZX-13420250610001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欧亚经济论坛上合国家经贸交流活动项目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SXWZ2025ZB-BLZX-134</w:t>
      </w:r>
      <w:r>
        <w:br/>
      </w:r>
      <w:r>
        <w:br/>
      </w:r>
      <w:r>
        <w:br/>
      </w:r>
    </w:p>
    <w:p>
      <w:pPr>
        <w:pStyle w:val="null3"/>
        <w:jc w:val="center"/>
        <w:outlineLvl w:val="2"/>
      </w:pPr>
      <w:r>
        <w:rPr>
          <w:rFonts w:ascii="仿宋_GB2312" w:hAnsi="仿宋_GB2312" w:cs="仿宋_GB2312" w:eastAsia="仿宋_GB2312"/>
          <w:sz w:val="28"/>
          <w:b/>
        </w:rPr>
        <w:t>西安市博览事务中心</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西安市博览事务中心</w:t>
      </w:r>
      <w:r>
        <w:rPr>
          <w:rFonts w:ascii="仿宋_GB2312" w:hAnsi="仿宋_GB2312" w:cs="仿宋_GB2312" w:eastAsia="仿宋_GB2312"/>
        </w:rPr>
        <w:t>委托，拟对</w:t>
      </w:r>
      <w:r>
        <w:rPr>
          <w:rFonts w:ascii="仿宋_GB2312" w:hAnsi="仿宋_GB2312" w:cs="仿宋_GB2312" w:eastAsia="仿宋_GB2312"/>
        </w:rPr>
        <w:t>欧亚经济论坛上合国家经贸交流活动项目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SXWZ2025ZB-BLZX-134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欧亚经济论坛上合国家经贸交流活动项目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欧亚经济论坛上合国家经贸交流活动项目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采购包1（欧亚经济论坛上合国家经贸交流活动项目）：属于专门面向中小企业采购。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西安市博览事务中心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同老师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029-87222572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西安市博览事务中心</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西安市博览事务中心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西安市博览事务中心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w:t>
      </w:r>
    </w:p>
    <w:p>
      <w:pPr>
        <w:pStyle w:val="null3"/>
      </w:pPr>
      <w:r>
        <w:rPr>
          <w:rFonts w:ascii="仿宋_GB2312" w:hAnsi="仿宋_GB2312" w:cs="仿宋_GB2312" w:eastAsia="仿宋_GB2312"/>
        </w:rPr>
        <w:t>联系电话：029-88319689</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欧亚经济论坛上合国家经贸交流活动项目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欧亚经济论坛上合国家经贸交流活动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标的名称：欧亚经济论坛上合国家经贸交流活动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color w:val="000000"/>
              </w:rPr>
              <w:t>2025欧亚经济论坛拟于9月举办，欧亚经济论坛上合国家经贸交流活动作为论坛框架下的活动，将与论坛同期举办，依托欧亚经济论坛平台，利用论坛国际影响力，采取“对接活动+实地走访+体验感受”的模式，通过不断扩大西安国际贸易朋友圈，深入拓展西安国际贸易市场，打造经贸活动交流专业平台，助力地方经济发展。</w:t>
            </w:r>
          </w:p>
          <w:p>
            <w:pPr>
              <w:pStyle w:val="null3"/>
              <w:jc w:val="both"/>
            </w:pPr>
            <w:r>
              <w:rPr>
                <w:rFonts w:ascii="仿宋_GB2312" w:hAnsi="仿宋_GB2312" w:cs="仿宋_GB2312" w:eastAsia="仿宋_GB2312"/>
                <w:sz w:val="20"/>
              </w:rPr>
              <w:t>二、项目内容</w:t>
            </w:r>
          </w:p>
          <w:p>
            <w:pPr>
              <w:pStyle w:val="null3"/>
              <w:ind w:firstLine="400"/>
              <w:jc w:val="both"/>
            </w:pPr>
            <w:r>
              <w:rPr>
                <w:rFonts w:ascii="仿宋_GB2312" w:hAnsi="仿宋_GB2312" w:cs="仿宋_GB2312" w:eastAsia="仿宋_GB2312"/>
                <w:sz w:val="20"/>
                <w:color w:val="000000"/>
              </w:rPr>
              <w:t>（一）经贸活动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1"/>
              </w:rPr>
              <w:t>★</w:t>
            </w:r>
            <w:r>
              <w:rPr>
                <w:rFonts w:ascii="仿宋_GB2312" w:hAnsi="仿宋_GB2312" w:cs="仿宋_GB2312" w:eastAsia="仿宋_GB2312"/>
                <w:sz w:val="20"/>
                <w:b/>
                <w:color w:val="000000"/>
              </w:rPr>
              <w:t>供应商</w:t>
            </w:r>
            <w:r>
              <w:rPr>
                <w:rFonts w:ascii="仿宋_GB2312" w:hAnsi="仿宋_GB2312" w:cs="仿宋_GB2312" w:eastAsia="仿宋_GB2312"/>
                <w:sz w:val="20"/>
                <w:b/>
                <w:color w:val="000000"/>
              </w:rPr>
              <w:t>投标时</w:t>
            </w:r>
            <w:r>
              <w:rPr>
                <w:rFonts w:ascii="仿宋_GB2312" w:hAnsi="仿宋_GB2312" w:cs="仿宋_GB2312" w:eastAsia="仿宋_GB2312"/>
                <w:sz w:val="20"/>
                <w:b/>
                <w:color w:val="000000"/>
              </w:rPr>
              <w:t>需提供</w:t>
            </w:r>
            <w:r>
              <w:rPr>
                <w:rFonts w:ascii="仿宋_GB2312" w:hAnsi="仿宋_GB2312" w:cs="仿宋_GB2312" w:eastAsia="仿宋_GB2312"/>
                <w:sz w:val="20"/>
                <w:b/>
                <w:color w:val="000000"/>
              </w:rPr>
              <w:t>以下</w:t>
            </w:r>
            <w:r>
              <w:rPr>
                <w:rFonts w:ascii="仿宋_GB2312" w:hAnsi="仿宋_GB2312" w:cs="仿宋_GB2312" w:eastAsia="仿宋_GB2312"/>
                <w:sz w:val="20"/>
                <w:b/>
                <w:color w:val="000000"/>
              </w:rPr>
              <w:t>8场活动</w:t>
            </w:r>
            <w:r>
              <w:rPr>
                <w:rFonts w:ascii="仿宋_GB2312" w:hAnsi="仿宋_GB2312" w:cs="仿宋_GB2312" w:eastAsia="仿宋_GB2312"/>
                <w:sz w:val="20"/>
                <w:b/>
                <w:color w:val="000000"/>
              </w:rPr>
              <w:t>举办方案，</w:t>
            </w:r>
            <w:r>
              <w:rPr>
                <w:rFonts w:ascii="仿宋_GB2312" w:hAnsi="仿宋_GB2312" w:cs="仿宋_GB2312" w:eastAsia="仿宋_GB2312"/>
                <w:sz w:val="20"/>
                <w:b/>
                <w:color w:val="000000"/>
              </w:rPr>
              <w:t>同时响应举办活动场次不低于</w:t>
            </w:r>
            <w:r>
              <w:rPr>
                <w:rFonts w:ascii="仿宋_GB2312" w:hAnsi="仿宋_GB2312" w:cs="仿宋_GB2312" w:eastAsia="仿宋_GB2312"/>
                <w:sz w:val="20"/>
                <w:b/>
                <w:color w:val="000000"/>
              </w:rPr>
              <w:t>3场，主题由采购人自行选择。</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1.中俄中小企业实业经贸活动</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依托我市外贸、农业领域强区县，邀请俄罗斯政要，俄方企业代表等，开展实地参观考察、搭建面对面交流的平台，让双方代表能够坦诚地交换意见、分享经验、传递信息、探讨合作，为中俄双边贸易注入源源不断的动力，推动两国贸易关系迈向新的高度。</w:t>
            </w:r>
          </w:p>
          <w:p>
            <w:pPr>
              <w:pStyle w:val="null3"/>
              <w:jc w:val="both"/>
            </w:pPr>
            <w:r>
              <w:rPr>
                <w:rFonts w:ascii="仿宋_GB2312" w:hAnsi="仿宋_GB2312" w:cs="仿宋_GB2312" w:eastAsia="仿宋_GB2312"/>
                <w:sz w:val="20"/>
                <w:b/>
                <w:color w:val="000000"/>
              </w:rPr>
              <w:t>2.促进消费类经贸活动</w:t>
            </w:r>
          </w:p>
          <w:p>
            <w:pPr>
              <w:pStyle w:val="null3"/>
              <w:ind w:firstLine="623"/>
              <w:jc w:val="both"/>
            </w:pPr>
            <w:r>
              <w:rPr>
                <w:rFonts w:ascii="仿宋_GB2312" w:hAnsi="仿宋_GB2312" w:cs="仿宋_GB2312" w:eastAsia="仿宋_GB2312"/>
                <w:sz w:val="20"/>
                <w:color w:val="000000"/>
              </w:rPr>
              <w:t>依托本地小商品集散地、直播基地、商业综合体、文创公司等地区，邀请国外品牌商、国外知名设计公司代表与本地文创机构、国内知名主播团队进行合作洽谈，通过举办首发矩阵活动、产品设计交流、主播直播带货等模式，开展跨境电商商贸，促成双边贸易，达成合作协议，促进地区经济高质量发展。</w:t>
            </w:r>
          </w:p>
          <w:p>
            <w:pPr>
              <w:pStyle w:val="null3"/>
              <w:jc w:val="both"/>
            </w:pPr>
            <w:r>
              <w:rPr>
                <w:rFonts w:ascii="仿宋_GB2312" w:hAnsi="仿宋_GB2312" w:cs="仿宋_GB2312" w:eastAsia="仿宋_GB2312"/>
                <w:sz w:val="20"/>
                <w:b/>
                <w:color w:val="000000"/>
              </w:rPr>
              <w:t>3.产业园建设类经贸活动</w:t>
            </w:r>
          </w:p>
          <w:p>
            <w:pPr>
              <w:pStyle w:val="null3"/>
              <w:ind w:firstLine="623"/>
              <w:jc w:val="both"/>
            </w:pPr>
            <w:r>
              <w:rPr>
                <w:rFonts w:ascii="仿宋_GB2312" w:hAnsi="仿宋_GB2312" w:cs="仿宋_GB2312" w:eastAsia="仿宋_GB2312"/>
                <w:sz w:val="20"/>
                <w:color w:val="000000"/>
              </w:rPr>
              <w:t>依托本地高科技、高质量产业园区等地区，邀请国外科技领域的高端人才、专家团队与国内企业、高校科研团队，重点在人才兼职、项目合作、共建研发中心等领域开展合作，通过人才、技术交流合作，提升西安科技研发水平，助力本地企业攻克技术难关，开拓国际科技合作新局面。</w:t>
            </w:r>
          </w:p>
          <w:p>
            <w:pPr>
              <w:pStyle w:val="null3"/>
              <w:jc w:val="both"/>
            </w:pPr>
            <w:r>
              <w:rPr>
                <w:rFonts w:ascii="仿宋_GB2312" w:hAnsi="仿宋_GB2312" w:cs="仿宋_GB2312" w:eastAsia="仿宋_GB2312"/>
                <w:sz w:val="20"/>
                <w:b/>
                <w:color w:val="000000"/>
              </w:rPr>
              <w:t>4.新能源推广类经贸活动</w:t>
            </w:r>
          </w:p>
          <w:p>
            <w:pPr>
              <w:pStyle w:val="null3"/>
              <w:ind w:firstLine="623"/>
              <w:jc w:val="both"/>
            </w:pPr>
            <w:r>
              <w:rPr>
                <w:rFonts w:ascii="仿宋_GB2312" w:hAnsi="仿宋_GB2312" w:cs="仿宋_GB2312" w:eastAsia="仿宋_GB2312"/>
                <w:sz w:val="20"/>
                <w:color w:val="000000"/>
              </w:rPr>
              <w:t>依托本地新能源企业、新能源项目、新能源产业园区等地区，搭建</w:t>
            </w:r>
            <w:r>
              <w:rPr>
                <w:rFonts w:ascii="仿宋_GB2312" w:hAnsi="仿宋_GB2312" w:cs="仿宋_GB2312" w:eastAsia="仿宋_GB2312"/>
                <w:sz w:val="20"/>
                <w:color w:val="000000"/>
              </w:rPr>
              <w:t>“产品体验+技术交流+项目撮合”三位一体平台。邀请国外投资机构、新能源企业、科研机构与本地新能源企业，通过举办能源产业科技创新供需对接会，开展面对面交流合作，助力供需双方达成合作共识，促进贸易化合作。</w:t>
            </w:r>
          </w:p>
          <w:p>
            <w:pPr>
              <w:pStyle w:val="null3"/>
              <w:jc w:val="both"/>
            </w:pPr>
            <w:r>
              <w:rPr>
                <w:rFonts w:ascii="仿宋_GB2312" w:hAnsi="仿宋_GB2312" w:cs="仿宋_GB2312" w:eastAsia="仿宋_GB2312"/>
                <w:sz w:val="20"/>
                <w:b/>
                <w:color w:val="000000"/>
              </w:rPr>
              <w:t>5.医疗健康类经贸活动</w:t>
            </w:r>
          </w:p>
          <w:p>
            <w:pPr>
              <w:pStyle w:val="null3"/>
              <w:ind w:firstLine="400"/>
              <w:jc w:val="both"/>
            </w:pPr>
            <w:r>
              <w:rPr>
                <w:rFonts w:ascii="仿宋_GB2312" w:hAnsi="仿宋_GB2312" w:cs="仿宋_GB2312" w:eastAsia="仿宋_GB2312"/>
                <w:sz w:val="20"/>
                <w:color w:val="000000"/>
              </w:rPr>
              <w:t>依托本地优质医疗单位，邀请国外知名医疗机构、医疗技术研发企业与国内医疗机构、医学科研机构深入探讨交流，在技术合作、人才交流、医疗服务外包等领域各取所需，达成合作交流，不断提升西安医疗行业的国际合作水平与技术创新能力。</w:t>
            </w:r>
          </w:p>
          <w:p>
            <w:pPr>
              <w:pStyle w:val="null3"/>
              <w:jc w:val="both"/>
            </w:pPr>
            <w:r>
              <w:rPr>
                <w:rFonts w:ascii="仿宋_GB2312" w:hAnsi="仿宋_GB2312" w:cs="仿宋_GB2312" w:eastAsia="仿宋_GB2312"/>
                <w:sz w:val="20"/>
                <w:b/>
                <w:color w:val="000000"/>
              </w:rPr>
              <w:t>6.绿色建筑类经贸活动</w:t>
            </w:r>
          </w:p>
          <w:p>
            <w:pPr>
              <w:pStyle w:val="null3"/>
              <w:ind w:firstLine="400"/>
              <w:jc w:val="both"/>
            </w:pPr>
            <w:r>
              <w:rPr>
                <w:rFonts w:ascii="仿宋_GB2312" w:hAnsi="仿宋_GB2312" w:cs="仿宋_GB2312" w:eastAsia="仿宋_GB2312"/>
                <w:sz w:val="20"/>
                <w:color w:val="000000"/>
              </w:rPr>
              <w:t>依托本地高校、科研院所等单位，邀请国外知名建筑设计公司、工程建设企业与国内同行，通过深入探讨，对接交流，在建筑设计合作、工程项目承包、技术引进等方面开展项目对接活动，促进国内外建筑企业合作，提升西安建筑行业的设计水平与国际竞争力。</w:t>
            </w:r>
          </w:p>
          <w:p>
            <w:pPr>
              <w:pStyle w:val="null3"/>
              <w:jc w:val="both"/>
            </w:pPr>
            <w:r>
              <w:rPr>
                <w:rFonts w:ascii="仿宋_GB2312" w:hAnsi="仿宋_GB2312" w:cs="仿宋_GB2312" w:eastAsia="仿宋_GB2312"/>
                <w:sz w:val="20"/>
                <w:b/>
                <w:color w:val="000000"/>
              </w:rPr>
              <w:t>7.数字乡村类经贸活动</w:t>
            </w:r>
          </w:p>
          <w:p>
            <w:pPr>
              <w:pStyle w:val="null3"/>
              <w:ind w:firstLine="400"/>
              <w:jc w:val="both"/>
            </w:pPr>
            <w:r>
              <w:rPr>
                <w:rFonts w:ascii="仿宋_GB2312" w:hAnsi="仿宋_GB2312" w:cs="仿宋_GB2312" w:eastAsia="仿宋_GB2312"/>
                <w:sz w:val="20"/>
                <w:color w:val="000000"/>
              </w:rPr>
              <w:t>依托西安现代农业示范园区，以</w:t>
            </w:r>
            <w:r>
              <w:rPr>
                <w:rFonts w:ascii="仿宋_GB2312" w:hAnsi="仿宋_GB2312" w:cs="仿宋_GB2312" w:eastAsia="仿宋_GB2312"/>
                <w:sz w:val="20"/>
                <w:color w:val="000000"/>
              </w:rPr>
              <w:t>“市级品牌+区县品牌+企业品牌”为主体，整合全市区域农产品牌资源，展示科技强农新成果、产业发展新成就，邀请国外农业企业、农业专家与园区管理方及本地农业企业，打造交流合作与商贸配对优质平台，合作洽谈共建国际农业示范园区。</w:t>
            </w:r>
          </w:p>
          <w:p>
            <w:pPr>
              <w:pStyle w:val="null3"/>
              <w:jc w:val="both"/>
            </w:pPr>
            <w:r>
              <w:rPr>
                <w:rFonts w:ascii="仿宋_GB2312" w:hAnsi="仿宋_GB2312" w:cs="仿宋_GB2312" w:eastAsia="仿宋_GB2312"/>
                <w:sz w:val="20"/>
                <w:b/>
                <w:color w:val="000000"/>
              </w:rPr>
              <w:t>8.商事服务类经贸活动</w:t>
            </w:r>
          </w:p>
          <w:p>
            <w:pPr>
              <w:pStyle w:val="null3"/>
              <w:ind w:firstLine="400"/>
              <w:jc w:val="both"/>
            </w:pPr>
            <w:r>
              <w:rPr>
                <w:rFonts w:ascii="仿宋_GB2312" w:hAnsi="仿宋_GB2312" w:cs="仿宋_GB2312" w:eastAsia="仿宋_GB2312"/>
                <w:sz w:val="20"/>
                <w:color w:val="000000"/>
              </w:rPr>
              <w:t>依托浐灞国际港务区仲裁委员会、金融商务区等地，建设全链条涉外法律服务，邀请法律专家、企业法务负责人、</w:t>
            </w:r>
            <w:r>
              <w:rPr>
                <w:rFonts w:ascii="仿宋_GB2312" w:hAnsi="仿宋_GB2312" w:cs="仿宋_GB2312" w:eastAsia="仿宋_GB2312"/>
                <w:sz w:val="20"/>
              </w:rPr>
              <w:t>国内外企业代表</w:t>
            </w:r>
            <w:r>
              <w:rPr>
                <w:rFonts w:ascii="仿宋_GB2312" w:hAnsi="仿宋_GB2312" w:cs="仿宋_GB2312" w:eastAsia="仿宋_GB2312"/>
                <w:sz w:val="20"/>
                <w:color w:val="000000"/>
              </w:rPr>
              <w:t>等，共同深入探讨构建</w:t>
            </w:r>
            <w:r>
              <w:rPr>
                <w:rFonts w:ascii="仿宋_GB2312" w:hAnsi="仿宋_GB2312" w:cs="仿宋_GB2312" w:eastAsia="仿宋_GB2312"/>
                <w:sz w:val="20"/>
                <w:color w:val="000000"/>
              </w:rPr>
              <w:t>“丝路商事服务生态圈”，为跨境贸易提供“事前合规审查+事中风险预警+事后争议调解”全周期护航，促进双方在法律合规层面达成共识，为订单合作提供法律保障。</w:t>
            </w:r>
          </w:p>
          <w:p>
            <w:pPr>
              <w:pStyle w:val="null3"/>
              <w:ind w:firstLine="400"/>
              <w:jc w:val="both"/>
            </w:pPr>
            <w:r>
              <w:rPr>
                <w:rFonts w:ascii="仿宋_GB2312" w:hAnsi="仿宋_GB2312" w:cs="仿宋_GB2312" w:eastAsia="仿宋_GB2312"/>
                <w:sz w:val="20"/>
                <w:color w:val="000000"/>
              </w:rPr>
              <w:t>（二）集中体验区</w:t>
            </w:r>
          </w:p>
          <w:p>
            <w:pPr>
              <w:pStyle w:val="null3"/>
              <w:ind w:firstLine="400"/>
              <w:jc w:val="both"/>
            </w:pPr>
            <w:r>
              <w:rPr>
                <w:rFonts w:ascii="仿宋_GB2312" w:hAnsi="仿宋_GB2312" w:cs="仿宋_GB2312" w:eastAsia="仿宋_GB2312"/>
                <w:sz w:val="20"/>
                <w:color w:val="000000"/>
              </w:rPr>
              <w:t>为了让专业观众，商家，采购商有更加便捷、舒适、优质的体验感，我们拟在欧亚经济论坛主会场周边搭建集中体验区。</w:t>
            </w:r>
          </w:p>
          <w:p>
            <w:pPr>
              <w:pStyle w:val="null3"/>
              <w:ind w:firstLine="400"/>
              <w:jc w:val="both"/>
            </w:pPr>
            <w:r>
              <w:rPr>
                <w:rFonts w:ascii="仿宋_GB2312" w:hAnsi="仿宋_GB2312" w:cs="仿宋_GB2312" w:eastAsia="仿宋_GB2312"/>
                <w:sz w:val="20"/>
                <w:color w:val="000000"/>
              </w:rPr>
              <w:t>集中体验区：根据经贸活动安排，通过实物展示、模型演示、多媒体演示等方式组织相关品类产品展示，更加直观地展示产品的外观、性能、用途等特点，让观众、用户、商家对产品的认识更加全面、深刻。</w:t>
            </w:r>
          </w:p>
          <w:p>
            <w:pPr>
              <w:pStyle w:val="null3"/>
              <w:jc w:val="both"/>
            </w:pPr>
            <w:r>
              <w:rPr>
                <w:rFonts w:ascii="仿宋_GB2312" w:hAnsi="仿宋_GB2312" w:cs="仿宋_GB2312" w:eastAsia="仿宋_GB2312"/>
                <w:sz w:val="20"/>
              </w:rPr>
              <w:t>三、服务内容</w:t>
            </w:r>
          </w:p>
          <w:p>
            <w:pPr>
              <w:pStyle w:val="null3"/>
              <w:ind w:firstLine="400"/>
              <w:jc w:val="both"/>
            </w:pPr>
            <w:r>
              <w:rPr>
                <w:rFonts w:ascii="仿宋_GB2312" w:hAnsi="仿宋_GB2312" w:cs="仿宋_GB2312" w:eastAsia="仿宋_GB2312"/>
                <w:sz w:val="20"/>
              </w:rPr>
              <w:t>主要为欧亚经济论坛上合国家经贸交流活动全流程服务。</w:t>
            </w:r>
          </w:p>
          <w:p>
            <w:pPr>
              <w:pStyle w:val="null3"/>
              <w:ind w:firstLine="400"/>
              <w:jc w:val="both"/>
            </w:pPr>
            <w:r>
              <w:rPr>
                <w:rFonts w:ascii="仿宋_GB2312" w:hAnsi="仿宋_GB2312" w:cs="仿宋_GB2312" w:eastAsia="仿宋_GB2312"/>
                <w:sz w:val="20"/>
              </w:rPr>
              <w:t>1.供应商应根据本项目情况，合理组建服务团队，在实施过程中，应根据实际情况随时调整服务团队人员，以保证服务质量。</w:t>
            </w:r>
          </w:p>
          <w:p>
            <w:pPr>
              <w:pStyle w:val="null3"/>
              <w:ind w:firstLine="400"/>
              <w:jc w:val="both"/>
            </w:pPr>
            <w:r>
              <w:rPr>
                <w:rFonts w:ascii="仿宋_GB2312" w:hAnsi="仿宋_GB2312" w:cs="仿宋_GB2312" w:eastAsia="仿宋_GB2312"/>
                <w:sz w:val="20"/>
              </w:rPr>
              <w:t>2.完成整体活动策划设计、执行方案制定及执行、现场设计搭建、招展组展、撤展拆除、会后对接跟踪统计等工作。</w:t>
            </w:r>
          </w:p>
          <w:p>
            <w:pPr>
              <w:pStyle w:val="null3"/>
              <w:ind w:firstLine="400"/>
              <w:jc w:val="both"/>
            </w:pPr>
            <w:r>
              <w:rPr>
                <w:rFonts w:ascii="仿宋_GB2312" w:hAnsi="仿宋_GB2312" w:cs="仿宋_GB2312" w:eastAsia="仿宋_GB2312"/>
                <w:sz w:val="20"/>
              </w:rPr>
              <w:t>3.通过“对接+走访+体验”的形式，邀请外国客商来我市考察，围绕重点行业组建“贸易对接团”，将贸易洽谈与产业对接有机融合，为行业精英提供共商合作平台。邀请不少于50名外商参加经贸交流活动，对接活动不少于3场。</w:t>
            </w:r>
          </w:p>
          <w:p>
            <w:pPr>
              <w:pStyle w:val="null3"/>
              <w:ind w:firstLine="400"/>
              <w:jc w:val="both"/>
            </w:pPr>
            <w:r>
              <w:rPr>
                <w:rFonts w:ascii="仿宋_GB2312" w:hAnsi="仿宋_GB2312" w:cs="仿宋_GB2312" w:eastAsia="仿宋_GB2312"/>
                <w:sz w:val="20"/>
              </w:rPr>
              <w:t>4.完成集中体验区招展组展工作。供应商招展组展过程中可进行市场化运营。</w:t>
            </w:r>
          </w:p>
          <w:p>
            <w:pPr>
              <w:pStyle w:val="null3"/>
              <w:ind w:firstLine="400"/>
              <w:jc w:val="both"/>
            </w:pPr>
            <w:r>
              <w:rPr>
                <w:rFonts w:ascii="仿宋_GB2312" w:hAnsi="仿宋_GB2312" w:cs="仿宋_GB2312" w:eastAsia="仿宋_GB2312"/>
                <w:sz w:val="20"/>
              </w:rPr>
              <w:t>5.活动场地能够满足用水用电需求，提供完</w:t>
            </w:r>
            <w:r>
              <w:rPr>
                <w:rFonts w:ascii="仿宋_GB2312" w:hAnsi="仿宋_GB2312" w:cs="仿宋_GB2312" w:eastAsia="仿宋_GB2312"/>
                <w:sz w:val="20"/>
                <w:color w:val="000000"/>
              </w:rPr>
              <w:t>善的安保及后勤保障工作。</w:t>
            </w:r>
          </w:p>
          <w:p>
            <w:pPr>
              <w:pStyle w:val="null3"/>
              <w:jc w:val="both"/>
            </w:pPr>
            <w:r>
              <w:rPr>
                <w:rFonts w:ascii="仿宋_GB2312" w:hAnsi="仿宋_GB2312" w:cs="仿宋_GB2312" w:eastAsia="仿宋_GB2312"/>
                <w:sz w:val="20"/>
                <w:color w:val="000000"/>
              </w:rPr>
              <w:t>四</w:t>
            </w:r>
            <w:r>
              <w:rPr>
                <w:rFonts w:ascii="仿宋_GB2312" w:hAnsi="仿宋_GB2312" w:cs="仿宋_GB2312" w:eastAsia="仿宋_GB2312"/>
                <w:sz w:val="20"/>
                <w:color w:val="000000"/>
              </w:rPr>
              <w:t>、其他要求</w:t>
            </w:r>
          </w:p>
          <w:p>
            <w:pPr>
              <w:pStyle w:val="null3"/>
              <w:ind w:firstLine="440"/>
              <w:jc w:val="both"/>
            </w:pPr>
            <w:r>
              <w:rPr>
                <w:rFonts w:ascii="仿宋_GB2312" w:hAnsi="仿宋_GB2312" w:cs="仿宋_GB2312" w:eastAsia="仿宋_GB2312"/>
                <w:sz w:val="20"/>
                <w:color w:val="000000"/>
              </w:rPr>
              <w:t>（一）进度要求</w:t>
            </w:r>
          </w:p>
          <w:p>
            <w:pPr>
              <w:pStyle w:val="null3"/>
              <w:ind w:firstLine="440"/>
              <w:jc w:val="both"/>
            </w:pPr>
            <w:r>
              <w:rPr>
                <w:rFonts w:ascii="仿宋_GB2312" w:hAnsi="仿宋_GB2312" w:cs="仿宋_GB2312" w:eastAsia="仿宋_GB2312"/>
                <w:sz w:val="20"/>
                <w:color w:val="000000"/>
              </w:rPr>
              <w:t>1.中标方应在合同签订后3个日历日内安排人员就项目实施工作进行安排、部署。</w:t>
            </w:r>
          </w:p>
          <w:p>
            <w:pPr>
              <w:pStyle w:val="null3"/>
              <w:ind w:firstLine="440"/>
              <w:jc w:val="both"/>
            </w:pPr>
            <w:r>
              <w:rPr>
                <w:rFonts w:ascii="仿宋_GB2312" w:hAnsi="仿宋_GB2312" w:cs="仿宋_GB2312" w:eastAsia="仿宋_GB2312"/>
                <w:sz w:val="20"/>
                <w:color w:val="000000"/>
              </w:rPr>
              <w:t>2.若未能在服务周期内完成合同规定的义务，由此对采购人造成的延误和一切损失，由中标人承担和赔偿。</w:t>
            </w:r>
          </w:p>
          <w:p>
            <w:pPr>
              <w:pStyle w:val="null3"/>
              <w:jc w:val="both"/>
            </w:pPr>
            <w:r>
              <w:rPr>
                <w:rFonts w:ascii="仿宋_GB2312" w:hAnsi="仿宋_GB2312" w:cs="仿宋_GB2312" w:eastAsia="仿宋_GB2312"/>
                <w:sz w:val="20"/>
                <w:color w:val="000000"/>
              </w:rPr>
              <w:t xml:space="preserve">   3.提供服务过程中，不得借机推销其他业务或者设备，不得在项目中嵌套与本活动无关的其他活动，项目结束后不得再以委托方名义进行商业活动。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自合同签订之日起至验收完成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委托方付款前，中标方应开具等额合规发票，因中标方未及时向委托方出具发票或开具的发票不合规导致委托方延迟付款的，委托方不承担逾期付款的违约责任。合同签订后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依照《中华人民共和国民法典》、《中华人民共和国政府采购法》及其他有关法律、行政法规，遵循平等、自愿、公平和诚实信用的原则，由委托方与中标方在签署采购合同时另行协商确定。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 证。供应商一年内累计出现三次该情形，将被监管部门记录为失信行为。 2、供应商需要在线提交所有通过电子化交易平台实施的政府采购项目的投标文件，同时，线下提交纸质投标文件正本壹份、副本贰份。 纸质投标文件正副本均需胶装，若电子投标文件与纸质投标文件不一致的，以在线提交的电子投标文件为准；线下递交文件地点：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响应报价未超过预算或最高限价</w:t>
            </w:r>
          </w:p>
        </w:tc>
        <w:tc>
          <w:tcPr>
            <w:tcW w:type="dxa" w:w="1661"/>
          </w:tcPr>
          <w:p>
            <w:pPr>
              <w:pStyle w:val="null3"/>
            </w:pPr>
            <w:r>
              <w:rPr>
                <w:rFonts w:ascii="仿宋_GB2312" w:hAnsi="仿宋_GB2312" w:cs="仿宋_GB2312" w:eastAsia="仿宋_GB2312"/>
              </w:rPr>
              <w:t>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02供应商资格证明资料.docx 14.供应商承诺书.docx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15.供应商认为其他有必要说明的其他问题.docx 3.商务和服务响应偏离表.docx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针对本项目提出适用于本项目的需求响应方案，包括但不限于：①项目理解②需求分析③项目重难点分析，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根据供应商针对本项目背景及需求理解提供的8个经贸活动策划方案，策划方案内容紧贴本项目工作要点，主题鲜明，重点突出，选址、场地布置紧扣主题、拟邀外商完全满足本项目需求，每个活动方案计3分，以上方案中每缺少一个方案扣3分；每个方案中内容与实际需求不符或不满足要求或与需求不切合或直接套用其他项目内容的扣0.5-2.5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5.活动策划方案.docx</w:t>
            </w:r>
          </w:p>
        </w:tc>
      </w:tr>
      <w:tr>
        <w:tc>
          <w:tcPr>
            <w:tcW w:type="dxa" w:w="831"/>
            <w:vMerge/>
          </w:tcPr>
          <w:p/>
        </w:tc>
        <w:tc>
          <w:tcPr>
            <w:tcW w:type="dxa" w:w="1661"/>
          </w:tcPr>
          <w:p>
            <w:pPr>
              <w:pStyle w:val="null3"/>
            </w:pPr>
            <w:r>
              <w:rPr>
                <w:rFonts w:ascii="仿宋_GB2312" w:hAnsi="仿宋_GB2312" w:cs="仿宋_GB2312" w:eastAsia="仿宋_GB2312"/>
              </w:rPr>
              <w:t>集中体验区策划及布展方案</w:t>
            </w:r>
          </w:p>
        </w:tc>
        <w:tc>
          <w:tcPr>
            <w:tcW w:type="dxa" w:w="2492"/>
          </w:tcPr>
          <w:p>
            <w:pPr>
              <w:pStyle w:val="null3"/>
            </w:pPr>
            <w:r>
              <w:rPr>
                <w:rFonts w:ascii="仿宋_GB2312" w:hAnsi="仿宋_GB2312" w:cs="仿宋_GB2312" w:eastAsia="仿宋_GB2312"/>
              </w:rPr>
              <w:t>1、根据供应商针对集中体验区提供的策划方案进行评审，策划方案贴合项目要点，主题鲜明，重点突出计5分；策划方案较完善、满足采购需求计3分；策划方案不完善、可行性较差计1分；未提供不计分。 2、根据供应商针对集中体验区的布展方案进行评审，场地整体布局、视觉设计贴近活动主题，场地配套设施及服务应完全满足项目实施计4分；布展方案较完善、合理，满足采购需求计2分；布展方案不完善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6.集中体验区策划及布展方案.docx</w:t>
            </w:r>
          </w:p>
        </w:tc>
      </w:tr>
      <w:tr>
        <w:tc>
          <w:tcPr>
            <w:tcW w:type="dxa" w:w="831"/>
            <w:vMerge/>
          </w:tcPr>
          <w:p/>
        </w:tc>
        <w:tc>
          <w:tcPr>
            <w:tcW w:type="dxa" w:w="1661"/>
          </w:tcPr>
          <w:p>
            <w:pPr>
              <w:pStyle w:val="null3"/>
            </w:pPr>
            <w:r>
              <w:rPr>
                <w:rFonts w:ascii="仿宋_GB2312" w:hAnsi="仿宋_GB2312" w:cs="仿宋_GB2312" w:eastAsia="仿宋_GB2312"/>
              </w:rPr>
              <w:t>推广方案及宣传推广活动</w:t>
            </w:r>
          </w:p>
        </w:tc>
        <w:tc>
          <w:tcPr>
            <w:tcW w:type="dxa" w:w="2492"/>
          </w:tcPr>
          <w:p>
            <w:pPr>
              <w:pStyle w:val="null3"/>
            </w:pPr>
            <w:r>
              <w:rPr>
                <w:rFonts w:ascii="仿宋_GB2312" w:hAnsi="仿宋_GB2312" w:cs="仿宋_GB2312" w:eastAsia="仿宋_GB2312"/>
              </w:rPr>
              <w:t>供应商针对本项目制定推广方案及相关推广活动，包括但不限于：宣传计划、新媒体展示、宣传方式、推广发布媒介、宣传物料。进行综合评分。完全满足采购需求并符合本项目实施特点的得15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7.推广方案及宣传推广活动.docx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供应商针对本项目有具体的团队人员配置方案。 1.项目团队人员岗位职责分工明确、人员数量及结构安排合理、从业经验丰富，可行性强，计7分； 2.项目团队人员职责分工较明确、结构安排基本合理，从业经验较丰富，基本可行，计4分； 3.项目团队人员职责分工及结构安排基本明确，人员有一定的工作经验，可行性一般，计1分；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8.人员配备.docx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供应商针对各种突发状况有具体可行的应急措施和解决方案。 1.预案完善可行，措施细致可操作性强，计6分； 2.预案基本完整，具有一定的可操作性和针对性，计4分； 3.预案完善程度一般，措施宽泛可操作性一般，计2分；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9.应急预案.docx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供应商针对本项目制定的进度计划安排进行评审，活动进度计划安排合理，充分考虑时间、天气以及服务期限等因素，安排合理，能完全满足采购需求的计4分；进度计划安排较合理计2分；进度计划安排不合理计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10.进度安排.docx</w:t>
            </w:r>
          </w:p>
        </w:tc>
      </w:tr>
      <w:tr>
        <w:tc>
          <w:tcPr>
            <w:tcW w:type="dxa" w:w="831"/>
            <w:vMerge/>
          </w:tcPr>
          <w:p/>
        </w:tc>
        <w:tc>
          <w:tcPr>
            <w:tcW w:type="dxa" w:w="1661"/>
          </w:tcPr>
          <w:p>
            <w:pPr>
              <w:pStyle w:val="null3"/>
            </w:pPr>
            <w:r>
              <w:rPr>
                <w:rFonts w:ascii="仿宋_GB2312" w:hAnsi="仿宋_GB2312" w:cs="仿宋_GB2312" w:eastAsia="仿宋_GB2312"/>
              </w:rPr>
              <w:t>信息反馈及成果资料汇总</w:t>
            </w:r>
          </w:p>
        </w:tc>
        <w:tc>
          <w:tcPr>
            <w:tcW w:type="dxa" w:w="2492"/>
          </w:tcPr>
          <w:p>
            <w:pPr>
              <w:pStyle w:val="null3"/>
            </w:pPr>
            <w:r>
              <w:rPr>
                <w:rFonts w:ascii="仿宋_GB2312" w:hAnsi="仿宋_GB2312" w:cs="仿宋_GB2312" w:eastAsia="仿宋_GB2312"/>
              </w:rPr>
              <w:t>关于举办活动过程中的所有活动信息收集整理汇总反馈，根据供应商针对本项目设置的信息反馈及资料汇总留存机制进行评比。 信息反馈及成果资料汇总方案内容完整详实，考虑细致周全，科学合理性、可行性、针对性强的，得 3分； 信息反馈及成果资料汇总方案内容基本完整，可行性和针对性较差的，得2 分； 信息反馈及成果资料汇总方案内容空洞，可行性和针对性差的，得1分； 未提供该方案的，得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11.信息反馈及成果资料汇总.docx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有利于本项目工作顺利进行的合理化建议详细合理，针对性强得3分；较详细得1分；未提供不得分。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详见附件：5.活动策划方案.docx</w:t>
      </w:r>
    </w:p>
    <w:p>
      <w:pPr>
        <w:pStyle w:val="null3"/>
        <w:ind w:firstLine="960"/>
      </w:pPr>
      <w:r>
        <w:rPr>
          <w:rFonts w:ascii="仿宋_GB2312" w:hAnsi="仿宋_GB2312" w:cs="仿宋_GB2312" w:eastAsia="仿宋_GB2312"/>
        </w:rPr>
        <w:t>详见附件：6.集中体验区策划及布展方案.docx</w:t>
      </w:r>
    </w:p>
    <w:p>
      <w:pPr>
        <w:pStyle w:val="null3"/>
        <w:ind w:firstLine="960"/>
      </w:pPr>
      <w:r>
        <w:rPr>
          <w:rFonts w:ascii="仿宋_GB2312" w:hAnsi="仿宋_GB2312" w:cs="仿宋_GB2312" w:eastAsia="仿宋_GB2312"/>
        </w:rPr>
        <w:t>详见附件：7.推广方案及宣传推广活动.docx</w:t>
      </w:r>
    </w:p>
    <w:p>
      <w:pPr>
        <w:pStyle w:val="null3"/>
        <w:ind w:firstLine="960"/>
      </w:pPr>
      <w:r>
        <w:rPr>
          <w:rFonts w:ascii="仿宋_GB2312" w:hAnsi="仿宋_GB2312" w:cs="仿宋_GB2312" w:eastAsia="仿宋_GB2312"/>
        </w:rPr>
        <w:t>详见附件：8.人员配备.docx</w:t>
      </w:r>
    </w:p>
    <w:p>
      <w:pPr>
        <w:pStyle w:val="null3"/>
        <w:ind w:firstLine="960"/>
      </w:pPr>
      <w:r>
        <w:rPr>
          <w:rFonts w:ascii="仿宋_GB2312" w:hAnsi="仿宋_GB2312" w:cs="仿宋_GB2312" w:eastAsia="仿宋_GB2312"/>
        </w:rPr>
        <w:t>详见附件：9.应急预案.docx</w:t>
      </w:r>
    </w:p>
    <w:p>
      <w:pPr>
        <w:pStyle w:val="null3"/>
        <w:ind w:firstLine="960"/>
      </w:pPr>
      <w:r>
        <w:rPr>
          <w:rFonts w:ascii="仿宋_GB2312" w:hAnsi="仿宋_GB2312" w:cs="仿宋_GB2312" w:eastAsia="仿宋_GB2312"/>
        </w:rPr>
        <w:t>详见附件：10.进度安排.docx</w:t>
      </w:r>
    </w:p>
    <w:p>
      <w:pPr>
        <w:pStyle w:val="null3"/>
        <w:ind w:firstLine="960"/>
      </w:pPr>
      <w:r>
        <w:rPr>
          <w:rFonts w:ascii="仿宋_GB2312" w:hAnsi="仿宋_GB2312" w:cs="仿宋_GB2312" w:eastAsia="仿宋_GB2312"/>
        </w:rPr>
        <w:t>详见附件：11.信息反馈及成果资料汇总.docx</w:t>
      </w:r>
    </w:p>
    <w:p>
      <w:pPr>
        <w:pStyle w:val="null3"/>
        <w:ind w:firstLine="960"/>
      </w:pPr>
      <w:r>
        <w:rPr>
          <w:rFonts w:ascii="仿宋_GB2312" w:hAnsi="仿宋_GB2312" w:cs="仿宋_GB2312" w:eastAsia="仿宋_GB2312"/>
        </w:rPr>
        <w:t>详见附件：12.合理化建议.docx</w:t>
      </w:r>
    </w:p>
    <w:p>
      <w:pPr>
        <w:pStyle w:val="null3"/>
        <w:ind w:firstLine="960"/>
      </w:pPr>
      <w:r>
        <w:rPr>
          <w:rFonts w:ascii="仿宋_GB2312" w:hAnsi="仿宋_GB2312" w:cs="仿宋_GB2312" w:eastAsia="仿宋_GB2312"/>
        </w:rPr>
        <w:t>详见附件：13.供应商业绩一览表.docx</w:t>
      </w:r>
    </w:p>
    <w:p>
      <w:pPr>
        <w:pStyle w:val="null3"/>
        <w:ind w:firstLine="960"/>
      </w:pPr>
      <w:r>
        <w:rPr>
          <w:rFonts w:ascii="仿宋_GB2312" w:hAnsi="仿宋_GB2312" w:cs="仿宋_GB2312" w:eastAsia="仿宋_GB2312"/>
        </w:rPr>
        <w:t>详见附件：14.供应商承诺书.docx</w:t>
      </w:r>
    </w:p>
    <w:p>
      <w:pPr>
        <w:pStyle w:val="null3"/>
        <w:ind w:firstLine="960"/>
      </w:pPr>
      <w:r>
        <w:rPr>
          <w:rFonts w:ascii="仿宋_GB2312" w:hAnsi="仿宋_GB2312" w:cs="仿宋_GB2312" w:eastAsia="仿宋_GB2312"/>
        </w:rPr>
        <w:t>详见附件：15.供应商认为其他有必要说明的其他问题.docx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详见附件：采购合同模板-欧亚经济论坛上合国家经贸交流活动项目.docx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