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版本号：SXZCZ-2025-ZHF601420250610001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养老服务业务培训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SXZCZ-2025-ZHF6014</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陕西中采招项目管理有限公司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养老服务业务培训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SXZCZ-2025-ZHF6014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养老服务业务培训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失能老年人家庭照护质量，减轻照护负担，推动“居家养老”模式发展，我局委托第三方机构开展失能老年人家庭成员照护培训。线下每期培训两天，以每人每期不高于360元的价格对300名失能老年人家庭成员进行培训;线上以每人不高于16元的价格对2000名失能老年人家庭成员进行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 , 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2、法定代表人授权书：法定代表人直接磋商须提交法定代表人身份证明书及其身份证原件，法定代表人授权代表参加磋商的，须出具授权书及被授权人身份证</w:t>
      </w:r>
    </w:p>
    <w:p>
      <w:pPr>
        <w:pStyle w:val="null3"/>
      </w:pPr>
      <w:r>
        <w:rPr>
          <w:rFonts w:ascii="仿宋_GB2312" w:hAnsi="仿宋_GB2312" w:cs="仿宋_GB2312" w:eastAsia="仿宋_GB2312"/>
        </w:rPr>
        <w:t>3、财务状况报告：提供 2023年度或2024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4、税收缴纳证明：供应商须提供磋商截止时间一年内任意1个月的缴税证明（注：依法免税或零申报 的供应商应提供相关文件证明；）</w:t>
      </w:r>
    </w:p>
    <w:p>
      <w:pPr>
        <w:pStyle w:val="null3"/>
      </w:pPr>
      <w:r>
        <w:rPr>
          <w:rFonts w:ascii="仿宋_GB2312" w:hAnsi="仿宋_GB2312" w:cs="仿宋_GB2312" w:eastAsia="仿宋_GB2312"/>
        </w:rPr>
        <w:t>5、社会保障资金缴纳证明：供应商须提供磋商截止时间一年内任意1个月的社会保险缴纳证明（注：依法不需要缴纳社会保障资金的供应商应提供相关文件证明）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中国：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 》第二十二条规定条件的，招标代理机构将拒绝其参与政府采购活动）</w:t>
      </w:r>
    </w:p>
    <w:p>
      <w:pPr>
        <w:pStyle w:val="null3"/>
      </w:pPr>
      <w:r>
        <w:rPr>
          <w:rFonts w:ascii="仿宋_GB2312" w:hAnsi="仿宋_GB2312" w:cs="仿宋_GB2312" w:eastAsia="仿宋_GB2312"/>
        </w:rPr>
        <w:t>9、非联合体声明：非联合体投标的声明</w:t>
      </w:r>
    </w:p>
    <w:p>
      <w:pPr>
        <w:pStyle w:val="null3"/>
      </w:pPr>
      <w:r>
        <w:rPr>
          <w:rFonts w:ascii="仿宋_GB2312" w:hAnsi="仿宋_GB2312" w:cs="仿宋_GB2312" w:eastAsia="仿宋_GB2312"/>
        </w:rPr>
        <w:t>10、控股关系声明：单位负责人为同一人或者存在控股、管理关系的不同单位，不得同时参加本招标项目投标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董文霞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陕西省西安市未央区中登广场B座706室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029-86254684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联系人：周工</w:t>
      </w:r>
    </w:p>
    <w:p>
      <w:pPr>
        <w:pStyle w:val="null3"/>
      </w:pPr>
      <w:r>
        <w:rPr>
          <w:rFonts w:ascii="仿宋_GB2312" w:hAnsi="仿宋_GB2312" w:cs="仿宋_GB2312" w:eastAsia="仿宋_GB2312"/>
        </w:rPr>
        <w:t>联系电话：029-86254684</w:t>
      </w:r>
    </w:p>
    <w:p>
      <w:pPr>
        <w:pStyle w:val="null3"/>
      </w:pPr>
      <w:r>
        <w:rPr>
          <w:rFonts w:ascii="仿宋_GB2312" w:hAnsi="仿宋_GB2312" w:cs="仿宋_GB2312" w:eastAsia="仿宋_GB2312"/>
        </w:rPr>
        <w:t>地址：陕西省西安市未央区凤城四路中登广场B座7楼706室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失能老年人家庭照护质量，减轻照护负担，推动“居家养老”模式发展，我局委托第三方机构开展失能老年人家庭成员照护培训。线下每期培训两天，以每人每期不高于360元的价格对300名失能老年人家庭成员进行培训;线上以每人不高于16元的价格对2000名失能老年人家庭成员进行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养老服务业务培训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标的名称：养老服务业务培训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提升失能老年人家庭照护质量，减轻照护负担，推动“居家养老”模式发展，我局委托第三方机构开展失能老年人家庭成员照护培训。线下每期培训两天，以每人每期不高于360元的价格对300名失能老年人家庭成员进行培训;线上以每人不高于16元的价格对2000名失能老年人家庭成员进行培训。</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开展线上线下失能老年人家庭成员照护培训。线下自行安排培训场地与培训师资、设计培训课程(含理论与实操)、开展线下集中培训;线上上传相应课程供失能老年人家庭成员学习。培训结束后撰写总结报告。</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通过系统化培训，使家庭成员照护者掌握失能老年人照护理论知识，提升实际操作技能，培养沟通能力和心理支持技巧，增强责任意识和安全意识。</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1.服务期限</w:t>
            </w:r>
          </w:p>
          <w:p>
            <w:pPr>
              <w:pStyle w:val="null3"/>
            </w:pPr>
            <w:r>
              <w:rPr>
                <w:rFonts w:ascii="仿宋_GB2312" w:hAnsi="仿宋_GB2312" w:cs="仿宋_GB2312" w:eastAsia="仿宋_GB2312"/>
              </w:rPr>
              <w:t>自合同签订之日起至2025年8月前完成所有培训(具体时间以合同签订时间为准)。</w:t>
            </w:r>
          </w:p>
          <w:p>
            <w:pPr>
              <w:pStyle w:val="null3"/>
            </w:pPr>
            <w:r>
              <w:rPr>
                <w:rFonts w:ascii="仿宋_GB2312" w:hAnsi="仿宋_GB2312" w:cs="仿宋_GB2312" w:eastAsia="仿宋_GB2312"/>
              </w:rPr>
              <w:t>2.进度要求</w:t>
            </w:r>
          </w:p>
          <w:p>
            <w:pPr>
              <w:pStyle w:val="null3"/>
            </w:pPr>
            <w:r>
              <w:rPr>
                <w:rFonts w:ascii="仿宋_GB2312" w:hAnsi="仿宋_GB2312" w:cs="仿宋_GB2312" w:eastAsia="仿宋_GB2312"/>
              </w:rPr>
              <w:t>在保证质量和要求的前提下，具体进度要求按项目进度酌情安排。</w:t>
            </w:r>
          </w:p>
          <w:p>
            <w:pPr>
              <w:pStyle w:val="null3"/>
            </w:pPr>
            <w:r>
              <w:rPr>
                <w:rFonts w:ascii="仿宋_GB2312" w:hAnsi="仿宋_GB2312" w:cs="仿宋_GB2312" w:eastAsia="仿宋_GB2312"/>
              </w:rPr>
              <w:t>3.成果交付要求</w:t>
            </w:r>
          </w:p>
          <w:p>
            <w:pPr>
              <w:pStyle w:val="null3"/>
            </w:pPr>
            <w:r>
              <w:rPr>
                <w:rFonts w:ascii="仿宋_GB2312" w:hAnsi="仿宋_GB2312" w:cs="仿宋_GB2312" w:eastAsia="仿宋_GB2312"/>
              </w:rPr>
              <w:t>以第三方或者采购人验收合格为基础进行交付验收。</w:t>
            </w:r>
          </w:p>
          <w:p>
            <w:pPr>
              <w:pStyle w:val="null3"/>
            </w:pPr>
            <w:r>
              <w:rPr>
                <w:rFonts w:ascii="仿宋_GB2312" w:hAnsi="仿宋_GB2312" w:cs="仿宋_GB2312" w:eastAsia="仿宋_GB2312"/>
              </w:rPr>
              <w:t>4.质量验收规范或标准</w:t>
            </w:r>
          </w:p>
          <w:p>
            <w:pPr>
              <w:pStyle w:val="null3"/>
            </w:pPr>
            <w:r>
              <w:rPr>
                <w:rFonts w:ascii="仿宋_GB2312" w:hAnsi="仿宋_GB2312" w:cs="仿宋_GB2312" w:eastAsia="仿宋_GB2312"/>
              </w:rPr>
              <w:t>符合国家现行质量验收合格标准。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具备医学、护理学等相关背景，能组织起符合培训要求的培训师资队伍。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能满足本项目培训需求。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自合同签订之日起至2025年8月前完成所有培训（具体时间以合同签订时间为准）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中华人民共和国政府采购法》及相关法律法规对服务商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 , 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法定代表人直接磋商须提交法定代表人身份证明书及其身份证原件，法定代表人授权代表参加磋商的，须出具授权书及被授权人身份证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年度或2024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供应商须提供磋商截止时间一年内任意1个月的缴税证明（注：依法免税或零申报 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供应商须提供磋商截止时间一年内任意1个月的社会保险缴纳证明（注：依法不需要缴纳社会保障资金的供应商应提供相关文件证明）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 》第二十二条规定条件的，招标代理机构将拒绝其参与政府采购活动）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非联合体投标的声明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单位负责人为同一人或者存在控股、管理关系的不同单位，不得同时参加本招标项目投标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投标人的报价没有出现明显低于其他通过符合性审查投标人的报价，没有影响服务质量且能诚信履约，投标人能证明其报价合理性</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w:t>
            </w:r>
          </w:p>
        </w:tc>
        <w:tc>
          <w:tcPr>
            <w:tcW w:type="dxa" w:w="1661"/>
          </w:tcPr>
          <w:p>
            <w:pPr>
              <w:pStyle w:val="null3"/>
            </w:pPr>
            <w:r>
              <w:rPr>
                <w:rFonts w:ascii="仿宋_GB2312" w:hAnsi="仿宋_GB2312" w:cs="仿宋_GB2312" w:eastAsia="仿宋_GB2312"/>
              </w:rPr>
              <w:t>响应函 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投标人对本项目背景和现状、政策、相关标准及规范、需求进行充分了解，总体目标与项目需求吻合，按其响应程度自主赋分： 项目理解充分，政策、相关标准及规范明确，总体目标符合项目需求，计8分；项目理解较充分，政策、相关标准及规范较明确，总体目标基本满足项目需求，计6分； 项目理解不足，政策、相关标准及规范不明确，总体目标背离项目需求，计3分；未提供的不得分。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针对本项目服务的重点和难点的认识及分析，具有完善、合理的对策措施，按其响应程度自主赋分： 重点和难点把握准确，分析清楚，对策措施具有针对性、可行性、科学性，计5分； 重点和难点把握基本准确，分析不够到位，对策措施存在偏差，针对性、可行性、科学性一般，计3分； 重点和难点把握不准确，分析不清楚，对策措施过于简陋，计1分；未提供的不得分。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培训内容及教材编写或选用的服务方案（包含但不限于教学管理、教学保障等），按其响应程度自主赋分：方案内容全面，科学合理，可行性高，教学管理有创新、教材编写或选用满足项目需求，计8分； 方案内容较全面，较科学合理，可行性一般，教学管理较有创新、教材编写或选用基本满足项目需求，计6分； 方案内容有缺陷，不够科学合理，可行性较差，教学管理没有创新、教材编写或选用不够满足项目需求，计3分；未提供的不得分。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投标人针对本项目制订详细的培训计划及流程（包括但不限于讲师资源介绍、线上线下课程制定、专业特色、课程时长等），按其响应程度自主赋分： 培训计划、课程设置、流程描述详细清楚合理、能同时开展多项专业培训，计10分； 培训计划、课程设置、流程描述基本清楚合理，计6分； 培训计划、课程设置、流程的描述有缺陷，计3分；未提供的不得分。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投标人针对本项目的管理制度（包含但不限于教学管理制度、日常管理制度、人员岗位职责、财务制度、劳动纪律和奖惩办法等规章制度）完善，并符合法律要求，能确保项目顺利实施，按其响应程度自主赋分： 制度完善合理、切实可行，计5分； 制度基本满足、可行性一般，计3分； 制度不健全、可行性不足，计1分，未提供的不得分。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师资力量</w:t>
            </w:r>
          </w:p>
        </w:tc>
        <w:tc>
          <w:tcPr>
            <w:tcW w:type="dxa" w:w="2492"/>
          </w:tcPr>
          <w:p>
            <w:pPr>
              <w:pStyle w:val="null3"/>
            </w:pPr>
            <w:r>
              <w:rPr>
                <w:rFonts w:ascii="仿宋_GB2312" w:hAnsi="仿宋_GB2312" w:cs="仿宋_GB2312" w:eastAsia="仿宋_GB2312"/>
              </w:rPr>
              <w:t>具有能满足本项目培训要求的培训师资队伍，每具有1名医学专业或护理学专业的专家同时具有高级职称的计2分，每具有1名医学专业或护理学专业的专家同时具有中级职称的计1分，同一人员只计一次分，满分8分。 评审依据：需提供专家聘书及职称证等证明资料。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硬件设施</w:t>
            </w:r>
          </w:p>
        </w:tc>
        <w:tc>
          <w:tcPr>
            <w:tcW w:type="dxa" w:w="2492"/>
          </w:tcPr>
          <w:p>
            <w:pPr>
              <w:pStyle w:val="null3"/>
            </w:pPr>
            <w:r>
              <w:rPr>
                <w:rFonts w:ascii="仿宋_GB2312" w:hAnsi="仿宋_GB2312" w:cs="仿宋_GB2312" w:eastAsia="仿宋_GB2312"/>
              </w:rPr>
              <w:t>针对本项目拟配备的硬件设施（包含但不限于培训场所、多媒体设施、住宿环境、餐厅环境、取暖及降温设施等），按其响应程度自主赋分： 设备配备齐全，环境优良，完全满足本项目需求，计8分； 设备配备基本齐全，环境一般，基本满足本项目需求，计6分； 设备配备不齐全，环境较差，不够满足本项目需求，计3分。 评审依据：提供图片及文字等相关证明材料，仅文字说明的不得分。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投标人针对本项目制定具体可行的售后服务方案，有详细的售后服务措施及保障承诺，免费为培训人员提供服务保障，按其响应程度自主赋分： 售后服务方案及保障措施完善，措施科学合理，计3分； 售后服务方案及保障措施较完善，措施基本合理，计2分； 售后服务方案及保障措施欠缺，措施不科学合理，计1分；未提供的不得分。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投标人近三年（2022年6月至今）具有同类项目业绩，每提供一份计3分，满分15分。 评审依据：提供投标人加盖公章的合同协议书或中标通知书扫描件，以合同签订时间为准。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本项目非专门面向中小企业采购，投标人如果为小微企业、或监狱企业、或残疾人福利企业，则投标人的投标总报价扣除10%后参与评审，需提供《中小企业声明函》。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