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版本号：SXZCZB2025-ZCCS-061520250610001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美美长安-第六届西安啤酒音乐消费季活动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SXZCZB2025-ZCCS-0615</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美美长安-第六届西安啤酒音乐消费季活动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美美长安-第六届西安啤酒音乐消费季活动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美美长安-第六届西安啤酒音乐消费季活动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采购包1（美美长安-第六届西安啤酒音乐消费季活动）：属于专门面向中小企业采购。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美美长安-第六届西安啤酒音乐消费季活动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美美长安-第六届西安啤酒音乐消费季活动策划、组织、实施等服务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标的名称：美美长安-第六届西安啤酒音乐消费季活动策划、组织、实施等服务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美美长安</w:t>
            </w:r>
            <w:r>
              <w:rPr>
                <w:rFonts w:ascii="仿宋_GB2312" w:hAnsi="仿宋_GB2312" w:cs="仿宋_GB2312" w:eastAsia="仿宋_GB2312"/>
                <w:sz w:val="24"/>
              </w:rPr>
              <w:t>-第六届西安啤酒音乐消费季活动</w:t>
            </w:r>
            <w:r>
              <w:rPr>
                <w:rFonts w:ascii="仿宋_GB2312" w:hAnsi="仿宋_GB2312" w:cs="仿宋_GB2312" w:eastAsia="仿宋_GB2312"/>
                <w:sz w:val="24"/>
              </w:rPr>
              <w:t>，汇聚国际品牌啤酒、西安特色美食、特色演艺设置文化、旅游、休闲相融合的消费场景，打造城市消费品牌营造消费氛围，提升消费品质。</w:t>
            </w:r>
          </w:p>
          <w:p>
            <w:pPr>
              <w:pStyle w:val="null3"/>
            </w:pPr>
            <w:r>
              <w:rPr>
                <w:rFonts w:ascii="仿宋_GB2312" w:hAnsi="仿宋_GB2312" w:cs="仿宋_GB2312" w:eastAsia="仿宋_GB2312"/>
                <w:sz w:val="24"/>
              </w:rPr>
              <w:t>二、服务内容</w:t>
            </w:r>
          </w:p>
          <w:p>
            <w:pPr>
              <w:pStyle w:val="null3"/>
            </w:pPr>
            <w:r>
              <w:rPr>
                <w:rFonts w:ascii="仿宋_GB2312" w:hAnsi="仿宋_GB2312" w:cs="仿宋_GB2312" w:eastAsia="仿宋_GB2312"/>
                <w:sz w:val="24"/>
              </w:rPr>
              <w:t>1、供应商应根据本项目情况，合理组建服务团队，在实施过程中，应根据实际情况随时调整服务团队人员，以保证服务质量。</w:t>
            </w:r>
          </w:p>
          <w:p>
            <w:pPr>
              <w:pStyle w:val="null3"/>
            </w:pPr>
            <w:r>
              <w:rPr>
                <w:rFonts w:ascii="仿宋_GB2312" w:hAnsi="仿宋_GB2312" w:cs="仿宋_GB2312" w:eastAsia="仿宋_GB2312"/>
                <w:sz w:val="24"/>
              </w:rPr>
              <w:t>2、供应商应提前考察、选择适合举办“美美长安-第六届西安啤酒音乐消费季”的场地，活动场地选定需具有地域知名度，配套相应的水电等基础设施，能够满足活动用水用电。</w:t>
            </w:r>
          </w:p>
          <w:p>
            <w:pPr>
              <w:pStyle w:val="null3"/>
            </w:pPr>
            <w:r>
              <w:rPr>
                <w:rFonts w:ascii="仿宋_GB2312" w:hAnsi="仿宋_GB2312" w:cs="仿宋_GB2312" w:eastAsia="仿宋_GB2312"/>
                <w:sz w:val="24"/>
              </w:rPr>
              <w:t>3、供应商需在活动现场配备足量的安保及保洁，需有专人组织管理及水电保障，统筹协调组织活动现场加强安全防范。</w:t>
            </w:r>
          </w:p>
          <w:p>
            <w:pPr>
              <w:pStyle w:val="null3"/>
            </w:pPr>
            <w:r>
              <w:rPr>
                <w:rFonts w:ascii="仿宋_GB2312" w:hAnsi="仿宋_GB2312" w:cs="仿宋_GB2312" w:eastAsia="仿宋_GB2312"/>
                <w:sz w:val="24"/>
              </w:rPr>
              <w:t>4、提供完整的策划方案，活动方式多样，物料设计制作精美，打造“美美长安-第六届西安啤酒音乐消费季”的IP属性；</w:t>
            </w:r>
          </w:p>
          <w:p>
            <w:pPr>
              <w:pStyle w:val="null3"/>
            </w:pPr>
            <w:r>
              <w:rPr>
                <w:rFonts w:ascii="仿宋_GB2312" w:hAnsi="仿宋_GB2312" w:cs="仿宋_GB2312" w:eastAsia="仿宋_GB2312"/>
                <w:sz w:val="24"/>
              </w:rPr>
              <w:t>5、活动现场舞台、灯光、音响、大屏、氛围美陈等设备搭建，舞台尺寸不低于25m；</w:t>
            </w:r>
          </w:p>
          <w:p>
            <w:pPr>
              <w:pStyle w:val="null3"/>
            </w:pPr>
            <w:r>
              <w:rPr>
                <w:rFonts w:ascii="仿宋_GB2312" w:hAnsi="仿宋_GB2312" w:cs="仿宋_GB2312" w:eastAsia="仿宋_GB2312"/>
                <w:sz w:val="24"/>
              </w:rPr>
              <w:t>6、完成“美美长安-第六届西安啤酒音乐消费季”招商工作，招募啤酒相关的企业和餐饮企业参与到活动中，现场招募不少于12家餐饮商户品牌，其中需包含由各区县、开发区推荐的限上企业及准限上企业;包含但不限于传统老字号、非遗小吃、知名餐饮等；现场组织不少于10个啤酒系列及品牌参与到活动中，全方位、多方面展示啤酒文化的同时，促进西安餐饮消费升级；</w:t>
            </w:r>
          </w:p>
          <w:p>
            <w:pPr>
              <w:pStyle w:val="null3"/>
            </w:pPr>
            <w:r>
              <w:rPr>
                <w:rFonts w:ascii="仿宋_GB2312" w:hAnsi="仿宋_GB2312" w:cs="仿宋_GB2312" w:eastAsia="仿宋_GB2312"/>
                <w:sz w:val="24"/>
              </w:rPr>
              <w:t>7、舞台节目呈现组织紧扣活动主题，结合活动主题特色</w:t>
            </w:r>
          </w:p>
          <w:p>
            <w:pPr>
              <w:pStyle w:val="null3"/>
            </w:pPr>
            <w:r>
              <w:rPr>
                <w:rFonts w:ascii="仿宋_GB2312" w:hAnsi="仿宋_GB2312" w:cs="仿宋_GB2312" w:eastAsia="仿宋_GB2312"/>
                <w:sz w:val="24"/>
              </w:rPr>
              <w:t>三、技术要求</w:t>
            </w:r>
          </w:p>
          <w:p>
            <w:pPr>
              <w:pStyle w:val="null3"/>
            </w:pPr>
            <w:r>
              <w:rPr>
                <w:rFonts w:ascii="仿宋_GB2312" w:hAnsi="仿宋_GB2312" w:cs="仿宋_GB2312" w:eastAsia="仿宋_GB2312"/>
                <w:sz w:val="24"/>
              </w:rPr>
              <w:t>本次活动所有搭建，相关物料制作，必须符合相关行业的标准，并做好本次活动纸质资料、影像资料的留存。</w:t>
            </w:r>
          </w:p>
          <w:p>
            <w:pPr>
              <w:pStyle w:val="null3"/>
            </w:pPr>
            <w:r>
              <w:rPr>
                <w:rFonts w:ascii="仿宋_GB2312" w:hAnsi="仿宋_GB2312" w:cs="仿宋_GB2312" w:eastAsia="仿宋_GB2312"/>
                <w:sz w:val="24"/>
              </w:rPr>
              <w:t>四、服务要求</w:t>
            </w:r>
          </w:p>
          <w:p>
            <w:pPr>
              <w:pStyle w:val="null3"/>
            </w:pPr>
            <w:r>
              <w:rPr>
                <w:rFonts w:ascii="仿宋_GB2312" w:hAnsi="仿宋_GB2312" w:cs="仿宋_GB2312" w:eastAsia="仿宋_GB2312"/>
                <w:sz w:val="24"/>
              </w:rPr>
              <w:t>1、根据采购人要求编写本项目的整体策划方案；</w:t>
            </w:r>
          </w:p>
          <w:p>
            <w:pPr>
              <w:pStyle w:val="null3"/>
            </w:pPr>
            <w:r>
              <w:rPr>
                <w:rFonts w:ascii="仿宋_GB2312" w:hAnsi="仿宋_GB2312" w:cs="仿宋_GB2312" w:eastAsia="仿宋_GB2312"/>
                <w:sz w:val="24"/>
              </w:rPr>
              <w:t>2、根据采购人要求搭建场地，现场、活动氛围布置符合活动主题；</w:t>
            </w:r>
          </w:p>
          <w:p>
            <w:pPr>
              <w:pStyle w:val="null3"/>
            </w:pPr>
            <w:r>
              <w:rPr>
                <w:rFonts w:ascii="仿宋_GB2312" w:hAnsi="仿宋_GB2312" w:cs="仿宋_GB2312" w:eastAsia="仿宋_GB2312"/>
                <w:sz w:val="24"/>
              </w:rPr>
              <w:t>3、具有实施本项目的现场管理团队及相关设备；</w:t>
            </w:r>
          </w:p>
          <w:p>
            <w:pPr>
              <w:pStyle w:val="null3"/>
            </w:pPr>
            <w:r>
              <w:rPr>
                <w:rFonts w:ascii="仿宋_GB2312" w:hAnsi="仿宋_GB2312" w:cs="仿宋_GB2312" w:eastAsia="仿宋_GB2312"/>
                <w:sz w:val="24"/>
              </w:rPr>
              <w:t>4、根据本项目实际情况配备安保及保洁人员；制定安全应急管理预案及管理机制。</w:t>
            </w:r>
          </w:p>
          <w:p>
            <w:pPr>
              <w:pStyle w:val="null3"/>
            </w:pPr>
            <w:r>
              <w:rPr>
                <w:rFonts w:ascii="仿宋_GB2312" w:hAnsi="仿宋_GB2312" w:cs="仿宋_GB2312" w:eastAsia="仿宋_GB2312"/>
                <w:sz w:val="24"/>
              </w:rPr>
              <w:t>五、商务要求</w:t>
            </w:r>
          </w:p>
          <w:p>
            <w:pPr>
              <w:pStyle w:val="null3"/>
            </w:pPr>
            <w:r>
              <w:rPr>
                <w:rFonts w:ascii="仿宋_GB2312" w:hAnsi="仿宋_GB2312" w:cs="仿宋_GB2312" w:eastAsia="仿宋_GB2312"/>
                <w:sz w:val="24"/>
              </w:rPr>
              <w:t>（一）服务期限</w:t>
            </w:r>
          </w:p>
          <w:p>
            <w:pPr>
              <w:pStyle w:val="null3"/>
            </w:pPr>
            <w:r>
              <w:rPr>
                <w:rFonts w:ascii="仿宋_GB2312" w:hAnsi="仿宋_GB2312" w:cs="仿宋_GB2312" w:eastAsia="仿宋_GB2312"/>
                <w:sz w:val="24"/>
              </w:rPr>
              <w:t>签订合同之日起至项目结束</w:t>
            </w:r>
            <w:r>
              <w:rPr>
                <w:rFonts w:ascii="仿宋_GB2312" w:hAnsi="仿宋_GB2312" w:cs="仿宋_GB2312" w:eastAsia="仿宋_GB2312"/>
                <w:sz w:val="24"/>
              </w:rPr>
              <w:t>。</w:t>
            </w:r>
          </w:p>
          <w:p>
            <w:pPr>
              <w:pStyle w:val="null3"/>
            </w:pPr>
            <w:r>
              <w:rPr>
                <w:rFonts w:ascii="仿宋_GB2312" w:hAnsi="仿宋_GB2312" w:cs="仿宋_GB2312" w:eastAsia="仿宋_GB2312"/>
                <w:sz w:val="24"/>
              </w:rPr>
              <w:t>（二）款项结算</w:t>
            </w:r>
          </w:p>
          <w:p>
            <w:pPr>
              <w:pStyle w:val="null3"/>
            </w:pPr>
            <w:r>
              <w:rPr>
                <w:rFonts w:ascii="仿宋_GB2312" w:hAnsi="仿宋_GB2312" w:cs="仿宋_GB2312" w:eastAsia="仿宋_GB2312"/>
                <w:sz w:val="24"/>
              </w:rPr>
              <w:t>合同签订后，供应商向采购方开具等额的增值税普通发票，采购方收到合规的发票，达到付款条件后</w:t>
            </w:r>
            <w:r>
              <w:rPr>
                <w:rFonts w:ascii="仿宋_GB2312" w:hAnsi="仿宋_GB2312" w:cs="仿宋_GB2312" w:eastAsia="仿宋_GB2312"/>
                <w:sz w:val="24"/>
              </w:rPr>
              <w:t>15个</w:t>
            </w:r>
            <w:r>
              <w:rPr>
                <w:rFonts w:ascii="仿宋_GB2312" w:hAnsi="仿宋_GB2312" w:cs="仿宋_GB2312" w:eastAsia="仿宋_GB2312"/>
                <w:sz w:val="24"/>
              </w:rPr>
              <w:t>日历日</w:t>
            </w:r>
            <w:r>
              <w:rPr>
                <w:rFonts w:ascii="仿宋_GB2312" w:hAnsi="仿宋_GB2312" w:cs="仿宋_GB2312" w:eastAsia="仿宋_GB2312"/>
                <w:sz w:val="24"/>
              </w:rPr>
              <w:t>内向乙方支付合同金额的</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供应商项目执行结束经验收合格后，向采购方开具等额的增值税普通发票</w:t>
            </w:r>
            <w:r>
              <w:rPr>
                <w:rFonts w:ascii="仿宋_GB2312" w:hAnsi="仿宋_GB2312" w:cs="仿宋_GB2312" w:eastAsia="仿宋_GB2312"/>
                <w:sz w:val="24"/>
              </w:rPr>
              <w:t>，</w:t>
            </w:r>
            <w:r>
              <w:rPr>
                <w:rFonts w:ascii="仿宋_GB2312" w:hAnsi="仿宋_GB2312" w:cs="仿宋_GB2312" w:eastAsia="仿宋_GB2312"/>
                <w:sz w:val="24"/>
              </w:rPr>
              <w:t>采购方收到合规的发票，达到付款条件后</w:t>
            </w:r>
            <w:r>
              <w:rPr>
                <w:rFonts w:ascii="仿宋_GB2312" w:hAnsi="仿宋_GB2312" w:cs="仿宋_GB2312" w:eastAsia="仿宋_GB2312"/>
                <w:sz w:val="24"/>
              </w:rPr>
              <w:t>15个</w:t>
            </w:r>
            <w:r>
              <w:rPr>
                <w:rFonts w:ascii="仿宋_GB2312" w:hAnsi="仿宋_GB2312" w:cs="仿宋_GB2312" w:eastAsia="仿宋_GB2312"/>
                <w:sz w:val="24"/>
              </w:rPr>
              <w:t>日历日</w:t>
            </w:r>
            <w:r>
              <w:rPr>
                <w:rFonts w:ascii="仿宋_GB2312" w:hAnsi="仿宋_GB2312" w:cs="仿宋_GB2312" w:eastAsia="仿宋_GB2312"/>
                <w:sz w:val="24"/>
              </w:rPr>
              <w:t>向乙方支付合同金额的</w:t>
            </w:r>
            <w:r>
              <w:rPr>
                <w:rFonts w:ascii="仿宋_GB2312" w:hAnsi="仿宋_GB2312" w:cs="仿宋_GB2312" w:eastAsia="仿宋_GB2312"/>
                <w:sz w:val="24"/>
              </w:rPr>
              <w:t>4</w:t>
            </w:r>
            <w:r>
              <w:rPr>
                <w:rFonts w:ascii="仿宋_GB2312" w:hAnsi="仿宋_GB2312" w:cs="仿宋_GB2312" w:eastAsia="仿宋_GB2312"/>
                <w:sz w:val="24"/>
              </w:rPr>
              <w:t>0%。</w:t>
            </w:r>
          </w:p>
          <w:p>
            <w:pPr>
              <w:pStyle w:val="null3"/>
            </w:pPr>
            <w:r>
              <w:rPr>
                <w:rFonts w:ascii="仿宋_GB2312" w:hAnsi="仿宋_GB2312" w:cs="仿宋_GB2312" w:eastAsia="仿宋_GB2312"/>
                <w:sz w:val="24"/>
              </w:rPr>
              <w:t>六、其他</w:t>
            </w:r>
          </w:p>
          <w:p>
            <w:pPr>
              <w:pStyle w:val="null3"/>
            </w:pPr>
            <w:r>
              <w:rPr>
                <w:rFonts w:ascii="仿宋_GB2312" w:hAnsi="仿宋_GB2312" w:cs="仿宋_GB2312" w:eastAsia="仿宋_GB2312"/>
                <w:sz w:val="24"/>
              </w:rPr>
              <w:t>（一）对服务商的业绩要求</w:t>
            </w:r>
          </w:p>
          <w:p>
            <w:pPr>
              <w:pStyle w:val="null3"/>
            </w:pPr>
            <w:r>
              <w:rPr>
                <w:rFonts w:ascii="仿宋_GB2312" w:hAnsi="仿宋_GB2312" w:cs="仿宋_GB2312" w:eastAsia="仿宋_GB2312"/>
                <w:sz w:val="24"/>
              </w:rPr>
              <w:t>类似项目业绩</w:t>
            </w:r>
          </w:p>
          <w:p>
            <w:pPr>
              <w:pStyle w:val="null3"/>
            </w:pPr>
            <w:r>
              <w:rPr>
                <w:rFonts w:ascii="仿宋_GB2312" w:hAnsi="仿宋_GB2312" w:cs="仿宋_GB2312" w:eastAsia="仿宋_GB2312"/>
                <w:sz w:val="24"/>
              </w:rPr>
              <w:t>（二）进度要求</w:t>
            </w:r>
          </w:p>
          <w:p>
            <w:pPr>
              <w:pStyle w:val="null3"/>
            </w:pPr>
            <w:r>
              <w:rPr>
                <w:rFonts w:ascii="仿宋_GB2312" w:hAnsi="仿宋_GB2312" w:cs="仿宋_GB2312" w:eastAsia="仿宋_GB2312"/>
                <w:sz w:val="24"/>
              </w:rPr>
              <w:t>按甲方进度要求组织。</w:t>
            </w:r>
          </w:p>
          <w:p>
            <w:pPr>
              <w:pStyle w:val="null3"/>
            </w:pPr>
            <w:r>
              <w:rPr>
                <w:rFonts w:ascii="仿宋_GB2312" w:hAnsi="仿宋_GB2312" w:cs="仿宋_GB2312" w:eastAsia="仿宋_GB2312"/>
                <w:sz w:val="24"/>
              </w:rPr>
              <w:t>（三）成果交付要求</w:t>
            </w:r>
          </w:p>
          <w:p>
            <w:pPr>
              <w:pStyle w:val="null3"/>
            </w:pPr>
            <w:r>
              <w:rPr>
                <w:rFonts w:ascii="仿宋_GB2312" w:hAnsi="仿宋_GB2312" w:cs="仿宋_GB2312" w:eastAsia="仿宋_GB2312"/>
                <w:sz w:val="24"/>
              </w:rPr>
              <w:t>需达到采购人对项目的具体要求。</w:t>
            </w:r>
          </w:p>
          <w:p>
            <w:pPr>
              <w:pStyle w:val="null3"/>
            </w:pPr>
            <w:r>
              <w:rPr>
                <w:rFonts w:ascii="仿宋_GB2312" w:hAnsi="仿宋_GB2312" w:cs="仿宋_GB2312" w:eastAsia="仿宋_GB2312"/>
                <w:sz w:val="24"/>
              </w:rPr>
              <w:t>（四）质量验收标准或规范</w:t>
            </w:r>
          </w:p>
          <w:p>
            <w:pPr>
              <w:pStyle w:val="null3"/>
            </w:pPr>
            <w:r>
              <w:rPr>
                <w:rFonts w:ascii="仿宋_GB2312" w:hAnsi="仿宋_GB2312" w:cs="仿宋_GB2312" w:eastAsia="仿宋_GB2312"/>
                <w:sz w:val="24"/>
              </w:rPr>
              <w:t>1、服务期满后按照成交供应商所提供的资料及数据进行验收；</w:t>
            </w:r>
          </w:p>
          <w:p>
            <w:pPr>
              <w:pStyle w:val="null3"/>
            </w:pPr>
            <w:r>
              <w:rPr>
                <w:rFonts w:ascii="仿宋_GB2312" w:hAnsi="仿宋_GB2312" w:cs="仿宋_GB2312" w:eastAsia="仿宋_GB2312"/>
                <w:sz w:val="24"/>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sz w:val="24"/>
              </w:rPr>
              <w:t>3、验收和评价方式</w:t>
            </w:r>
          </w:p>
          <w:p>
            <w:pPr>
              <w:pStyle w:val="null3"/>
            </w:pPr>
            <w:r>
              <w:rPr>
                <w:rFonts w:ascii="仿宋_GB2312" w:hAnsi="仿宋_GB2312" w:cs="仿宋_GB2312" w:eastAsia="仿宋_GB2312"/>
                <w:sz w:val="24"/>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sz w:val="24"/>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sz w:val="24"/>
              </w:rPr>
              <w:t>3.3  验收标准：按磋商文件、磋商响应文件等服务指标进行逐项验收，各项指标均应符合验收标准及要求。</w:t>
            </w:r>
          </w:p>
          <w:p>
            <w:pPr>
              <w:pStyle w:val="null3"/>
            </w:pPr>
            <w:r>
              <w:rPr>
                <w:rFonts w:ascii="仿宋_GB2312" w:hAnsi="仿宋_GB2312" w:cs="仿宋_GB2312" w:eastAsia="仿宋_GB2312"/>
                <w:sz w:val="24"/>
              </w:rPr>
              <w:t>3.4  验收合格后，填写验收单，双方盖章、签字生效。</w:t>
            </w:r>
          </w:p>
          <w:p>
            <w:pPr>
              <w:pStyle w:val="null3"/>
            </w:pPr>
            <w:r>
              <w:rPr>
                <w:rFonts w:ascii="仿宋_GB2312" w:hAnsi="仿宋_GB2312" w:cs="仿宋_GB2312" w:eastAsia="仿宋_GB2312"/>
                <w:sz w:val="24"/>
              </w:rPr>
              <w:t>3.5  验收依据</w:t>
            </w:r>
          </w:p>
          <w:p>
            <w:pPr>
              <w:pStyle w:val="null3"/>
            </w:pPr>
            <w:r>
              <w:rPr>
                <w:rFonts w:ascii="仿宋_GB2312" w:hAnsi="仿宋_GB2312" w:cs="仿宋_GB2312" w:eastAsia="仿宋_GB2312"/>
                <w:sz w:val="24"/>
              </w:rPr>
              <w:t>3.5.1  合同文本。</w:t>
            </w:r>
          </w:p>
          <w:p>
            <w:pPr>
              <w:pStyle w:val="null3"/>
            </w:pPr>
            <w:r>
              <w:rPr>
                <w:rFonts w:ascii="仿宋_GB2312" w:hAnsi="仿宋_GB2312" w:cs="仿宋_GB2312" w:eastAsia="仿宋_GB2312"/>
                <w:sz w:val="24"/>
              </w:rPr>
              <w:t>3.5.2  磋商响应文件、磋商文件、澄清函。</w:t>
            </w:r>
          </w:p>
          <w:p>
            <w:pPr>
              <w:pStyle w:val="null3"/>
            </w:pPr>
            <w:r>
              <w:rPr>
                <w:rFonts w:ascii="仿宋_GB2312" w:hAnsi="仿宋_GB2312" w:cs="仿宋_GB2312" w:eastAsia="仿宋_GB2312"/>
                <w:sz w:val="24"/>
              </w:rPr>
              <w:t>3.5.3  国家和行业制定的相应的标准和规范。</w:t>
            </w:r>
          </w:p>
          <w:p>
            <w:pPr>
              <w:pStyle w:val="null3"/>
            </w:pPr>
            <w:r>
              <w:rPr>
                <w:rFonts w:ascii="仿宋_GB2312" w:hAnsi="仿宋_GB2312" w:cs="仿宋_GB2312" w:eastAsia="仿宋_GB2312"/>
                <w:sz w:val="24"/>
              </w:rPr>
              <w:t>（五）违约责任</w:t>
            </w:r>
          </w:p>
          <w:p>
            <w:pPr>
              <w:pStyle w:val="null3"/>
            </w:pPr>
            <w:r>
              <w:rPr>
                <w:rFonts w:ascii="仿宋_GB2312" w:hAnsi="仿宋_GB2312" w:cs="仿宋_GB2312" w:eastAsia="仿宋_GB2312"/>
                <w:sz w:val="24"/>
              </w:rPr>
              <w:t>1、按《民法典》中的相关条款执行。</w:t>
            </w:r>
          </w:p>
          <w:p>
            <w:pPr>
              <w:pStyle w:val="null3"/>
            </w:pPr>
            <w:r>
              <w:rPr>
                <w:rFonts w:ascii="仿宋_GB2312" w:hAnsi="仿宋_GB2312" w:cs="仿宋_GB2312" w:eastAsia="仿宋_GB2312"/>
                <w:sz w:val="24"/>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sz w:val="24"/>
              </w:rPr>
              <w:t>3、由于“疫情”等不可抗力因素造成无法按照原计划提供服务，双方互不追究违约责任。</w:t>
            </w:r>
          </w:p>
          <w:p>
            <w:pPr>
              <w:pStyle w:val="null3"/>
              <w:jc w:val="both"/>
            </w:pPr>
            <w:r>
              <w:rPr>
                <w:rFonts w:ascii="仿宋_GB2312" w:hAnsi="仿宋_GB2312" w:cs="仿宋_GB2312" w:eastAsia="仿宋_GB2312"/>
                <w:sz w:val="24"/>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②需求分析：每完全满足一个评审标准得1分，未完全满足一个评审标准得0-0.9分，满分3分；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三、赋分标准（满分18分） ①整体服务方案：每完全满足一个评审标准得2分，未完全满足一个评审标准得0-1.9分，满分6分； ②项目实施计划：每完全满足一个评审标准得2分，未完全满足一个评审标准得0-1.9分，满分6分； ③组织实施方案：每完全满足一个评审标准得2分，未完全满足一个评审标准得0-1.9分，满分6分。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①质量保证措施：每完全满足一个评审标准得1分，未完全满足一个评审标准得0-0.9分，满分3分； ②进度控制措施：每完全满足一个评审标准得1分，未完全满足一个评审标准得0-0.9分，满分3分； ③安全管理措施：每完全满足一个评审标准得2分，未完全满足一个评审标准得0-1.9分，满分6分。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会议服务方案</w:t>
            </w:r>
          </w:p>
        </w:tc>
        <w:tc>
          <w:tcPr>
            <w:tcW w:type="dxa" w:w="2492"/>
          </w:tcPr>
          <w:p>
            <w:pPr>
              <w:pStyle w:val="null3"/>
            </w:pPr>
            <w:r>
              <w:rPr>
                <w:rFonts w:ascii="仿宋_GB2312" w:hAnsi="仿宋_GB2312" w:cs="仿宋_GB2312" w:eastAsia="仿宋_GB2312"/>
              </w:rPr>
              <w:t>一、评审内容 针对本项目提出适用于本项目的会议服务方案，方案包括：①会议整体策划方案②会议现场布置方案③会议实施安排方案 二、评审标准 1、完整性：方案必须全面，对评审内容中的各项要求有详细描述； 2、可实施性：切合本项目实际情况，提出步骤清晰、合理的方案； 3、针对性：方案能够紧扣项目实际情况，内容科学合理。 三、赋分标准（满分12分） ①会议整体策划方案：每完全满足一个评审标准得2分，未完全满足一个评审标准得0-1.9分，满分6分； ②会议现场布置方案：每完全满足一个评审标准得1分，未完全满足一个评审标准得0-0.9分，满分3分; ③会议现场布置方案：每完全满足一个评审标准得1分，未完全满足一个评审标准得0-0.9分，满分3分。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针对本项目提出适用于本项目的实施管理方案，方案包括：①拟投入的设备、物料②人员组织管理方案③会议资料总结 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①拟投入的设备、物料：每完全满足一个评审标准得1分，未完全满足一个评审标准得0-0.9分，满分3分； ②人员组织管理方案：每完全满足一个评审标准得1分，未完全满足一个评审标准得0-0.9分，满分3分； ③会议资料总结：每完全满足一个评审标准得1分，未完全满足一个评审标准得0-0.9分，满分3分。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①服务承诺：每完全满足一个评审标准得1分，未完全满足一个评审标准得0-0.9分，满分3分；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