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D494F">
      <w:pPr>
        <w:pStyle w:val="5"/>
        <w:jc w:val="center"/>
        <w:outlineLvl w:val="1"/>
        <w:rPr>
          <w:rFonts w:hint="default"/>
          <w:color w:val="auto"/>
          <w:highlight w:val="none"/>
        </w:rPr>
      </w:pPr>
      <w:bookmarkStart w:id="4" w:name="_GoBack"/>
      <w:r>
        <w:rPr>
          <w:b/>
          <w:color w:val="auto"/>
          <w:sz w:val="36"/>
          <w:highlight w:val="none"/>
        </w:rPr>
        <w:t>拟签订采购合同文本</w:t>
      </w:r>
    </w:p>
    <w:bookmarkEnd w:id="4"/>
    <w:p w14:paraId="3A5ECB5F">
      <w:pPr>
        <w:spacing w:line="500" w:lineRule="exact"/>
        <w:ind w:firstLine="482" w:firstLineChars="200"/>
        <w:jc w:val="center"/>
        <w:rPr>
          <w:rFonts w:hint="eastAsia" w:ascii="宋体" w:hAnsi="宋体" w:cs="宋体"/>
          <w:color w:val="auto"/>
          <w:sz w:val="24"/>
          <w:highlight w:val="none"/>
        </w:rPr>
      </w:pPr>
      <w:bookmarkStart w:id="0" w:name="_Toc3479853"/>
      <w:bookmarkStart w:id="1" w:name="_Toc3591"/>
      <w:bookmarkStart w:id="2" w:name="_Toc7987"/>
      <w:bookmarkStart w:id="3" w:name="_Toc2345"/>
      <w:r>
        <w:rPr>
          <w:rFonts w:hint="eastAsia" w:ascii="宋体" w:hAnsi="宋体" w:cs="宋体"/>
          <w:b/>
          <w:bCs/>
          <w:color w:val="auto"/>
          <w:sz w:val="24"/>
          <w:highlight w:val="none"/>
        </w:rPr>
        <w:t>（此合同样本仅供参考，合同具体细则以双方协定为准）</w:t>
      </w:r>
    </w:p>
    <w:p w14:paraId="37BBD247">
      <w:pPr>
        <w:spacing w:line="5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采购人（甲方）：</w:t>
      </w:r>
      <w:r>
        <w:rPr>
          <w:rFonts w:hint="eastAsia" w:ascii="宋体" w:hAnsi="宋体" w:cs="宋体"/>
          <w:color w:val="auto"/>
          <w:sz w:val="24"/>
          <w:highlight w:val="none"/>
          <w:u w:val="single"/>
        </w:rPr>
        <w:t xml:space="preserve">                       </w:t>
      </w:r>
    </w:p>
    <w:p w14:paraId="6B8270C2">
      <w:pPr>
        <w:spacing w:line="500" w:lineRule="exact"/>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成交人（乙方）：</w:t>
      </w:r>
      <w:r>
        <w:rPr>
          <w:rFonts w:hint="eastAsia" w:ascii="宋体" w:hAnsi="宋体" w:cs="宋体"/>
          <w:color w:val="auto"/>
          <w:sz w:val="24"/>
          <w:highlight w:val="none"/>
          <w:u w:val="single"/>
        </w:rPr>
        <w:t xml:space="preserve">                       </w:t>
      </w:r>
    </w:p>
    <w:p w14:paraId="50AF9AF9">
      <w:pPr>
        <w:spacing w:line="5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u w:val="single"/>
        </w:rPr>
        <w:t>西安市儿童医院病案寄存托管服务项目</w:t>
      </w:r>
      <w:r>
        <w:rPr>
          <w:rFonts w:hint="eastAsia" w:ascii="宋体" w:hAnsi="宋体" w:cs="宋体"/>
          <w:color w:val="auto"/>
          <w:sz w:val="24"/>
          <w:highlight w:val="none"/>
        </w:rPr>
        <w:t>(项目编号：</w:t>
      </w:r>
      <w:r>
        <w:rPr>
          <w:rFonts w:hint="eastAsia" w:ascii="宋体" w:hAnsi="宋体" w:cs="宋体"/>
          <w:color w:val="auto"/>
          <w:sz w:val="24"/>
          <w:highlight w:val="none"/>
          <w:u w:val="single"/>
        </w:rPr>
        <w:t>0701-254008030004</w:t>
      </w:r>
      <w:r>
        <w:rPr>
          <w:rFonts w:hint="eastAsia" w:ascii="宋体" w:hAnsi="宋体" w:cs="宋体"/>
          <w:color w:val="auto"/>
          <w:sz w:val="24"/>
          <w:highlight w:val="none"/>
        </w:rPr>
        <w:t>)，由陕西天鸿信项目管理有限公司组织竞争性磋商。</w:t>
      </w:r>
      <w:r>
        <w:rPr>
          <w:rFonts w:hint="eastAsia" w:ascii="宋体" w:hAnsi="宋体" w:cs="宋体"/>
          <w:color w:val="auto"/>
          <w:sz w:val="24"/>
          <w:highlight w:val="none"/>
          <w:u w:val="single"/>
        </w:rPr>
        <w:t>西安市</w:t>
      </w:r>
      <w:r>
        <w:rPr>
          <w:rFonts w:hint="eastAsia" w:ascii="宋体" w:hAnsi="宋体" w:cs="宋体"/>
          <w:color w:val="auto"/>
          <w:sz w:val="24"/>
          <w:highlight w:val="none"/>
          <w:u w:val="single"/>
          <w:lang w:val="en-US" w:eastAsia="zh-CN"/>
        </w:rPr>
        <w:t>儿童</w:t>
      </w:r>
      <w:r>
        <w:rPr>
          <w:rFonts w:hint="eastAsia" w:ascii="宋体" w:hAnsi="宋体" w:cs="宋体"/>
          <w:color w:val="auto"/>
          <w:sz w:val="24"/>
          <w:highlight w:val="none"/>
          <w:u w:val="single"/>
        </w:rPr>
        <w:t>医院</w:t>
      </w:r>
      <w:r>
        <w:rPr>
          <w:rFonts w:hint="eastAsia" w:ascii="宋体" w:hAnsi="宋体" w:cs="宋体"/>
          <w:color w:val="auto"/>
          <w:sz w:val="24"/>
          <w:highlight w:val="none"/>
        </w:rPr>
        <w:t>(以下简称“甲方”)确定</w:t>
      </w:r>
      <w:r>
        <w:rPr>
          <w:rFonts w:hint="eastAsia" w:ascii="宋体" w:hAnsi="宋体" w:cs="宋体"/>
          <w:color w:val="auto"/>
          <w:sz w:val="24"/>
          <w:highlight w:val="none"/>
          <w:u w:val="single"/>
        </w:rPr>
        <w:t xml:space="preserve"> (成交单位名称) </w:t>
      </w:r>
      <w:r>
        <w:rPr>
          <w:rFonts w:hint="eastAsia" w:ascii="宋体" w:hAnsi="宋体" w:cs="宋体"/>
          <w:color w:val="auto"/>
          <w:sz w:val="24"/>
          <w:highlight w:val="none"/>
        </w:rPr>
        <w:t xml:space="preserve">（以下简称“乙方”）为成交单位。 </w:t>
      </w:r>
    </w:p>
    <w:p w14:paraId="021130B0">
      <w:pPr>
        <w:spacing w:line="5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依据《中华人民共和国民法典》和《中华人民共和国政府采购法》及相关法律法规的规定，甲方通过竞争性磋商采购</w:t>
      </w:r>
      <w:r>
        <w:rPr>
          <w:rFonts w:hint="eastAsia" w:ascii="宋体" w:hAnsi="宋体" w:cs="宋体"/>
          <w:color w:val="auto"/>
          <w:sz w:val="24"/>
          <w:highlight w:val="none"/>
          <w:u w:val="single"/>
        </w:rPr>
        <w:t>西安市儿童医院病案寄存托管服务项目</w:t>
      </w:r>
      <w:r>
        <w:rPr>
          <w:rFonts w:hint="eastAsia" w:ascii="宋体" w:hAnsi="宋体" w:cs="宋体"/>
          <w:color w:val="auto"/>
          <w:sz w:val="24"/>
          <w:highlight w:val="none"/>
        </w:rPr>
        <w:t>，甲、乙双方在平等自愿原则下签订本合同，并共同遵守如下条款：</w:t>
      </w:r>
    </w:p>
    <w:p w14:paraId="03685E69">
      <w:pPr>
        <w:spacing w:line="500" w:lineRule="exact"/>
        <w:jc w:val="left"/>
        <w:rPr>
          <w:rFonts w:hint="eastAsia" w:ascii="宋体" w:hAnsi="宋体" w:cs="宋体"/>
          <w:color w:val="auto"/>
          <w:sz w:val="24"/>
          <w:highlight w:val="none"/>
        </w:rPr>
      </w:pPr>
      <w:r>
        <w:rPr>
          <w:rFonts w:hint="eastAsia" w:ascii="宋体" w:hAnsi="宋体" w:cs="宋体"/>
          <w:b/>
          <w:bCs/>
          <w:color w:val="auto"/>
          <w:sz w:val="24"/>
          <w:highlight w:val="none"/>
        </w:rPr>
        <w:t>1、合同价款</w:t>
      </w:r>
    </w:p>
    <w:p w14:paraId="70CDE1C1">
      <w:pPr>
        <w:spacing w:line="500" w:lineRule="exact"/>
        <w:ind w:firstLine="482" w:firstLineChars="200"/>
        <w:jc w:val="left"/>
        <w:rPr>
          <w:rFonts w:hint="eastAsia" w:ascii="宋体" w:hAnsi="宋体" w:cs="宋体"/>
          <w:b/>
          <w:bCs/>
          <w:color w:val="auto"/>
          <w:sz w:val="24"/>
          <w:highlight w:val="none"/>
        </w:rPr>
      </w:pPr>
      <w:r>
        <w:rPr>
          <w:rFonts w:hint="eastAsia" w:ascii="宋体" w:hAnsi="宋体" w:cs="宋体"/>
          <w:b/>
          <w:bCs/>
          <w:color w:val="auto"/>
          <w:sz w:val="24"/>
          <w:highlight w:val="none"/>
        </w:rPr>
        <w:t>西安市儿童医院病案寄存托管服务项目</w:t>
      </w:r>
      <w:r>
        <w:rPr>
          <w:rFonts w:hint="eastAsia" w:ascii="宋体" w:hAnsi="宋体" w:cs="宋体"/>
          <w:b/>
          <w:bCs/>
          <w:color w:val="auto"/>
          <w:sz w:val="24"/>
          <w:highlight w:val="none"/>
          <w:lang w:val="en-US" w:eastAsia="zh-CN"/>
        </w:rPr>
        <w:t>中标价格为</w:t>
      </w:r>
      <w:r>
        <w:rPr>
          <w:rFonts w:hint="eastAsia" w:ascii="宋体" w:hAnsi="宋体" w:cs="宋体"/>
          <w:b/>
          <w:bCs/>
          <w:color w:val="auto"/>
          <w:sz w:val="24"/>
          <w:highlight w:val="none"/>
          <w:u w:val="single"/>
          <w:lang w:val="en-US" w:eastAsia="zh-CN"/>
        </w:rPr>
        <w:t xml:space="preserve">     </w:t>
      </w:r>
      <w:r>
        <w:rPr>
          <w:rFonts w:hint="eastAsia" w:ascii="宋体" w:hAnsi="宋体" w:cs="宋体"/>
          <w:b/>
          <w:bCs/>
          <w:color w:val="auto"/>
          <w:sz w:val="24"/>
          <w:highlight w:val="none"/>
          <w:lang w:val="en-US" w:eastAsia="zh-CN"/>
        </w:rPr>
        <w:t>元</w:t>
      </w:r>
      <w:r>
        <w:rPr>
          <w:rFonts w:hint="eastAsia" w:ascii="宋体" w:hAnsi="宋体" w:cs="宋体"/>
          <w:b/>
          <w:bCs/>
          <w:color w:val="auto"/>
          <w:sz w:val="24"/>
          <w:highlight w:val="none"/>
        </w:rPr>
        <w:t>，不受市场价变化或实际工作量变化的影响。合同价格为含税价，供应商（成交人）提供的所有服务（包括移库、辅材、</w:t>
      </w:r>
      <w:r>
        <w:rPr>
          <w:rFonts w:hint="eastAsia" w:ascii="宋体" w:hAnsi="宋体" w:cs="宋体"/>
          <w:b/>
          <w:bCs/>
          <w:color w:val="auto"/>
          <w:sz w:val="24"/>
          <w:highlight w:val="none"/>
          <w:u w:val="none"/>
        </w:rPr>
        <w:t>档案箱</w:t>
      </w:r>
      <w:r>
        <w:rPr>
          <w:rFonts w:hint="eastAsia" w:ascii="宋体" w:hAnsi="宋体" w:cs="宋体"/>
          <w:b/>
          <w:bCs/>
          <w:color w:val="auto"/>
          <w:sz w:val="24"/>
          <w:highlight w:val="none"/>
          <w:u w:val="none"/>
          <w:lang w:eastAsia="zh-CN"/>
        </w:rPr>
        <w:t>、</w:t>
      </w:r>
      <w:r>
        <w:rPr>
          <w:rFonts w:hint="eastAsia" w:ascii="宋体" w:hAnsi="宋体" w:cs="宋体"/>
          <w:b/>
          <w:bCs/>
          <w:color w:val="auto"/>
          <w:sz w:val="24"/>
          <w:highlight w:val="none"/>
        </w:rPr>
        <w:t>承诺的免费调阅费等）、所发生的一切税费（包括增值税）等都已包含于合同价款中。</w:t>
      </w:r>
    </w:p>
    <w:p w14:paraId="6A3D944F">
      <w:pPr>
        <w:spacing w:line="500" w:lineRule="exact"/>
        <w:jc w:val="left"/>
        <w:rPr>
          <w:rFonts w:hint="eastAsia" w:ascii="宋体" w:hAnsi="宋体" w:cs="宋体"/>
          <w:b/>
          <w:bCs/>
          <w:color w:val="auto"/>
          <w:sz w:val="24"/>
          <w:highlight w:val="none"/>
        </w:rPr>
      </w:pPr>
      <w:r>
        <w:rPr>
          <w:rFonts w:hint="eastAsia" w:ascii="宋体" w:hAnsi="宋体" w:cs="宋体"/>
          <w:b/>
          <w:bCs/>
          <w:color w:val="auto"/>
          <w:sz w:val="24"/>
          <w:highlight w:val="none"/>
        </w:rPr>
        <w:t>2、服务期限</w:t>
      </w:r>
    </w:p>
    <w:p w14:paraId="61B54513">
      <w:pPr>
        <w:spacing w:line="500" w:lineRule="exact"/>
        <w:ind w:firstLine="480" w:firstLineChars="200"/>
        <w:jc w:val="left"/>
        <w:rPr>
          <w:rFonts w:hint="eastAsia" w:ascii="宋体" w:hAnsi="宋体" w:cs="宋体" w:eastAsiaTheme="minorEastAsia"/>
          <w:color w:val="auto"/>
          <w:sz w:val="24"/>
          <w:highlight w:val="none"/>
          <w:u w:val="single"/>
          <w:lang w:eastAsia="zh-CN"/>
        </w:rPr>
      </w:pPr>
      <w:r>
        <w:rPr>
          <w:rFonts w:hint="eastAsia" w:ascii="宋体" w:hAnsi="宋体" w:cs="宋体"/>
          <w:color w:val="auto"/>
          <w:sz w:val="24"/>
          <w:highlight w:val="none"/>
          <w:lang w:eastAsia="zh-CN"/>
        </w:rPr>
        <w:t>本项目服务期为</w:t>
      </w:r>
      <w:r>
        <w:rPr>
          <w:rFonts w:hint="eastAsia" w:ascii="宋体" w:hAnsi="宋体" w:cs="宋体"/>
          <w:color w:val="auto"/>
          <w:sz w:val="24"/>
          <w:highlight w:val="none"/>
          <w:lang w:val="en-US" w:eastAsia="zh-CN"/>
        </w:rPr>
        <w:t>3</w:t>
      </w:r>
      <w:r>
        <w:rPr>
          <w:rFonts w:hint="eastAsia" w:ascii="宋体" w:hAnsi="宋体" w:cs="宋体"/>
          <w:color w:val="auto"/>
          <w:sz w:val="24"/>
          <w:highlight w:val="none"/>
          <w:lang w:eastAsia="zh-CN"/>
        </w:rPr>
        <w:t>年，采取一次招标</w:t>
      </w:r>
      <w:r>
        <w:rPr>
          <w:rFonts w:hint="eastAsia" w:ascii="宋体" w:hAnsi="宋体" w:cs="宋体"/>
          <w:color w:val="auto"/>
          <w:sz w:val="24"/>
          <w:highlight w:val="none"/>
          <w:lang w:val="en-US" w:eastAsia="zh-CN"/>
        </w:rPr>
        <w:t>3</w:t>
      </w:r>
      <w:r>
        <w:rPr>
          <w:rFonts w:hint="eastAsia" w:ascii="宋体" w:hAnsi="宋体" w:cs="宋体"/>
          <w:color w:val="auto"/>
          <w:sz w:val="24"/>
          <w:highlight w:val="none"/>
          <w:lang w:eastAsia="zh-CN"/>
        </w:rPr>
        <w:t>年沿用，</w:t>
      </w:r>
      <w:r>
        <w:rPr>
          <w:rFonts w:hint="eastAsia" w:ascii="宋体" w:hAnsi="宋体" w:cs="宋体"/>
          <w:color w:val="auto"/>
          <w:sz w:val="24"/>
          <w:highlight w:val="none"/>
          <w:lang w:val="en-US" w:eastAsia="zh-CN"/>
        </w:rPr>
        <w:t>1</w:t>
      </w:r>
      <w:r>
        <w:rPr>
          <w:rFonts w:hint="eastAsia" w:ascii="宋体" w:hAnsi="宋体" w:cs="宋体"/>
          <w:color w:val="auto"/>
          <w:sz w:val="24"/>
          <w:highlight w:val="none"/>
          <w:lang w:eastAsia="zh-CN"/>
        </w:rPr>
        <w:t>年</w:t>
      </w:r>
      <w:r>
        <w:rPr>
          <w:rFonts w:hint="eastAsia" w:ascii="宋体" w:hAnsi="宋体" w:cs="宋体"/>
          <w:color w:val="auto"/>
          <w:sz w:val="24"/>
          <w:highlight w:val="none"/>
          <w:lang w:val="en-US" w:eastAsia="zh-CN"/>
        </w:rPr>
        <w:t>1</w:t>
      </w:r>
      <w:r>
        <w:rPr>
          <w:rFonts w:hint="eastAsia" w:ascii="宋体" w:hAnsi="宋体" w:cs="宋体"/>
          <w:color w:val="auto"/>
          <w:sz w:val="24"/>
          <w:highlight w:val="none"/>
          <w:lang w:eastAsia="zh-CN"/>
        </w:rPr>
        <w:t>考核</w:t>
      </w:r>
      <w:r>
        <w:rPr>
          <w:rFonts w:hint="eastAsia" w:ascii="宋体" w:hAnsi="宋体" w:cs="宋体"/>
          <w:color w:val="auto"/>
          <w:sz w:val="24"/>
          <w:highlight w:val="none"/>
          <w:lang w:val="en-US" w:eastAsia="zh-CN"/>
        </w:rPr>
        <w:t>1</w:t>
      </w:r>
      <w:r>
        <w:rPr>
          <w:rFonts w:hint="eastAsia" w:ascii="宋体" w:hAnsi="宋体" w:cs="宋体"/>
          <w:color w:val="auto"/>
          <w:sz w:val="24"/>
          <w:highlight w:val="none"/>
          <w:lang w:eastAsia="zh-CN"/>
        </w:rPr>
        <w:t>签合同的方式，合同</w:t>
      </w:r>
      <w:r>
        <w:rPr>
          <w:rFonts w:hint="eastAsia" w:ascii="宋体" w:hAnsi="宋体" w:cs="宋体"/>
          <w:color w:val="auto"/>
          <w:sz w:val="24"/>
          <w:highlight w:val="none"/>
          <w:lang w:val="en-US" w:eastAsia="zh-CN"/>
        </w:rPr>
        <w:t>1</w:t>
      </w:r>
      <w:r>
        <w:rPr>
          <w:rFonts w:hint="eastAsia" w:ascii="宋体" w:hAnsi="宋体" w:cs="宋体"/>
          <w:color w:val="auto"/>
          <w:sz w:val="24"/>
          <w:highlight w:val="none"/>
          <w:lang w:eastAsia="zh-CN"/>
        </w:rPr>
        <w:t>年</w:t>
      </w:r>
      <w:r>
        <w:rPr>
          <w:rFonts w:hint="eastAsia" w:ascii="宋体" w:hAnsi="宋体" w:cs="宋体"/>
          <w:color w:val="auto"/>
          <w:sz w:val="24"/>
          <w:highlight w:val="none"/>
          <w:lang w:val="en-US" w:eastAsia="zh-CN"/>
        </w:rPr>
        <w:t>1</w:t>
      </w:r>
      <w:r>
        <w:rPr>
          <w:rFonts w:hint="eastAsia" w:ascii="宋体" w:hAnsi="宋体" w:cs="宋体"/>
          <w:color w:val="auto"/>
          <w:sz w:val="24"/>
          <w:highlight w:val="none"/>
          <w:lang w:eastAsia="zh-CN"/>
        </w:rPr>
        <w:t>签，考核合格续签第</w:t>
      </w:r>
      <w:r>
        <w:rPr>
          <w:rFonts w:hint="eastAsia" w:ascii="宋体" w:hAnsi="宋体" w:cs="宋体"/>
          <w:color w:val="auto"/>
          <w:sz w:val="24"/>
          <w:highlight w:val="none"/>
          <w:lang w:val="en-US" w:eastAsia="zh-CN"/>
        </w:rPr>
        <w:t>2</w:t>
      </w:r>
      <w:r>
        <w:rPr>
          <w:rFonts w:hint="eastAsia" w:ascii="宋体" w:hAnsi="宋体" w:cs="宋体"/>
          <w:color w:val="auto"/>
          <w:sz w:val="24"/>
          <w:highlight w:val="none"/>
          <w:lang w:eastAsia="zh-CN"/>
        </w:rPr>
        <w:t>年。若任何一方提出异议，则本合同终止。</w:t>
      </w:r>
    </w:p>
    <w:p w14:paraId="3C28033F">
      <w:pPr>
        <w:spacing w:line="360" w:lineRule="auto"/>
        <w:jc w:val="left"/>
        <w:rPr>
          <w:rFonts w:hint="eastAsia" w:ascii="宋体" w:hAnsi="宋体" w:cs="宋体"/>
          <w:color w:val="auto"/>
          <w:sz w:val="24"/>
          <w:highlight w:val="none"/>
          <w:u w:val="single"/>
        </w:rPr>
      </w:pPr>
      <w:r>
        <w:rPr>
          <w:rFonts w:hint="eastAsia" w:ascii="宋体" w:hAnsi="宋体" w:cs="宋体"/>
          <w:b/>
          <w:bCs/>
          <w:color w:val="auto"/>
          <w:sz w:val="24"/>
          <w:highlight w:val="none"/>
        </w:rPr>
        <w:t>3、服务内容</w:t>
      </w:r>
    </w:p>
    <w:p w14:paraId="30956F4C">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西安市儿童医院病案寄存托管服务项目。</w:t>
      </w:r>
    </w:p>
    <w:p w14:paraId="60D384DB">
      <w:pPr>
        <w:spacing w:line="360" w:lineRule="auto"/>
        <w:jc w:val="left"/>
        <w:rPr>
          <w:rFonts w:hint="eastAsia" w:ascii="宋体" w:hAnsi="宋体" w:cs="宋体"/>
          <w:color w:val="auto"/>
          <w:sz w:val="24"/>
          <w:highlight w:val="none"/>
        </w:rPr>
      </w:pPr>
      <w:r>
        <w:rPr>
          <w:rFonts w:hint="eastAsia" w:ascii="宋体" w:hAnsi="宋体" w:cs="宋体"/>
          <w:b/>
          <w:bCs/>
          <w:color w:val="auto"/>
          <w:sz w:val="24"/>
          <w:highlight w:val="none"/>
        </w:rPr>
        <w:t>4、结算方式</w:t>
      </w:r>
    </w:p>
    <w:p w14:paraId="00817619">
      <w:pPr>
        <w:pStyle w:val="5"/>
        <w:spacing w:line="360" w:lineRule="auto"/>
        <w:ind w:firstLine="480"/>
        <w:jc w:val="both"/>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1.付款方式：</w:t>
      </w:r>
      <w:r>
        <w:rPr>
          <w:rFonts w:hint="default" w:ascii="宋体" w:hAnsi="宋体" w:cs="宋体" w:eastAsiaTheme="minorEastAsia"/>
          <w:color w:val="auto"/>
          <w:kern w:val="2"/>
          <w:sz w:val="24"/>
          <w:szCs w:val="24"/>
          <w:highlight w:val="none"/>
          <w:lang w:val="en-US" w:eastAsia="zh-CN" w:bidi="ar-SA"/>
        </w:rPr>
        <w:t>自合同签订后服务期满一年经甲方考核合格后，支付合同总金额的40%</w:t>
      </w:r>
      <w:r>
        <w:rPr>
          <w:rFonts w:hint="eastAsia" w:ascii="宋体" w:hAnsi="宋体" w:cs="宋体" w:eastAsiaTheme="minorEastAsia"/>
          <w:color w:val="auto"/>
          <w:kern w:val="2"/>
          <w:sz w:val="24"/>
          <w:szCs w:val="24"/>
          <w:highlight w:val="none"/>
          <w:lang w:val="en-US" w:eastAsia="zh-CN" w:bidi="ar-SA"/>
        </w:rPr>
        <w:t>。服务期满两年经甲方考核合格后</w:t>
      </w:r>
      <w:r>
        <w:rPr>
          <w:rFonts w:hint="default" w:ascii="宋体" w:hAnsi="宋体" w:cs="宋体" w:eastAsiaTheme="minorEastAsia"/>
          <w:color w:val="auto"/>
          <w:kern w:val="2"/>
          <w:sz w:val="24"/>
          <w:szCs w:val="24"/>
          <w:highlight w:val="none"/>
          <w:lang w:val="en-US" w:eastAsia="zh-CN" w:bidi="ar-SA"/>
        </w:rPr>
        <w:t>支付合同总金额的30%，</w:t>
      </w:r>
      <w:r>
        <w:rPr>
          <w:rFonts w:hint="eastAsia" w:ascii="宋体" w:hAnsi="宋体" w:cs="宋体" w:eastAsiaTheme="minorEastAsia"/>
          <w:color w:val="auto"/>
          <w:kern w:val="2"/>
          <w:sz w:val="24"/>
          <w:szCs w:val="24"/>
          <w:highlight w:val="none"/>
          <w:lang w:val="en-US" w:eastAsia="zh-CN" w:bidi="ar-SA"/>
        </w:rPr>
        <w:t>服务期结束经甲方考核合格后</w:t>
      </w:r>
      <w:r>
        <w:rPr>
          <w:rFonts w:hint="default" w:ascii="宋体" w:hAnsi="宋体" w:cs="宋体" w:eastAsiaTheme="minorEastAsia"/>
          <w:color w:val="auto"/>
          <w:kern w:val="2"/>
          <w:sz w:val="24"/>
          <w:szCs w:val="24"/>
          <w:highlight w:val="none"/>
          <w:lang w:val="en-US" w:eastAsia="zh-CN" w:bidi="ar-SA"/>
        </w:rPr>
        <w:t>支付合同</w:t>
      </w:r>
      <w:r>
        <w:rPr>
          <w:rFonts w:hint="eastAsia" w:ascii="宋体" w:hAnsi="宋体" w:cs="宋体" w:eastAsiaTheme="minorEastAsia"/>
          <w:color w:val="auto"/>
          <w:kern w:val="2"/>
          <w:sz w:val="24"/>
          <w:szCs w:val="24"/>
          <w:highlight w:val="none"/>
          <w:lang w:val="en-US" w:eastAsia="zh-CN" w:bidi="ar-SA"/>
        </w:rPr>
        <w:t>剩余</w:t>
      </w:r>
      <w:r>
        <w:rPr>
          <w:rFonts w:hint="default" w:ascii="宋体" w:hAnsi="宋体" w:cs="宋体" w:eastAsiaTheme="minorEastAsia"/>
          <w:color w:val="auto"/>
          <w:kern w:val="2"/>
          <w:sz w:val="24"/>
          <w:szCs w:val="24"/>
          <w:highlight w:val="none"/>
          <w:lang w:val="en-US" w:eastAsia="zh-CN" w:bidi="ar-SA"/>
        </w:rPr>
        <w:t>30%金额。</w:t>
      </w:r>
    </w:p>
    <w:p w14:paraId="0C22B59F">
      <w:pPr>
        <w:pStyle w:val="2"/>
        <w:spacing w:line="360" w:lineRule="auto"/>
        <w:ind w:left="719" w:leftChars="228" w:hanging="240" w:hangingChars="100"/>
        <w:rPr>
          <w:rFonts w:hint="eastAsia" w:ascii="宋体" w:hAnsi="宋体" w:eastAsia="宋体" w:cs="宋体"/>
          <w:color w:val="auto"/>
          <w:sz w:val="24"/>
          <w:highlight w:val="none"/>
          <w:lang w:eastAsia="zh-CN"/>
        </w:rPr>
      </w:pPr>
      <w:r>
        <w:rPr>
          <w:rFonts w:hint="eastAsia" w:ascii="宋体" w:hAnsi="宋体" w:cs="宋体"/>
          <w:color w:val="auto"/>
          <w:sz w:val="24"/>
          <w:highlight w:val="none"/>
        </w:rPr>
        <w:t>2.支付方式：银行转账</w:t>
      </w:r>
      <w:r>
        <w:rPr>
          <w:rFonts w:hint="eastAsia" w:ascii="宋体" w:hAnsi="宋体" w:cs="宋体"/>
          <w:color w:val="auto"/>
          <w:sz w:val="24"/>
          <w:highlight w:val="none"/>
          <w:lang w:eastAsia="zh-CN"/>
        </w:rPr>
        <w:t>。</w:t>
      </w:r>
    </w:p>
    <w:p w14:paraId="44CA4238">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3.结算方式：银行转账。</w:t>
      </w:r>
    </w:p>
    <w:p w14:paraId="1B498D86">
      <w:pPr>
        <w:spacing w:line="360" w:lineRule="auto"/>
        <w:ind w:firstLine="480" w:firstLineChars="200"/>
        <w:rPr>
          <w:rFonts w:hint="eastAsia" w:ascii="宋体" w:hAnsi="宋体" w:cs="宋体"/>
          <w:b/>
          <w:color w:val="auto"/>
          <w:sz w:val="24"/>
          <w:highlight w:val="none"/>
        </w:rPr>
      </w:pPr>
      <w:r>
        <w:rPr>
          <w:rFonts w:hint="eastAsia" w:ascii="宋体" w:hAnsi="宋体" w:cs="宋体"/>
          <w:bCs/>
          <w:color w:val="auto"/>
          <w:sz w:val="24"/>
          <w:highlight w:val="none"/>
        </w:rPr>
        <w:t>4.结算单位：乙方需向甲方出具合法有效的完税发票，甲方进行支付结算。</w:t>
      </w:r>
    </w:p>
    <w:p w14:paraId="4AB9C6DC">
      <w:pPr>
        <w:spacing w:line="360" w:lineRule="auto"/>
        <w:jc w:val="left"/>
        <w:rPr>
          <w:rFonts w:hint="eastAsia" w:ascii="宋体" w:hAnsi="宋体" w:cs="宋体"/>
          <w:bCs/>
          <w:color w:val="auto"/>
          <w:sz w:val="24"/>
          <w:highlight w:val="none"/>
        </w:rPr>
      </w:pPr>
      <w:r>
        <w:rPr>
          <w:rFonts w:hint="eastAsia" w:ascii="宋体" w:hAnsi="宋体" w:cs="宋体"/>
          <w:b/>
          <w:color w:val="auto"/>
          <w:sz w:val="24"/>
          <w:highlight w:val="none"/>
        </w:rPr>
        <w:t>5、合同组成</w:t>
      </w:r>
    </w:p>
    <w:p w14:paraId="56653A17">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成交通知书、合同文件、竞争性磋商文件、磋商响应文件、国家相关规范及标准等。</w:t>
      </w:r>
    </w:p>
    <w:bookmarkEnd w:id="0"/>
    <w:bookmarkEnd w:id="1"/>
    <w:bookmarkEnd w:id="2"/>
    <w:bookmarkEnd w:id="3"/>
    <w:p w14:paraId="029DA6AB">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 xml:space="preserve">6、甲方的权利及义务 </w:t>
      </w:r>
    </w:p>
    <w:p w14:paraId="29B7F72B">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1.拥有托管档案的所有权并且具有按本合同的条款存储档案的完全自主权。</w:t>
      </w:r>
    </w:p>
    <w:p w14:paraId="10D4E697">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2.有权对乙方存管档案的库房及档案安全防护措施定期进行现场检查（具体时间另行安排），并有权建议乙方及时整改。</w:t>
      </w:r>
    </w:p>
    <w:p w14:paraId="6897A695">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3.按本合同约定入库、出库、查阅托管档案。</w:t>
      </w:r>
    </w:p>
    <w:p w14:paraId="351D6A0F">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4.按本合同约定支付相关服务费用。</w:t>
      </w:r>
    </w:p>
    <w:p w14:paraId="2897A14B">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7、乙方的权利及义务</w:t>
      </w:r>
    </w:p>
    <w:p w14:paraId="577B29E1">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乙方应提供满足国家规定的档案管理要求的库房，包括空调、配电、电梯等配套设施，依法配备符合国家规定的安全消防设备及其他安防措施，并由专人对库房进行防盗、防火、防漏、防水、防虫、防鼠、防尘、防光、防潮、防腐、防高温等进行定期检查并保存检查记录。</w:t>
      </w:r>
    </w:p>
    <w:p w14:paraId="179DF621">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2.乙方在档案保管、运输过程中因人为因素造成甲方档案丢失、受损等情况，乙方须承担赔偿责任。甲方有权从未付款项中扣除赔偿金额，赔偿金额包括甲方由此遭受的全部直接损失和间接损失。</w:t>
      </w:r>
    </w:p>
    <w:p w14:paraId="30C962EA">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3.乙方应对甲方开展的方案库房检查工作进行积极配合。</w:t>
      </w:r>
    </w:p>
    <w:p w14:paraId="6E9A0B72">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4.对甲方托管的档案履行保密义务，并与甲方签订保密协议书。</w:t>
      </w:r>
    </w:p>
    <w:p w14:paraId="6BF21203">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5.如乙方发生任何违反中华人民共和国的法律法规的事项，或发生违反中华人民共和国档案管理法规的事项，或违反档案管理行业通行规则的事项等，则甲方均有权单方面解除合同。甲方解除合同的，乙方向甲方支付合同价款10%作为违约金。</w:t>
      </w:r>
    </w:p>
    <w:p w14:paraId="23F3BBD3">
      <w:pPr>
        <w:spacing w:line="360" w:lineRule="auto"/>
        <w:ind w:firstLine="480" w:firstLineChars="200"/>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6.乙方应确保甲方病案的实体安全和信息安全，保护国家秘密、甲方商业秘密和个人隐私安全，保护甲方的知识产权。在乙方存储期间发生以下情况，按每份赔偿经济损失：</w:t>
      </w:r>
    </w:p>
    <w:p w14:paraId="490CB4BC">
      <w:pPr>
        <w:spacing w:line="360" w:lineRule="auto"/>
        <w:ind w:firstLine="480" w:firstLineChars="200"/>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（1）病案丢失，赔偿金额为一万元/份；</w:t>
      </w:r>
    </w:p>
    <w:p w14:paraId="474696B5">
      <w:pPr>
        <w:spacing w:line="360" w:lineRule="auto"/>
        <w:ind w:firstLine="480" w:firstLineChars="200"/>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（2）病案内容缺失，赔偿金额为一万元/份；</w:t>
      </w:r>
    </w:p>
    <w:p w14:paraId="7F2C7803">
      <w:pPr>
        <w:spacing w:line="360" w:lineRule="auto"/>
        <w:ind w:firstLine="480" w:firstLineChars="200"/>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（3）病案信息泄露，赔偿金额为一万元/份；</w:t>
      </w:r>
    </w:p>
    <w:p w14:paraId="19877DCB">
      <w:pPr>
        <w:spacing w:line="360" w:lineRule="auto"/>
        <w:ind w:firstLine="480" w:firstLineChars="200"/>
        <w:rPr>
          <w:rFonts w:hint="default" w:eastAsiaTheme="minorEastAsia"/>
          <w:color w:val="auto"/>
          <w:highlight w:val="none"/>
          <w:lang w:val="en-US" w:eastAsia="zh-CN"/>
        </w:rPr>
      </w:pPr>
      <w:r>
        <w:rPr>
          <w:rFonts w:hint="eastAsia" w:ascii="宋体" w:hAnsi="宋体" w:cs="宋体"/>
          <w:bCs/>
          <w:color w:val="auto"/>
          <w:sz w:val="24"/>
          <w:highlight w:val="none"/>
          <w:lang w:val="en-US" w:eastAsia="zh-CN"/>
        </w:rPr>
        <w:t>（4）其他不可预测的安全问题，赔偿金额为一万元/份。</w:t>
      </w:r>
    </w:p>
    <w:p w14:paraId="08B449B3">
      <w:pPr>
        <w:spacing w:line="360" w:lineRule="auto"/>
        <w:jc w:val="left"/>
        <w:rPr>
          <w:rFonts w:hint="eastAsia" w:ascii="宋体" w:hAnsi="宋体" w:cs="宋体"/>
          <w:bCs/>
          <w:color w:val="auto"/>
          <w:sz w:val="24"/>
          <w:highlight w:val="none"/>
        </w:rPr>
      </w:pPr>
      <w:r>
        <w:rPr>
          <w:rFonts w:hint="eastAsia" w:ascii="宋体" w:hAnsi="宋体" w:cs="宋体"/>
          <w:b/>
          <w:color w:val="auto"/>
          <w:sz w:val="24"/>
          <w:highlight w:val="none"/>
        </w:rPr>
        <w:t>8、违约责任、合同终止或解除</w:t>
      </w:r>
    </w:p>
    <w:p w14:paraId="418399FE">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 xml:space="preserve">甲乙双方应以合同精神为宗旨，合同生效后，双方均应按约履行；守约方有权要求违约方承担继续履行、支付违约金、赔偿损失等违约责任。 </w:t>
      </w:r>
    </w:p>
    <w:p w14:paraId="03E6639B">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1.对于档案库房防盗、防火、防漏、防水、防虫、防鼠、防尘、防光、防潮、防腐、防高温等措施不符合国家相关标准的，自甲方发出书面通知后10个工作日内完成整改并达标。</w:t>
      </w:r>
    </w:p>
    <w:p w14:paraId="73A3E9DD">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2.对于库房温湿度等条件不符合国家相关标准的，自甲方发出书面通知后10个工作日内完成整改并达标。</w:t>
      </w:r>
    </w:p>
    <w:p w14:paraId="4F7F47BE">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3.对于其他整改要求，自甲方发出书面通知后，在通知书中记载的合理期限内完成整改并达标。</w:t>
      </w:r>
    </w:p>
    <w:p w14:paraId="064A19DD">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4.如乙方违反保密承诺书的规定，发生由乙方或乙方员工导致的泄密，乙方向甲方支付合同价款10%作为违约金并承担由此产生的全部责任。甲方有权从未付款中扣除违约金和赔偿金额，赔偿金额包括甲方由此遭受的全部直接损失。</w:t>
      </w:r>
    </w:p>
    <w:p w14:paraId="1F1D91A8">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5.除以上情形外，甲乙双方协商一致并签订书面协议，可提前终止本合同。</w:t>
      </w:r>
    </w:p>
    <w:p w14:paraId="2D4477F6">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6.如甲乙双方协商提前终止合同或合同有限期满后双方不续签合同，乙方对甲方交存其保管的档案不得留置。任何违约责任或合同终止或解除情况下，甲方拥有托管档案的所有权并且具有按合同的条款存储档案的完全自主权，乙方对甲方交存其保管的档案不得留置。</w:t>
      </w:r>
    </w:p>
    <w:p w14:paraId="455F8068">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9、不可抗力</w:t>
      </w:r>
    </w:p>
    <w:p w14:paraId="0172203E">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由于发生不可抗力事件而导致本合同不能继续履行的。双方应及时会商，并在提供相关证明文件后，本合同可提前终止，双方互不承担责任。</w:t>
      </w:r>
    </w:p>
    <w:p w14:paraId="12A2B566">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10、项目联系人</w:t>
      </w:r>
    </w:p>
    <w:p w14:paraId="4A1F8850">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在本合同有限期内，甲乙双方需指定项目联系人，项目联系人承担以下责任：</w:t>
      </w:r>
    </w:p>
    <w:p w14:paraId="4C18D770">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1.负责双方的联络工作。</w:t>
      </w:r>
    </w:p>
    <w:p w14:paraId="5D14CF79">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2.负责完成合同所需条件的准备工作。</w:t>
      </w:r>
    </w:p>
    <w:p w14:paraId="5255CADF">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3.负责合同执行过程中双方相关事物的处理，并定期就执行过程中遇到的问题进行沟通，就沟通内容形成纪要。</w:t>
      </w:r>
    </w:p>
    <w:p w14:paraId="13A06D16">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4.负责合同审阅验收、付款等工作。</w:t>
      </w:r>
    </w:p>
    <w:p w14:paraId="202E27F7">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11、授权</w:t>
      </w:r>
    </w:p>
    <w:p w14:paraId="46FC8EAC">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1.甲方向甲方指定人员授权。</w:t>
      </w:r>
    </w:p>
    <w:p w14:paraId="0C78726E">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1.1甲方向乙方提供授权委托指定人员，乙方只可以向记录在授权表内人员提供服务。乙方在确认被授权人身份后，可提供如资料的查阅、递送、接受、销毁等已经达成协议的服务。</w:t>
      </w:r>
    </w:p>
    <w:p w14:paraId="02382943">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1.2甲方应该确保所提供授权表内容的准确性。若甲方未在授权内提供详细信息，乙方有权拒绝向没有在授权表内登记资料不全的甲方人员提供有关数据资料的服务或相关信息。</w:t>
      </w:r>
    </w:p>
    <w:p w14:paraId="683859F8">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2.甲方向乙方指定人员授权</w:t>
      </w:r>
    </w:p>
    <w:p w14:paraId="4269CFFD">
      <w:pPr>
        <w:spacing w:line="360" w:lineRule="auto"/>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甲方向乙方指定人员授权，有根据甲方服务需求打开档案箱解除甲方单件档案的权限。</w:t>
      </w:r>
    </w:p>
    <w:p w14:paraId="3E2E0F4E">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12、通知和送达</w:t>
      </w:r>
    </w:p>
    <w:p w14:paraId="3BFBA2C5">
      <w:pPr>
        <w:spacing w:line="360" w:lineRule="auto"/>
        <w:ind w:firstLine="480" w:firstLineChars="200"/>
        <w:jc w:val="left"/>
        <w:rPr>
          <w:rFonts w:hint="eastAsia" w:ascii="宋体" w:hAnsi="宋体" w:cs="宋体"/>
          <w:b/>
          <w:color w:val="auto"/>
          <w:sz w:val="24"/>
          <w:highlight w:val="none"/>
        </w:rPr>
      </w:pPr>
      <w:r>
        <w:rPr>
          <w:rFonts w:hint="eastAsia" w:ascii="宋体" w:hAnsi="宋体" w:cs="宋体"/>
          <w:bCs/>
          <w:color w:val="auto"/>
          <w:sz w:val="24"/>
          <w:highlight w:val="none"/>
        </w:rPr>
        <w:t>一方按照合同所示地址发送给另一方的通知或信件于送达时视为到达。更改地址、执照内容、项目联系人、授权调阅人需在24小时内书面通知对方。否则任何一方按照本合同约定的地址及项目联系人所发出的有关书面/邮件通知，均视为送达对方。</w:t>
      </w:r>
    </w:p>
    <w:p w14:paraId="5B0BB2AD">
      <w:pPr>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13、其他事项</w:t>
      </w:r>
    </w:p>
    <w:p w14:paraId="44817717">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（一）乙方不得转让、分包给其它单位或个人。</w:t>
      </w:r>
    </w:p>
    <w:p w14:paraId="31D565FE">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（二）乙方的响应文件和承诺等内容将列入合同。</w:t>
      </w:r>
    </w:p>
    <w:p w14:paraId="6621F761">
      <w:pPr>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14、验收</w:t>
      </w:r>
    </w:p>
    <w:p w14:paraId="4D47B207">
      <w:pPr>
        <w:autoSpaceDE w:val="0"/>
        <w:autoSpaceDN w:val="0"/>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（一）本项目验收费用，由乙方自行承担。</w:t>
      </w:r>
    </w:p>
    <w:p w14:paraId="515A72B4">
      <w:pPr>
        <w:autoSpaceDE w:val="0"/>
        <w:autoSpaceDN w:val="0"/>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二）服务期满后，由乙方向甲方递交验收通知书，经甲方确认后，组织乙方进行系统验收（必要时采购人可委托具有相关资质的第三方检测机构/技术专家对本次服务进行系统验收，需要国家法定检验部门进行检验或验收的由乙方负责联系）。验收合格后，填写政府采购项目验收单作为对本次服务的最终认可。</w:t>
      </w:r>
    </w:p>
    <w:p w14:paraId="6AC65156">
      <w:pPr>
        <w:autoSpaceDE w:val="0"/>
        <w:autoSpaceDN w:val="0"/>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（三）验收依据：</w:t>
      </w:r>
    </w:p>
    <w:p w14:paraId="2290A403">
      <w:pPr>
        <w:autoSpaceDE w:val="0"/>
        <w:autoSpaceDN w:val="0"/>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1.本合同及附加文本；</w:t>
      </w:r>
    </w:p>
    <w:p w14:paraId="67964336">
      <w:pPr>
        <w:autoSpaceDE w:val="0"/>
        <w:autoSpaceDN w:val="0"/>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2.磋商文件、成交供应商的响应文件及澄清（承诺）函；</w:t>
      </w:r>
    </w:p>
    <w:p w14:paraId="1B1179EA">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3.国家相应的标准、规范。</w:t>
      </w:r>
    </w:p>
    <w:p w14:paraId="5C7CCF5C">
      <w:pPr>
        <w:snapToGrid w:val="0"/>
        <w:spacing w:line="360" w:lineRule="auto"/>
        <w:rPr>
          <w:rFonts w:hint="eastAsia" w:ascii="宋体" w:hAnsi="宋体" w:cs="宋体"/>
          <w:color w:val="auto"/>
          <w:sz w:val="24"/>
          <w:highlight w:val="none"/>
        </w:rPr>
      </w:pPr>
      <w:r>
        <w:rPr>
          <w:rFonts w:hint="eastAsia" w:ascii="宋体" w:hAnsi="宋体" w:cs="宋体"/>
          <w:b/>
          <w:color w:val="auto"/>
          <w:sz w:val="24"/>
          <w:highlight w:val="none"/>
        </w:rPr>
        <w:t>15、违约责任</w:t>
      </w:r>
    </w:p>
    <w:p w14:paraId="0B597A9F">
      <w:pPr>
        <w:adjustRightInd w:val="0"/>
        <w:snapToGrid w:val="0"/>
        <w:spacing w:line="360" w:lineRule="auto"/>
        <w:ind w:firstLine="480" w:firstLineChars="200"/>
        <w:jc w:val="left"/>
        <w:rPr>
          <w:rFonts w:hint="eastAsia" w:ascii="宋体" w:hAnsi="宋体" w:cs="宋体"/>
          <w:color w:val="auto"/>
          <w:sz w:val="24"/>
          <w:szCs w:val="32"/>
          <w:highlight w:val="none"/>
        </w:rPr>
      </w:pPr>
      <w:r>
        <w:rPr>
          <w:rFonts w:hint="eastAsia" w:ascii="宋体" w:hAnsi="宋体" w:cs="宋体"/>
          <w:color w:val="auto"/>
          <w:sz w:val="24"/>
          <w:highlight w:val="none"/>
        </w:rPr>
        <w:t>（一）按《</w:t>
      </w:r>
      <w:r>
        <w:rPr>
          <w:rFonts w:hint="eastAsia" w:ascii="宋体" w:hAnsi="宋体" w:cs="宋体"/>
          <w:bCs/>
          <w:color w:val="auto"/>
          <w:sz w:val="24"/>
          <w:highlight w:val="none"/>
        </w:rPr>
        <w:t>中华人民共和国民法典</w:t>
      </w:r>
      <w:r>
        <w:rPr>
          <w:rFonts w:hint="eastAsia" w:ascii="宋体" w:hAnsi="宋体" w:cs="宋体"/>
          <w:color w:val="auto"/>
          <w:sz w:val="24"/>
          <w:highlight w:val="none"/>
        </w:rPr>
        <w:t>》中的相关条款执行。</w:t>
      </w:r>
    </w:p>
    <w:p w14:paraId="2E946370">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（二）未按合同要求提供服务或服务质量不能满足本次采购要求，采购人会同监督机构、采购代理机构有权终止合同和对成交供应商违约行为进行追究，同时按政府采购法的有关规定进行相应的处罚。</w:t>
      </w:r>
    </w:p>
    <w:p w14:paraId="29FE15BA">
      <w:pPr>
        <w:autoSpaceDE w:val="0"/>
        <w:autoSpaceDN w:val="0"/>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16、合同生效</w:t>
      </w:r>
    </w:p>
    <w:p w14:paraId="32639FAB">
      <w:pPr>
        <w:autoSpaceDE w:val="0"/>
        <w:autoSpaceDN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（一）本合同须经甲、乙双方的法定代表人（授权代表）在合同书上签字并加盖本单位公章后正式生效。</w:t>
      </w:r>
    </w:p>
    <w:p w14:paraId="016A0AAA">
      <w:pPr>
        <w:autoSpaceDE w:val="0"/>
        <w:autoSpaceDN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（二）合同生效后，甲、乙双方须严格执行本合同条款的规定，全面履行合同，违者按《</w:t>
      </w:r>
      <w:r>
        <w:rPr>
          <w:rFonts w:hint="eastAsia" w:ascii="宋体" w:hAnsi="宋体" w:cs="宋体"/>
          <w:bCs/>
          <w:color w:val="auto"/>
          <w:sz w:val="24"/>
          <w:highlight w:val="none"/>
        </w:rPr>
        <w:t>中华人民共和国民法典</w:t>
      </w:r>
      <w:r>
        <w:rPr>
          <w:rFonts w:hint="eastAsia" w:ascii="宋体" w:hAnsi="宋体" w:cs="宋体"/>
          <w:color w:val="auto"/>
          <w:sz w:val="24"/>
          <w:highlight w:val="none"/>
        </w:rPr>
        <w:t>》的有关规定承担相应责任。</w:t>
      </w:r>
    </w:p>
    <w:p w14:paraId="3F5FD69F">
      <w:pPr>
        <w:autoSpaceDE w:val="0"/>
        <w:autoSpaceDN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（三）本合同一式</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份，甲乙双方各执</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份。</w:t>
      </w:r>
    </w:p>
    <w:p w14:paraId="1FB608A4">
      <w:pPr>
        <w:adjustRightInd w:val="0"/>
        <w:snapToGrid w:val="0"/>
        <w:spacing w:line="360" w:lineRule="auto"/>
        <w:ind w:firstLine="480" w:firstLineChars="200"/>
        <w:jc w:val="left"/>
        <w:rPr>
          <w:rFonts w:hint="eastAsia" w:ascii="宋体" w:hAnsi="宋体" w:cs="宋体"/>
          <w:color w:val="auto"/>
          <w:sz w:val="24"/>
          <w:szCs w:val="32"/>
          <w:highlight w:val="none"/>
        </w:rPr>
      </w:pPr>
      <w:r>
        <w:rPr>
          <w:rFonts w:hint="eastAsia" w:ascii="宋体" w:hAnsi="宋体" w:cs="宋体"/>
          <w:color w:val="auto"/>
          <w:sz w:val="24"/>
          <w:highlight w:val="none"/>
        </w:rPr>
        <w:t>（四）本合同如有未尽事宜，甲、乙双方协商解决。</w:t>
      </w:r>
    </w:p>
    <w:tbl>
      <w:tblPr>
        <w:tblStyle w:val="3"/>
        <w:tblW w:w="9140" w:type="dxa"/>
        <w:jc w:val="center"/>
        <w:tblLayout w:type="fixed"/>
        <w:tblCellMar>
          <w:top w:w="0" w:type="dxa"/>
          <w:left w:w="108" w:type="dxa"/>
          <w:bottom w:w="0" w:type="dxa"/>
          <w:right w:w="108" w:type="dxa"/>
        </w:tblCellMar>
      </w:tblPr>
      <w:tblGrid>
        <w:gridCol w:w="4570"/>
        <w:gridCol w:w="4570"/>
      </w:tblGrid>
      <w:tr w14:paraId="5807511C">
        <w:tblPrEx>
          <w:tblCellMar>
            <w:top w:w="0" w:type="dxa"/>
            <w:left w:w="108" w:type="dxa"/>
            <w:bottom w:w="0" w:type="dxa"/>
            <w:right w:w="108" w:type="dxa"/>
          </w:tblCellMar>
        </w:tblPrEx>
        <w:trPr>
          <w:trHeight w:val="3482" w:hRule="atLeast"/>
          <w:jc w:val="center"/>
        </w:trPr>
        <w:tc>
          <w:tcPr>
            <w:tcW w:w="4570" w:type="dxa"/>
            <w:noWrap w:val="0"/>
            <w:vAlign w:val="top"/>
          </w:tcPr>
          <w:p w14:paraId="62D6A2CF">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p>
          <w:p w14:paraId="6A1B1773">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甲方名称</w:t>
            </w:r>
            <w:r>
              <w:rPr>
                <w:rFonts w:hint="eastAsia" w:ascii="宋体" w:hAnsi="宋体" w:cs="宋体"/>
                <w:color w:val="auto"/>
                <w:spacing w:val="-20"/>
                <w:kern w:val="0"/>
                <w:sz w:val="24"/>
                <w:highlight w:val="none"/>
              </w:rPr>
              <w:t>（盖章）：</w:t>
            </w:r>
          </w:p>
          <w:p w14:paraId="7286F858">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地址：</w:t>
            </w:r>
          </w:p>
          <w:p w14:paraId="626DC2E7">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法定代表人/授权代理人（签字或盖章）：</w:t>
            </w:r>
          </w:p>
          <w:p w14:paraId="460C45C0">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电话：</w:t>
            </w:r>
          </w:p>
          <w:p w14:paraId="76A62E25">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开户银行：</w:t>
            </w:r>
          </w:p>
          <w:p w14:paraId="722428C5">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账号：</w:t>
            </w:r>
          </w:p>
        </w:tc>
        <w:tc>
          <w:tcPr>
            <w:tcW w:w="4570" w:type="dxa"/>
            <w:noWrap w:val="0"/>
            <w:vAlign w:val="top"/>
          </w:tcPr>
          <w:p w14:paraId="4F6515E7">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p>
          <w:p w14:paraId="2E52D2C0">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乙方名称</w:t>
            </w:r>
            <w:r>
              <w:rPr>
                <w:rFonts w:hint="eastAsia" w:ascii="宋体" w:hAnsi="宋体" w:cs="宋体"/>
                <w:color w:val="auto"/>
                <w:spacing w:val="-20"/>
                <w:kern w:val="0"/>
                <w:sz w:val="24"/>
                <w:highlight w:val="none"/>
              </w:rPr>
              <w:t>（盖章）：</w:t>
            </w:r>
          </w:p>
          <w:p w14:paraId="0EC4764C">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地址：</w:t>
            </w:r>
          </w:p>
          <w:p w14:paraId="5BE6317F">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法定代表人/授权代理人（签字或盖章）：</w:t>
            </w:r>
          </w:p>
          <w:p w14:paraId="7A3B9D01">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电话：</w:t>
            </w:r>
          </w:p>
          <w:p w14:paraId="7EFFE4AE">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开户银行：</w:t>
            </w:r>
          </w:p>
          <w:p w14:paraId="309B40B1">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账号：</w:t>
            </w:r>
          </w:p>
        </w:tc>
      </w:tr>
      <w:tr w14:paraId="7A5ECDA9">
        <w:tblPrEx>
          <w:tblCellMar>
            <w:top w:w="0" w:type="dxa"/>
            <w:left w:w="108" w:type="dxa"/>
            <w:bottom w:w="0" w:type="dxa"/>
            <w:right w:w="108" w:type="dxa"/>
          </w:tblCellMar>
        </w:tblPrEx>
        <w:trPr>
          <w:trHeight w:val="709" w:hRule="atLeast"/>
          <w:jc w:val="center"/>
        </w:trPr>
        <w:tc>
          <w:tcPr>
            <w:tcW w:w="4570" w:type="dxa"/>
            <w:noWrap w:val="0"/>
            <w:vAlign w:val="top"/>
          </w:tcPr>
          <w:p w14:paraId="5381B950">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sz w:val="24"/>
                <w:highlight w:val="none"/>
              </w:rPr>
              <w:t>鉴证方</w:t>
            </w:r>
            <w:r>
              <w:rPr>
                <w:rFonts w:hint="eastAsia" w:ascii="宋体" w:hAnsi="宋体" w:cs="宋体"/>
                <w:color w:val="auto"/>
                <w:spacing w:val="-20"/>
                <w:kern w:val="0"/>
                <w:sz w:val="24"/>
                <w:highlight w:val="none"/>
              </w:rPr>
              <w:t>（盖章）</w:t>
            </w:r>
            <w:r>
              <w:rPr>
                <w:rFonts w:hint="eastAsia" w:ascii="宋体" w:hAnsi="宋体" w:cs="宋体"/>
                <w:color w:val="auto"/>
                <w:sz w:val="24"/>
                <w:highlight w:val="none"/>
              </w:rPr>
              <w:t>：</w:t>
            </w:r>
          </w:p>
        </w:tc>
        <w:tc>
          <w:tcPr>
            <w:tcW w:w="4570" w:type="dxa"/>
            <w:noWrap w:val="0"/>
            <w:vAlign w:val="top"/>
          </w:tcPr>
          <w:p w14:paraId="69DB67F6">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p>
        </w:tc>
      </w:tr>
      <w:tr w14:paraId="1F7BB51B">
        <w:tblPrEx>
          <w:tblCellMar>
            <w:top w:w="0" w:type="dxa"/>
            <w:left w:w="108" w:type="dxa"/>
            <w:bottom w:w="0" w:type="dxa"/>
            <w:right w:w="108" w:type="dxa"/>
          </w:tblCellMar>
        </w:tblPrEx>
        <w:trPr>
          <w:trHeight w:val="709" w:hRule="atLeast"/>
          <w:jc w:val="center"/>
        </w:trPr>
        <w:tc>
          <w:tcPr>
            <w:tcW w:w="4570" w:type="dxa"/>
            <w:noWrap w:val="0"/>
            <w:vAlign w:val="top"/>
          </w:tcPr>
          <w:p w14:paraId="1B0A50DE">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地址：</w:t>
            </w:r>
          </w:p>
        </w:tc>
        <w:tc>
          <w:tcPr>
            <w:tcW w:w="4570" w:type="dxa"/>
            <w:noWrap w:val="0"/>
            <w:vAlign w:val="top"/>
          </w:tcPr>
          <w:p w14:paraId="3C13840A">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p>
        </w:tc>
      </w:tr>
      <w:tr w14:paraId="664005CD">
        <w:tblPrEx>
          <w:tblCellMar>
            <w:top w:w="0" w:type="dxa"/>
            <w:left w:w="108" w:type="dxa"/>
            <w:bottom w:w="0" w:type="dxa"/>
            <w:right w:w="108" w:type="dxa"/>
          </w:tblCellMar>
        </w:tblPrEx>
        <w:trPr>
          <w:trHeight w:val="709" w:hRule="atLeast"/>
          <w:jc w:val="center"/>
        </w:trPr>
        <w:tc>
          <w:tcPr>
            <w:tcW w:w="4570" w:type="dxa"/>
            <w:noWrap w:val="0"/>
            <w:vAlign w:val="top"/>
          </w:tcPr>
          <w:p w14:paraId="29A69C45">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法定代表人/授权代理人（签字或盖章）：</w:t>
            </w:r>
          </w:p>
        </w:tc>
        <w:tc>
          <w:tcPr>
            <w:tcW w:w="4570" w:type="dxa"/>
            <w:noWrap w:val="0"/>
            <w:vAlign w:val="top"/>
          </w:tcPr>
          <w:p w14:paraId="7645E435">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p>
        </w:tc>
      </w:tr>
      <w:tr w14:paraId="2C3E7F72">
        <w:tblPrEx>
          <w:tblCellMar>
            <w:top w:w="0" w:type="dxa"/>
            <w:left w:w="108" w:type="dxa"/>
            <w:bottom w:w="0" w:type="dxa"/>
            <w:right w:w="108" w:type="dxa"/>
          </w:tblCellMar>
        </w:tblPrEx>
        <w:trPr>
          <w:trHeight w:val="709" w:hRule="atLeast"/>
          <w:jc w:val="center"/>
        </w:trPr>
        <w:tc>
          <w:tcPr>
            <w:tcW w:w="4570" w:type="dxa"/>
            <w:noWrap w:val="0"/>
            <w:vAlign w:val="top"/>
          </w:tcPr>
          <w:p w14:paraId="25094057">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电话：</w:t>
            </w:r>
          </w:p>
        </w:tc>
        <w:tc>
          <w:tcPr>
            <w:tcW w:w="4570" w:type="dxa"/>
            <w:noWrap w:val="0"/>
            <w:vAlign w:val="top"/>
          </w:tcPr>
          <w:p w14:paraId="7592B022">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p>
        </w:tc>
      </w:tr>
      <w:tr w14:paraId="35DEBB8D">
        <w:tblPrEx>
          <w:tblCellMar>
            <w:top w:w="0" w:type="dxa"/>
            <w:left w:w="108" w:type="dxa"/>
            <w:bottom w:w="0" w:type="dxa"/>
            <w:right w:w="108" w:type="dxa"/>
          </w:tblCellMar>
        </w:tblPrEx>
        <w:trPr>
          <w:trHeight w:val="709" w:hRule="atLeast"/>
          <w:jc w:val="center"/>
        </w:trPr>
        <w:tc>
          <w:tcPr>
            <w:tcW w:w="4570" w:type="dxa"/>
            <w:noWrap w:val="0"/>
            <w:vAlign w:val="top"/>
          </w:tcPr>
          <w:p w14:paraId="635B22C6">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r>
              <w:rPr>
                <w:rFonts w:hint="eastAsia" w:ascii="宋体" w:hAnsi="宋体" w:cs="宋体"/>
                <w:color w:val="auto"/>
                <w:kern w:val="0"/>
                <w:sz w:val="24"/>
                <w:highlight w:val="none"/>
              </w:rPr>
              <w:t>开户银行：</w:t>
            </w:r>
          </w:p>
        </w:tc>
        <w:tc>
          <w:tcPr>
            <w:tcW w:w="4570" w:type="dxa"/>
            <w:noWrap w:val="0"/>
            <w:vAlign w:val="top"/>
          </w:tcPr>
          <w:p w14:paraId="6E042E5B">
            <w:pPr>
              <w:widowControl/>
              <w:autoSpaceDE w:val="0"/>
              <w:autoSpaceDN w:val="0"/>
              <w:snapToGrid w:val="0"/>
              <w:spacing w:line="360" w:lineRule="auto"/>
              <w:ind w:right="-154"/>
              <w:textAlignment w:val="bottom"/>
              <w:rPr>
                <w:rFonts w:hint="eastAsia" w:ascii="宋体" w:hAnsi="宋体" w:cs="宋体"/>
                <w:color w:val="auto"/>
                <w:kern w:val="0"/>
                <w:sz w:val="24"/>
                <w:highlight w:val="none"/>
              </w:rPr>
            </w:pPr>
          </w:p>
        </w:tc>
      </w:tr>
    </w:tbl>
    <w:p w14:paraId="500248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FF038F"/>
    <w:rsid w:val="05FF0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rPr>
      <w:rFonts w:ascii="Tahoma" w:hAnsi="Tahoma"/>
    </w:rPr>
  </w:style>
  <w:style w:type="paragraph" w:customStyle="1" w:styleId="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2025-05-27T06:36:00Z</dcterms:created>
  <dc:creator>小花朵朵</dc:creator>
  <cp:lastModifiedBy>小花朵朵</cp:lastModifiedBy>
  <dcterms:modified xsi:type="dcterms:W3CDTF">2025-05-27T06:36:31Z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FDDD293F789644768D780518BA133495_11</vt:lpwstr>
  </property>
  <property fmtid="{D5CDD505-2E9C-101B-9397-08002B2CF9AE}" pid="4" name="KSOTemplateDocerSaveRecord">
    <vt:lpwstr>eyJoZGlkIjoiMWVkYmIyMWE2ZDE3ZDQxZjNmNWNkZDk5YjcxMGVhMzIiLCJ1c2VySWQiOiI2MDgwMzgxNzUifQ==</vt:lpwstr>
  </property>
</Properties>
</file>