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版本号：SSJY-CG（G）-202501820250613001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学校北围墙、启明楼楼顶维修项目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SSJY-CG（G）-2025018</w:t>
      </w:r>
      <w:r>
        <w:br/>
      </w:r>
      <w:r>
        <w:br/>
      </w:r>
      <w:r>
        <w:br/>
      </w:r>
    </w:p>
    <w:p>
      <w:pPr>
        <w:pStyle w:val="null3"/>
        <w:jc w:val="center"/>
        <w:outlineLvl w:val="2"/>
      </w:pPr>
      <w:r>
        <w:rPr>
          <w:rFonts w:ascii="仿宋_GB2312" w:hAnsi="仿宋_GB2312" w:cs="仿宋_GB2312" w:eastAsia="仿宋_GB2312"/>
          <w:sz w:val="28"/>
          <w:b/>
        </w:rPr>
        <w:t>西安市盲哑学校</w:t>
      </w:r>
    </w:p>
    <w:p>
      <w:pPr>
        <w:pStyle w:val="null3"/>
        <w:jc w:val="center"/>
        <w:outlineLvl w:val="2"/>
      </w:pPr>
      <w:r>
        <w:rPr>
          <w:rFonts w:ascii="仿宋_GB2312" w:hAnsi="仿宋_GB2312" w:cs="仿宋_GB2312" w:eastAsia="仿宋_GB2312"/>
          <w:sz w:val="28"/>
          <w:b/>
        </w:rPr>
        <w:t>陕西盛仕骄阳项目管理有限公司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陕西盛仕骄阳项目管理有限公司</w:t>
      </w:r>
      <w:r>
        <w:rPr>
          <w:rFonts w:ascii="仿宋_GB2312" w:hAnsi="仿宋_GB2312" w:cs="仿宋_GB2312" w:eastAsia="仿宋_GB2312"/>
        </w:rPr>
        <w:t>（以下简称“代理机构”）受</w:t>
      </w:r>
      <w:r>
        <w:rPr>
          <w:rFonts w:ascii="仿宋_GB2312" w:hAnsi="仿宋_GB2312" w:cs="仿宋_GB2312" w:eastAsia="仿宋_GB2312"/>
        </w:rPr>
        <w:t>西安市盲哑学校</w:t>
      </w:r>
      <w:r>
        <w:rPr>
          <w:rFonts w:ascii="仿宋_GB2312" w:hAnsi="仿宋_GB2312" w:cs="仿宋_GB2312" w:eastAsia="仿宋_GB2312"/>
        </w:rPr>
        <w:t>委托，拟对</w:t>
      </w:r>
      <w:r>
        <w:rPr>
          <w:rFonts w:ascii="仿宋_GB2312" w:hAnsi="仿宋_GB2312" w:cs="仿宋_GB2312" w:eastAsia="仿宋_GB2312"/>
        </w:rPr>
        <w:t>学校北围墙、启明楼楼顶维修项目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SSJY-CG（G）-2025018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学校北围墙、启明楼楼顶维修项目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盲哑学校北围墙、启明楼楼顶维修项目，主要是拆除屋脊琉璃瓦、铲除墙皮、外墙真石漆、外墙抹灰、散水破除、垃圾外运、新做散水、拆除窗户、新做彩色铝合金窗、屋面保护层破除、屋面卷材防水、三层平台砂浆保护层、膜结构看台等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采购包1（学校北围墙、启明楼楼顶维修项目）：属于专门面向小微企业采购。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证明：供应商须提供具有财务审计资质单位出具的2023年-2024年任意一年年度财务报告（包括资产负债表、利润表、现金流量表及会计报表附注，成立时间至开标时间不足一年的可提供成立后任意时段的资产负债表）或开标前六个月内其基本账户银行出具的资信证明（附开户许可证或基本存款账户信息）或政府采购信用担保机构出具的投标担保函。</w:t>
      </w:r>
    </w:p>
    <w:p>
      <w:pPr>
        <w:pStyle w:val="null3"/>
      </w:pPr>
      <w:r>
        <w:rPr>
          <w:rFonts w:ascii="仿宋_GB2312" w:hAnsi="仿宋_GB2312" w:cs="仿宋_GB2312" w:eastAsia="仿宋_GB2312"/>
        </w:rPr>
        <w:t>3、社保缴纳证明：供应商须提供2024年6月至今任意一个月已缴纳的社会保障资金缴存单据或社保机构开具的社会保险参保缴费情况证明，依法不需要缴纳社会保障资金的供应商应提供相关证明。</w:t>
      </w:r>
    </w:p>
    <w:p>
      <w:pPr>
        <w:pStyle w:val="null3"/>
      </w:pPr>
      <w:r>
        <w:rPr>
          <w:rFonts w:ascii="仿宋_GB2312" w:hAnsi="仿宋_GB2312" w:cs="仿宋_GB2312" w:eastAsia="仿宋_GB2312"/>
        </w:rPr>
        <w:t>4、税收缴纳证明：供应商须提供2024年6月至今任意一个月已缴纳完税凭证或税务机关开具的完税证明，依法免税或无须缴纳税收的供应商应提供相关文件证明。</w:t>
      </w:r>
    </w:p>
    <w:p>
      <w:pPr>
        <w:pStyle w:val="null3"/>
      </w:pPr>
      <w:r>
        <w:rPr>
          <w:rFonts w:ascii="仿宋_GB2312" w:hAnsi="仿宋_GB2312" w:cs="仿宋_GB2312" w:eastAsia="仿宋_GB2312"/>
        </w:rPr>
        <w:t>5、具备履行合同所必需的设备和专业技术能力：具备履行合同所必需的设备和专业技术能力的证明材料(由供应商根据项目需求提供说明材料或者承诺)。</w:t>
      </w:r>
    </w:p>
    <w:p>
      <w:pPr>
        <w:pStyle w:val="null3"/>
      </w:pPr>
      <w:r>
        <w:rPr>
          <w:rFonts w:ascii="仿宋_GB2312" w:hAnsi="仿宋_GB2312" w:cs="仿宋_GB2312" w:eastAsia="仿宋_GB2312"/>
        </w:rPr>
        <w:t>6、无重大违法记录：提供参加政府采购活动前三年内在经营活动中没有重大违法记录的书面声明。</w:t>
      </w:r>
    </w:p>
    <w:p>
      <w:pPr>
        <w:pStyle w:val="null3"/>
      </w:pPr>
      <w:r>
        <w:rPr>
          <w:rFonts w:ascii="仿宋_GB2312" w:hAnsi="仿宋_GB2312" w:cs="仿宋_GB2312" w:eastAsia="仿宋_GB2312"/>
        </w:rPr>
        <w:t>7、法定代表人身份证明或法定代表人授权书：供应商应授权合法的人员参加磋商全过程，其中法定代表人直接参加磋商的，须出具法定代表人身份证明、法人身份证原件及复印件；法定代表人授权代表参加磋商的，须出具法定代表人授权书、授权代表身份证原件及复印件。</w:t>
      </w:r>
    </w:p>
    <w:p>
      <w:pPr>
        <w:pStyle w:val="null3"/>
      </w:pPr>
      <w:r>
        <w:rPr>
          <w:rFonts w:ascii="仿宋_GB2312" w:hAnsi="仿宋_GB2312" w:cs="仿宋_GB2312" w:eastAsia="仿宋_GB2312"/>
        </w:rPr>
        <w:t>8、拟派项目负责人资质和专业要求：拟投入的项目负责人（项目经理）须具备有效的建筑工程专业贰级（含贰级）以上注册建造师执业资格和安全生产考核B证，且未担任其他在建工程项目（需提供企业书面承诺等证明材料）。</w:t>
      </w:r>
    </w:p>
    <w:p>
      <w:pPr>
        <w:pStyle w:val="null3"/>
      </w:pPr>
      <w:r>
        <w:rPr>
          <w:rFonts w:ascii="仿宋_GB2312" w:hAnsi="仿宋_GB2312" w:cs="仿宋_GB2312" w:eastAsia="仿宋_GB2312"/>
        </w:rPr>
        <w:t>9、企业资质：供应商须具备建设部门颁发有效的建筑工程施工总承包叁级（含叁级）以上资质，具备建设行政主管部门颁发有效的安全生产许可证。</w:t>
      </w:r>
    </w:p>
    <w:p>
      <w:pPr>
        <w:pStyle w:val="null3"/>
      </w:pPr>
      <w:r>
        <w:rPr>
          <w:rFonts w:ascii="仿宋_GB2312" w:hAnsi="仿宋_GB2312" w:cs="仿宋_GB2312" w:eastAsia="仿宋_GB2312"/>
        </w:rPr>
        <w:t>10、信誉要求：供应商不得为列入信用中国(www.creditchina.gov.cn)的重大税收违法案件当事人名单记录或中国执行信息公开网（http://zxgk.court.gov.cn/shixin/）的失信被执行人名单记录或中国政府采购网(www.ccgp.gov.cn)的政府采购严重违法失信行为记录名单。</w:t>
      </w:r>
    </w:p>
    <w:p>
      <w:pPr>
        <w:pStyle w:val="null3"/>
      </w:pPr>
      <w:r>
        <w:rPr>
          <w:rFonts w:ascii="仿宋_GB2312" w:hAnsi="仿宋_GB2312" w:cs="仿宋_GB2312" w:eastAsia="仿宋_GB2312"/>
        </w:rPr>
        <w:t>11、联合体磋商：本项目不接受联合体磋商。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西安市盲哑学校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西安市北关振华路98号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029-86320551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陕西盛仕骄阳项目管理有限公司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西安市未央区凤城八路与渭滨路十字西北角水晶新天地6楼11603室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张双艳、王茹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029-89871668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依据国家计委计价格[2002]1980号《招标代理服务收费管理暂行办法》和国家发展改革委员会办公厅颁发的《关于招标代理服务收费有关问题的通知》（发改办价格[2003]857号）规定标准收取。招标代理服务费不足5000元的，按5000元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西安市盲哑学校</w:t>
      </w:r>
      <w:r>
        <w:rPr>
          <w:rFonts w:ascii="仿宋_GB2312" w:hAnsi="仿宋_GB2312" w:cs="仿宋_GB2312" w:eastAsia="仿宋_GB2312"/>
        </w:rPr>
        <w:t>和</w:t>
      </w:r>
      <w:r>
        <w:rPr>
          <w:rFonts w:ascii="仿宋_GB2312" w:hAnsi="仿宋_GB2312" w:cs="仿宋_GB2312" w:eastAsia="仿宋_GB2312"/>
        </w:rPr>
        <w:t>陕西盛仕骄阳项目管理有限公司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西安市盲哑学校</w:t>
      </w:r>
      <w:r>
        <w:rPr>
          <w:rFonts w:ascii="仿宋_GB2312" w:hAnsi="仿宋_GB2312" w:cs="仿宋_GB2312" w:eastAsia="仿宋_GB2312"/>
        </w:rPr>
        <w:t>负责解释。除上述磋商文件内容，其他内容由</w:t>
      </w:r>
      <w:r>
        <w:rPr>
          <w:rFonts w:ascii="仿宋_GB2312" w:hAnsi="仿宋_GB2312" w:cs="仿宋_GB2312" w:eastAsia="仿宋_GB2312"/>
        </w:rPr>
        <w:t>陕西盛仕骄阳项目管理有限公司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西安市盲哑学校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陕西盛仕骄阳项目管理有限公司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详见合同协议书</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陕西盛仕骄阳项目管理有限公司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陕西盛仕骄阳项目管理有限公司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陕西盛仕骄阳项目管理有限公司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联系人：张双艳</w:t>
      </w:r>
    </w:p>
    <w:p>
      <w:pPr>
        <w:pStyle w:val="null3"/>
      </w:pPr>
      <w:r>
        <w:rPr>
          <w:rFonts w:ascii="仿宋_GB2312" w:hAnsi="仿宋_GB2312" w:cs="仿宋_GB2312" w:eastAsia="仿宋_GB2312"/>
        </w:rPr>
        <w:t>联系电话：029-89871668</w:t>
      </w:r>
    </w:p>
    <w:p>
      <w:pPr>
        <w:pStyle w:val="null3"/>
      </w:pPr>
      <w:r>
        <w:rPr>
          <w:rFonts w:ascii="仿宋_GB2312" w:hAnsi="仿宋_GB2312" w:cs="仿宋_GB2312" w:eastAsia="仿宋_GB2312"/>
        </w:rPr>
        <w:t>地址：西安市未央区凤城八路与渭滨路十字西北角水晶新天地6楼11603室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380,000.00</w:t>
      </w:r>
    </w:p>
    <w:p>
      <w:pPr>
        <w:pStyle w:val="null3"/>
      </w:pPr>
      <w:r>
        <w:rPr>
          <w:rFonts w:ascii="仿宋_GB2312" w:hAnsi="仿宋_GB2312" w:cs="仿宋_GB2312" w:eastAsia="仿宋_GB2312"/>
        </w:rPr>
        <w:t>采购包最高限价（元）: 380,000.00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维修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380,000.00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标的名称：维修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after="105"/>
              <w:jc w:val="left"/>
            </w:pPr>
            <w:r>
              <w:rPr>
                <w:rFonts w:ascii="仿宋_GB2312" w:hAnsi="仿宋_GB2312" w:cs="仿宋_GB2312" w:eastAsia="仿宋_GB2312"/>
                <w:sz w:val="24"/>
                <w:b/>
              </w:rPr>
              <w:t>一、工程概况</w:t>
            </w:r>
          </w:p>
          <w:p>
            <w:pPr>
              <w:pStyle w:val="null3"/>
              <w:spacing w:before="105" w:after="105"/>
              <w:ind w:firstLine="480"/>
              <w:jc w:val="left"/>
            </w:pPr>
            <w:r>
              <w:rPr>
                <w:rFonts w:ascii="仿宋_GB2312" w:hAnsi="仿宋_GB2312" w:cs="仿宋_GB2312" w:eastAsia="仿宋_GB2312"/>
                <w:sz w:val="24"/>
              </w:rPr>
              <w:t>西安市盲哑学校北围墙、启明楼楼顶维修项目，主要是拆除屋脊琉璃瓦、铲除墙皮、外墙真石漆、外墙抹灰</w:t>
            </w:r>
            <w:r>
              <w:rPr>
                <w:rFonts w:ascii="仿宋_GB2312" w:hAnsi="仿宋_GB2312" w:cs="仿宋_GB2312" w:eastAsia="仿宋_GB2312"/>
                <w:sz w:val="24"/>
              </w:rPr>
              <w:t>、散水破除、垃圾外运、新做散水、拆除窗户、新做彩色铝合金窗、屋面保护层破除、屋面卷材防水、三层平台砂浆保护层、膜结构顶棚安装</w:t>
            </w:r>
            <w:r>
              <w:rPr>
                <w:rFonts w:ascii="仿宋_GB2312" w:hAnsi="仿宋_GB2312" w:cs="仿宋_GB2312" w:eastAsia="仿宋_GB2312"/>
                <w:sz w:val="24"/>
              </w:rPr>
              <w:t>等工程。</w:t>
            </w:r>
          </w:p>
          <w:p>
            <w:pPr>
              <w:pStyle w:val="null3"/>
              <w:spacing w:before="105" w:after="105"/>
              <w:jc w:val="left"/>
            </w:pPr>
            <w:r>
              <w:rPr>
                <w:rFonts w:ascii="仿宋_GB2312" w:hAnsi="仿宋_GB2312" w:cs="仿宋_GB2312" w:eastAsia="仿宋_GB2312"/>
                <w:sz w:val="24"/>
                <w:b/>
              </w:rPr>
              <w:t>二、工程目标和承诺</w:t>
            </w:r>
          </w:p>
          <w:p>
            <w:pPr>
              <w:pStyle w:val="null3"/>
              <w:spacing w:before="105" w:after="105"/>
              <w:ind w:firstLine="480"/>
              <w:jc w:val="left"/>
            </w:pPr>
            <w:r>
              <w:rPr>
                <w:rFonts w:ascii="仿宋_GB2312" w:hAnsi="仿宋_GB2312" w:cs="仿宋_GB2312" w:eastAsia="仿宋_GB2312"/>
                <w:sz w:val="24"/>
              </w:rPr>
              <w:t>1、工程质量目标：合格</w:t>
            </w:r>
          </w:p>
          <w:p>
            <w:pPr>
              <w:pStyle w:val="null3"/>
              <w:spacing w:before="105" w:after="105"/>
              <w:ind w:firstLine="482"/>
              <w:jc w:val="left"/>
            </w:pPr>
            <w:r>
              <w:rPr>
                <w:rFonts w:ascii="仿宋_GB2312" w:hAnsi="仿宋_GB2312" w:cs="仿宋_GB2312" w:eastAsia="仿宋_GB2312"/>
                <w:sz w:val="24"/>
              </w:rPr>
              <w:t>2、工期：自合同签订之日起</w:t>
            </w:r>
            <w:r>
              <w:rPr>
                <w:rFonts w:ascii="仿宋_GB2312" w:hAnsi="仿宋_GB2312" w:cs="仿宋_GB2312" w:eastAsia="仿宋_GB2312"/>
                <w:sz w:val="24"/>
              </w:rPr>
              <w:t>30</w:t>
            </w:r>
            <w:r>
              <w:rPr>
                <w:rFonts w:ascii="仿宋_GB2312" w:hAnsi="仿宋_GB2312" w:cs="仿宋_GB2312" w:eastAsia="仿宋_GB2312"/>
                <w:sz w:val="24"/>
              </w:rPr>
              <w:t>日历日内。</w:t>
            </w:r>
          </w:p>
          <w:p>
            <w:pPr>
              <w:pStyle w:val="null3"/>
              <w:spacing w:before="105" w:after="105"/>
              <w:ind w:firstLine="482"/>
              <w:jc w:val="left"/>
            </w:pPr>
            <w:r>
              <w:rPr>
                <w:rFonts w:ascii="仿宋_GB2312" w:hAnsi="仿宋_GB2312" w:cs="仿宋_GB2312" w:eastAsia="仿宋_GB2312"/>
                <w:sz w:val="24"/>
              </w:rPr>
              <w:t>3、质保期：自工程竣工验收合格之日起</w:t>
            </w:r>
            <w:r>
              <w:rPr>
                <w:rFonts w:ascii="仿宋_GB2312" w:hAnsi="仿宋_GB2312" w:cs="仿宋_GB2312" w:eastAsia="仿宋_GB2312"/>
                <w:sz w:val="24"/>
              </w:rPr>
              <w:t>5</w:t>
            </w:r>
            <w:r>
              <w:rPr>
                <w:rFonts w:ascii="仿宋_GB2312" w:hAnsi="仿宋_GB2312" w:cs="仿宋_GB2312" w:eastAsia="仿宋_GB2312"/>
                <w:sz w:val="24"/>
              </w:rPr>
              <w:t>年</w:t>
            </w:r>
          </w:p>
          <w:p>
            <w:pPr>
              <w:pStyle w:val="null3"/>
              <w:spacing w:before="105" w:after="105"/>
              <w:ind w:firstLine="480"/>
              <w:jc w:val="left"/>
            </w:pPr>
            <w:r>
              <w:rPr>
                <w:rFonts w:ascii="仿宋_GB2312" w:hAnsi="仿宋_GB2312" w:cs="仿宋_GB2312" w:eastAsia="仿宋_GB2312"/>
                <w:sz w:val="24"/>
              </w:rPr>
              <w:t>4、安全生产目标：无伤亡事故、无重大机械事故、无扬尘、无噪音扰民。</w:t>
            </w:r>
          </w:p>
          <w:p>
            <w:pPr>
              <w:pStyle w:val="null3"/>
              <w:spacing w:before="105" w:after="105"/>
              <w:jc w:val="left"/>
            </w:pPr>
            <w:r>
              <w:rPr>
                <w:rFonts w:ascii="仿宋_GB2312" w:hAnsi="仿宋_GB2312" w:cs="仿宋_GB2312" w:eastAsia="仿宋_GB2312"/>
                <w:sz w:val="24"/>
                <w:b/>
              </w:rPr>
              <w:t>三、报价说明</w:t>
            </w:r>
          </w:p>
          <w:p>
            <w:pPr>
              <w:pStyle w:val="null3"/>
              <w:spacing w:before="105" w:after="105"/>
              <w:ind w:firstLine="480"/>
              <w:jc w:val="left"/>
            </w:pPr>
            <w:r>
              <w:rPr>
                <w:rFonts w:ascii="仿宋_GB2312" w:hAnsi="仿宋_GB2312" w:cs="仿宋_GB2312" w:eastAsia="仿宋_GB2312"/>
                <w:sz w:val="24"/>
              </w:rPr>
              <w:t>1、工程量清单为竞争性磋商文件的组成部分，一经成交且签订合同，即成为合同的组成部分。</w:t>
            </w:r>
          </w:p>
          <w:p>
            <w:pPr>
              <w:pStyle w:val="null3"/>
              <w:spacing w:before="105" w:after="105"/>
              <w:ind w:firstLine="480"/>
              <w:jc w:val="left"/>
            </w:pPr>
            <w:r>
              <w:rPr>
                <w:rFonts w:ascii="仿宋_GB2312" w:hAnsi="仿宋_GB2312" w:cs="仿宋_GB2312" w:eastAsia="仿宋_GB2312"/>
                <w:sz w:val="24"/>
              </w:rPr>
              <w:t>2、工程量清单中各项金额均以人民币（元）结算。</w:t>
            </w:r>
          </w:p>
          <w:p>
            <w:pPr>
              <w:pStyle w:val="null3"/>
              <w:spacing w:before="105" w:after="105"/>
              <w:ind w:firstLine="480"/>
              <w:jc w:val="left"/>
            </w:pPr>
            <w:r>
              <w:rPr>
                <w:rFonts w:ascii="仿宋_GB2312" w:hAnsi="仿宋_GB2312" w:cs="仿宋_GB2312" w:eastAsia="仿宋_GB2312"/>
                <w:sz w:val="24"/>
              </w:rPr>
              <w:t>3、供应商不得随意改动工程量清单内容，评标时均按采购人所发的工程量清单进行检查和评审。</w:t>
            </w:r>
          </w:p>
          <w:p>
            <w:pPr>
              <w:pStyle w:val="null3"/>
              <w:spacing w:before="105" w:after="105"/>
              <w:ind w:firstLine="480"/>
              <w:jc w:val="left"/>
            </w:pPr>
            <w:r>
              <w:rPr>
                <w:rFonts w:ascii="仿宋_GB2312" w:hAnsi="仿宋_GB2312" w:cs="仿宋_GB2312" w:eastAsia="仿宋_GB2312"/>
                <w:sz w:val="24"/>
              </w:rPr>
              <w:t>4、</w:t>
            </w:r>
            <w:r>
              <w:rPr>
                <w:rFonts w:ascii="仿宋_GB2312" w:hAnsi="仿宋_GB2312" w:cs="仿宋_GB2312" w:eastAsia="仿宋_GB2312"/>
                <w:sz w:val="24"/>
              </w:rPr>
              <w:t>磋商报价为完成本项目所发生的一切费用,包括施工及质量保修期间所有含税费用，如有遗漏，视为已包含在内。</w:t>
            </w:r>
          </w:p>
          <w:p>
            <w:pPr>
              <w:pStyle w:val="null3"/>
              <w:spacing w:before="105" w:after="105"/>
              <w:ind w:firstLine="480"/>
              <w:jc w:val="left"/>
            </w:pPr>
            <w:r>
              <w:rPr>
                <w:rFonts w:ascii="仿宋_GB2312" w:hAnsi="仿宋_GB2312" w:cs="仿宋_GB2312" w:eastAsia="仿宋_GB2312"/>
                <w:sz w:val="24"/>
              </w:rPr>
              <w:t>5、本项目为固定总价，一次包死，交钥匙工程。</w:t>
            </w:r>
          </w:p>
          <w:p>
            <w:pPr>
              <w:pStyle w:val="null3"/>
              <w:spacing w:before="105" w:after="105"/>
              <w:jc w:val="left"/>
            </w:pPr>
            <w:r>
              <w:rPr>
                <w:rFonts w:ascii="仿宋_GB2312" w:hAnsi="仿宋_GB2312" w:cs="仿宋_GB2312" w:eastAsia="仿宋_GB2312"/>
                <w:sz w:val="24"/>
                <w:b/>
              </w:rPr>
              <w:t>四</w:t>
            </w:r>
            <w:r>
              <w:rPr>
                <w:rFonts w:ascii="仿宋_GB2312" w:hAnsi="仿宋_GB2312" w:cs="仿宋_GB2312" w:eastAsia="仿宋_GB2312"/>
                <w:sz w:val="24"/>
                <w:b/>
              </w:rPr>
              <w:t>、安全要求</w:t>
            </w:r>
          </w:p>
          <w:p>
            <w:pPr>
              <w:pStyle w:val="null3"/>
              <w:spacing w:before="105" w:after="105"/>
              <w:ind w:firstLine="480"/>
              <w:jc w:val="left"/>
            </w:pPr>
            <w:r>
              <w:rPr>
                <w:rFonts w:ascii="仿宋_GB2312" w:hAnsi="仿宋_GB2312" w:cs="仿宋_GB2312" w:eastAsia="仿宋_GB2312"/>
                <w:sz w:val="24"/>
              </w:rPr>
              <w:t>遵守工程建设安全生产有关管理规定，严格按安全标准组织施工，采取必要的安全生产措施，消除事故隐患。安全措施不力造成事故责任和发生的费用由成交供应商承担。</w:t>
            </w:r>
          </w:p>
          <w:p>
            <w:pPr>
              <w:pStyle w:val="null3"/>
              <w:spacing w:before="105" w:after="105"/>
              <w:jc w:val="left"/>
            </w:pPr>
            <w:r>
              <w:rPr>
                <w:rFonts w:ascii="仿宋_GB2312" w:hAnsi="仿宋_GB2312" w:cs="仿宋_GB2312" w:eastAsia="仿宋_GB2312"/>
                <w:sz w:val="24"/>
              </w:rPr>
              <w:t>五</w:t>
            </w:r>
            <w:r>
              <w:rPr>
                <w:rFonts w:ascii="仿宋_GB2312" w:hAnsi="仿宋_GB2312" w:cs="仿宋_GB2312" w:eastAsia="仿宋_GB2312"/>
                <w:sz w:val="24"/>
              </w:rPr>
              <w:t>、工程施工基本要求</w:t>
            </w:r>
          </w:p>
          <w:p>
            <w:pPr>
              <w:pStyle w:val="null3"/>
              <w:spacing w:before="105" w:after="105"/>
              <w:ind w:firstLine="480"/>
              <w:jc w:val="left"/>
            </w:pPr>
            <w:r>
              <w:rPr>
                <w:rFonts w:ascii="仿宋_GB2312" w:hAnsi="仿宋_GB2312" w:cs="仿宋_GB2312" w:eastAsia="仿宋_GB2312"/>
                <w:sz w:val="24"/>
              </w:rPr>
              <w:t>严格遵循国家有关规定做到文明施工，规范施工，严格把好各道施工工序的质量，确保工程质量，并按要求如期完成工程建设，编制施工组织设计方案，确保工程按时优质完成，编制总进度计划，合理安排劳动力、物力、财力，尽量做到综合平衡配套施工，确保工程顺利完成。</w:t>
            </w:r>
          </w:p>
          <w:p>
            <w:pPr>
              <w:pStyle w:val="null3"/>
              <w:spacing w:before="105" w:after="105"/>
              <w:jc w:val="left"/>
            </w:pPr>
            <w:r>
              <w:rPr>
                <w:rFonts w:ascii="仿宋_GB2312" w:hAnsi="仿宋_GB2312" w:cs="仿宋_GB2312" w:eastAsia="仿宋_GB2312"/>
                <w:sz w:val="24"/>
                <w:b/>
              </w:rPr>
              <w:t>五、工程量清单</w:t>
            </w:r>
          </w:p>
          <w:tbl>
            <w:tblPr>
              <w:tblInd w:type="dxa" w:w="90"/>
              <w:tblBorders>
                <w:top w:val="none" w:color="000000" w:sz="4"/>
                <w:left w:val="none" w:color="000000" w:sz="4"/>
                <w:bottom w:val="none" w:color="000000" w:sz="4"/>
                <w:right w:val="none" w:color="000000" w:sz="4"/>
                <w:insideH w:val="none"/>
                <w:insideV w:val="none"/>
              </w:tblBorders>
            </w:tblPr>
            <w:tblGrid>
              <w:gridCol w:w="125"/>
              <w:gridCol w:w="358"/>
              <w:gridCol w:w="1505"/>
              <w:gridCol w:w="254"/>
              <w:gridCol w:w="296"/>
            </w:tblGrid>
            <w:tr>
              <w:tc>
                <w:tcPr>
                  <w:tcW w:type="dxa" w:w="12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35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名称</w:t>
                  </w:r>
                </w:p>
              </w:tc>
              <w:tc>
                <w:tcPr>
                  <w:tcW w:type="dxa" w:w="150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项目内容</w:t>
                  </w:r>
                </w:p>
              </w:tc>
              <w:tc>
                <w:tcPr>
                  <w:tcW w:type="dxa" w:w="25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计量单位</w:t>
                  </w:r>
                </w:p>
              </w:tc>
              <w:tc>
                <w:tcPr>
                  <w:tcW w:type="dxa" w:w="29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工程量</w:t>
                  </w:r>
                </w:p>
              </w:tc>
            </w:tr>
            <w:tr>
              <w:tc>
                <w:tcPr>
                  <w:tcW w:type="dxa" w:w="125"/>
                  <w:vMerge/>
                  <w:tcBorders>
                    <w:top w:val="single" w:color="000000" w:sz="4"/>
                    <w:left w:val="single" w:color="000000" w:sz="4"/>
                    <w:bottom w:val="single" w:color="000000" w:sz="4"/>
                    <w:right w:val="single" w:color="000000" w:sz="4"/>
                  </w:tcBorders>
                </w:tcPr>
                <w:p/>
              </w:tc>
              <w:tc>
                <w:tcPr>
                  <w:tcW w:type="dxa" w:w="358"/>
                  <w:vMerge/>
                  <w:tcBorders>
                    <w:top w:val="single" w:color="000000" w:sz="4"/>
                    <w:left w:val="none" w:color="000000" w:sz="4"/>
                    <w:bottom w:val="single" w:color="000000" w:sz="4"/>
                    <w:right w:val="single" w:color="000000" w:sz="4"/>
                  </w:tcBorders>
                </w:tcPr>
                <w:p/>
              </w:tc>
              <w:tc>
                <w:tcPr>
                  <w:tcW w:type="dxa" w:w="1505"/>
                  <w:vMerge/>
                  <w:tcBorders>
                    <w:top w:val="single" w:color="000000" w:sz="4"/>
                    <w:left w:val="none" w:color="000000" w:sz="4"/>
                    <w:bottom w:val="single" w:color="000000" w:sz="4"/>
                    <w:right w:val="single" w:color="000000" w:sz="4"/>
                  </w:tcBorders>
                </w:tcPr>
                <w:p/>
              </w:tc>
              <w:tc>
                <w:tcPr>
                  <w:tcW w:type="dxa" w:w="254"/>
                  <w:vMerge/>
                  <w:tcBorders>
                    <w:top w:val="single" w:color="000000" w:sz="4"/>
                    <w:left w:val="none" w:color="000000" w:sz="4"/>
                    <w:bottom w:val="single" w:color="000000" w:sz="4"/>
                    <w:right w:val="single" w:color="000000" w:sz="4"/>
                  </w:tcBorders>
                </w:tcPr>
                <w:p/>
              </w:tc>
              <w:tc>
                <w:tcPr>
                  <w:tcW w:type="dxa" w:w="296"/>
                  <w:vMerge/>
                  <w:tcBorders>
                    <w:top w:val="single" w:color="000000" w:sz="4"/>
                    <w:left w:val="none" w:color="000000" w:sz="4"/>
                    <w:bottom w:val="single" w:color="000000" w:sz="4"/>
                    <w:right w:val="single" w:color="000000" w:sz="4"/>
                  </w:tcBorders>
                </w:tcP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拆除屋脊琉璃瓦</w:t>
                  </w:r>
                </w:p>
              </w:tc>
              <w:tc>
                <w:tcPr>
                  <w:tcW w:type="dxa" w:w="1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1.对屋面琉璃瓦进行人工拆除</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10.00</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铲除墙皮</w:t>
                  </w:r>
                </w:p>
              </w:tc>
              <w:tc>
                <w:tcPr>
                  <w:tcW w:type="dxa" w:w="1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铲除原始墙体涂料</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431.93</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外墙真石漆</w:t>
                  </w:r>
                </w:p>
              </w:tc>
              <w:tc>
                <w:tcPr>
                  <w:tcW w:type="dxa" w:w="1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1、涂料材质：真石漆涂料</w:t>
                  </w:r>
                  <w:r>
                    <w:br/>
                  </w:r>
                  <w:r>
                    <w:rPr>
                      <w:rFonts w:ascii="仿宋_GB2312" w:hAnsi="仿宋_GB2312" w:cs="仿宋_GB2312" w:eastAsia="仿宋_GB2312"/>
                      <w:sz w:val="24"/>
                      <w:color w:val="000000"/>
                    </w:rPr>
                    <w:t>2、腻子工序:外墙</w:t>
                  </w:r>
                  <w:r>
                    <w:rPr>
                      <w:rFonts w:ascii="仿宋_GB2312" w:hAnsi="仿宋_GB2312" w:cs="仿宋_GB2312" w:eastAsia="仿宋_GB2312"/>
                      <w:sz w:val="24"/>
                      <w:color w:val="000000"/>
                    </w:rPr>
                    <w:t>膩</w:t>
                  </w:r>
                  <w:r>
                    <w:rPr>
                      <w:rFonts w:ascii="仿宋_GB2312" w:hAnsi="仿宋_GB2312" w:cs="仿宋_GB2312" w:eastAsia="仿宋_GB2312"/>
                      <w:sz w:val="24"/>
                      <w:color w:val="000000"/>
                    </w:rPr>
                    <w:t>子两道，打磨平整</w:t>
                  </w:r>
                  <w:r>
                    <w:br/>
                  </w:r>
                  <w:r>
                    <w:rPr>
                      <w:rFonts w:ascii="仿宋_GB2312" w:hAnsi="仿宋_GB2312" w:cs="仿宋_GB2312" w:eastAsia="仿宋_GB2312"/>
                      <w:sz w:val="24"/>
                      <w:color w:val="000000"/>
                    </w:rPr>
                    <w:t>3、底漆工序:配套底漆一道</w:t>
                  </w:r>
                  <w:r>
                    <w:br/>
                  </w:r>
                  <w:r>
                    <w:rPr>
                      <w:rFonts w:ascii="仿宋_GB2312" w:hAnsi="仿宋_GB2312" w:cs="仿宋_GB2312" w:eastAsia="仿宋_GB2312"/>
                      <w:sz w:val="24"/>
                      <w:color w:val="000000"/>
                    </w:rPr>
                    <w:t>4、面漆工序:面漆）1~2道</w:t>
                  </w:r>
                  <w:r>
                    <w:br/>
                  </w:r>
                  <w:r>
                    <w:rPr>
                      <w:rFonts w:ascii="仿宋_GB2312" w:hAnsi="仿宋_GB2312" w:cs="仿宋_GB2312" w:eastAsia="仿宋_GB2312"/>
                      <w:sz w:val="24"/>
                      <w:color w:val="000000"/>
                    </w:rPr>
                    <w:t>5、罩面漆工序:罩光清漆（哑光）罩面一道</w:t>
                  </w:r>
                  <w:r>
                    <w:br/>
                  </w:r>
                  <w:r>
                    <w:rPr>
                      <w:rFonts w:ascii="仿宋_GB2312" w:hAnsi="仿宋_GB2312" w:cs="仿宋_GB2312" w:eastAsia="仿宋_GB2312"/>
                      <w:sz w:val="24"/>
                      <w:color w:val="000000"/>
                    </w:rPr>
                    <w:t>6、分格缝油漆</w:t>
                  </w:r>
                  <w:r>
                    <w:br/>
                  </w:r>
                  <w:r>
                    <w:rPr>
                      <w:rFonts w:ascii="仿宋_GB2312" w:hAnsi="仿宋_GB2312" w:cs="仿宋_GB2312" w:eastAsia="仿宋_GB2312"/>
                      <w:sz w:val="24"/>
                      <w:color w:val="000000"/>
                    </w:rPr>
                    <w:t>7、综合考虑墙面各部位（包括但不限于外墙面、独立梁柱面、外墙零星面、线条等部位）</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431.93</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外墙抹灰</w:t>
                  </w:r>
                </w:p>
              </w:tc>
              <w:tc>
                <w:tcPr>
                  <w:tcW w:type="dxa" w:w="1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1.6厚1:2.5水泥砂浆抹平</w:t>
                  </w:r>
                  <w:r>
                    <w:br/>
                  </w:r>
                  <w:r>
                    <w:rPr>
                      <w:rFonts w:ascii="仿宋_GB2312" w:hAnsi="仿宋_GB2312" w:cs="仿宋_GB2312" w:eastAsia="仿宋_GB2312"/>
                      <w:sz w:val="24"/>
                      <w:color w:val="000000"/>
                    </w:rPr>
                    <w:t>2.12厚1:3水泥砂浆打底扫毛基层清理</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431.93</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散水破除</w:t>
                  </w:r>
                </w:p>
              </w:tc>
              <w:tc>
                <w:tcPr>
                  <w:tcW w:type="dxa" w:w="1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1.对散水混凝土进行人工破除</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39.31</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垃圾外运</w:t>
                  </w:r>
                </w:p>
              </w:tc>
              <w:tc>
                <w:tcPr>
                  <w:tcW w:type="dxa" w:w="1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1.将破除后的垃圾进行装运</w:t>
                  </w:r>
                  <w:r>
                    <w:br/>
                  </w:r>
                  <w:r>
                    <w:rPr>
                      <w:rFonts w:ascii="仿宋_GB2312" w:hAnsi="仿宋_GB2312" w:cs="仿宋_GB2312" w:eastAsia="仿宋_GB2312"/>
                      <w:sz w:val="24"/>
                      <w:color w:val="000000"/>
                    </w:rPr>
                    <w:t>2.倒运至甲方现场指定堆放地点（含覆盖等）并及时外运</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r>
                    <w:rPr>
                      <w:rFonts w:ascii="仿宋_GB2312" w:hAnsi="仿宋_GB2312" w:cs="仿宋_GB2312" w:eastAsia="仿宋_GB2312"/>
                      <w:sz w:val="24"/>
                      <w:color w:val="000000"/>
                    </w:rPr>
                    <w:t>³</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13.60</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新做散水</w:t>
                  </w:r>
                </w:p>
              </w:tc>
              <w:tc>
                <w:tcPr>
                  <w:tcW w:type="dxa" w:w="1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1.120厚C20混凝土面层</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63.99</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拆除窗户</w:t>
                  </w:r>
                </w:p>
              </w:tc>
              <w:tc>
                <w:tcPr>
                  <w:tcW w:type="dxa" w:w="1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1.对现有窗户进行拆除</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4.00</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新做彩色铝合金窗</w:t>
                  </w:r>
                </w:p>
              </w:tc>
              <w:tc>
                <w:tcPr>
                  <w:tcW w:type="dxa" w:w="1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1.普通彩色铝合金推拉窗</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12.12</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新做防盗窗</w:t>
                  </w:r>
                </w:p>
              </w:tc>
              <w:tc>
                <w:tcPr>
                  <w:tcW w:type="dxa" w:w="1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304不锈钢格栅，格栅间距尺寸不大于120*400 3.横管与边框采用不锈钢方管25*13*0.8，竖管采用不锈钢圆管φ19*0.8</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12.12</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屋面保护层破除</w:t>
                  </w:r>
                </w:p>
              </w:tc>
              <w:tc>
                <w:tcPr>
                  <w:tcW w:type="dxa" w:w="1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1.对屋面混凝土保护层层进行人工破除</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558.00</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垃圾外运</w:t>
                  </w:r>
                </w:p>
              </w:tc>
              <w:tc>
                <w:tcPr>
                  <w:tcW w:type="dxa" w:w="1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1.将破除后的垃圾进行装运</w:t>
                  </w:r>
                  <w:r>
                    <w:br/>
                  </w:r>
                  <w:r>
                    <w:rPr>
                      <w:rFonts w:ascii="仿宋_GB2312" w:hAnsi="仿宋_GB2312" w:cs="仿宋_GB2312" w:eastAsia="仿宋_GB2312"/>
                      <w:sz w:val="24"/>
                      <w:color w:val="000000"/>
                    </w:rPr>
                    <w:t>2.倒运至甲方现场指定堆放地点（含覆盖等）并及时外运</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r>
                    <w:rPr>
                      <w:rFonts w:ascii="仿宋_GB2312" w:hAnsi="仿宋_GB2312" w:cs="仿宋_GB2312" w:eastAsia="仿宋_GB2312"/>
                      <w:sz w:val="24"/>
                      <w:color w:val="000000"/>
                    </w:rPr>
                    <w:t>³</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39.06</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屋面卷材防水</w:t>
                  </w:r>
                </w:p>
              </w:tc>
              <w:tc>
                <w:tcPr>
                  <w:tcW w:type="dxa" w:w="1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防水层做法</w:t>
                  </w:r>
                  <w:r>
                    <w:rPr>
                      <w:rFonts w:ascii="仿宋_GB2312" w:hAnsi="仿宋_GB2312" w:cs="仿宋_GB2312" w:eastAsia="仿宋_GB2312"/>
                      <w:sz w:val="24"/>
                      <w:color w:val="000000"/>
                    </w:rPr>
                    <w:t>:防水层(2道3厚弹性体(SBS)改性沥青防水卷材(聚酯胎Ⅰ型)</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M2</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987.50</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三层平台砂浆保护层</w:t>
                  </w:r>
                </w:p>
              </w:tc>
              <w:tc>
                <w:tcPr>
                  <w:tcW w:type="dxa" w:w="1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20厚1：2.5水泥砂浆找坡粉面，1%坡向排水口</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m2</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135.00</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新增水管</w:t>
                  </w:r>
                </w:p>
              </w:tc>
              <w:tc>
                <w:tcPr>
                  <w:tcW w:type="dxa" w:w="1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塑料管</w:t>
                  </w:r>
                  <w:r>
                    <w:rPr>
                      <w:rFonts w:ascii="仿宋_GB2312" w:hAnsi="仿宋_GB2312" w:cs="仿宋_GB2312" w:eastAsia="仿宋_GB2312"/>
                      <w:sz w:val="24"/>
                      <w:color w:val="000000"/>
                    </w:rPr>
                    <w:t>UPVC、PVC、PP-C、PP-R、PE管等</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规格</w:t>
                  </w:r>
                  <w:r>
                    <w:rPr>
                      <w:rFonts w:ascii="仿宋_GB2312" w:hAnsi="仿宋_GB2312" w:cs="仿宋_GB2312" w:eastAsia="仿宋_GB2312"/>
                      <w:sz w:val="24"/>
                      <w:color w:val="000000"/>
                    </w:rPr>
                    <w:t>:De20</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新增水龙头</w:t>
                  </w:r>
                </w:p>
              </w:tc>
              <w:tc>
                <w:tcPr>
                  <w:tcW w:type="dxa" w:w="1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采用</w:t>
                  </w:r>
                  <w:r>
                    <w:rPr>
                      <w:rFonts w:ascii="仿宋_GB2312" w:hAnsi="仿宋_GB2312" w:cs="仿宋_GB2312" w:eastAsia="仿宋_GB2312"/>
                      <w:sz w:val="24"/>
                      <w:color w:val="000000"/>
                    </w:rPr>
                    <w:t>ø</w:t>
                  </w:r>
                  <w:r>
                    <w:rPr>
                      <w:rFonts w:ascii="仿宋_GB2312" w:hAnsi="仿宋_GB2312" w:cs="仿宋_GB2312" w:eastAsia="仿宋_GB2312"/>
                      <w:sz w:val="24"/>
                      <w:color w:val="000000"/>
                    </w:rPr>
                    <w:t>20*1 mm 管径的黄铜制造。</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膜结构顶棚安装</w:t>
                  </w:r>
                </w:p>
              </w:tc>
              <w:tc>
                <w:tcPr>
                  <w:tcW w:type="dxa" w:w="1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1.膜材选型：1100gPVDF膜材料</w:t>
                  </w:r>
                  <w:r>
                    <w:br/>
                  </w:r>
                  <w:r>
                    <w:rPr>
                      <w:rFonts w:ascii="仿宋_GB2312" w:hAnsi="仿宋_GB2312" w:cs="仿宋_GB2312" w:eastAsia="仿宋_GB2312"/>
                      <w:sz w:val="24"/>
                      <w:color w:val="000000"/>
                    </w:rPr>
                    <w:t>2.钢结构：Q235B钢材</w:t>
                  </w:r>
                  <w:r>
                    <w:br/>
                  </w:r>
                  <w:r>
                    <w:rPr>
                      <w:rFonts w:ascii="仿宋_GB2312" w:hAnsi="仿宋_GB2312" w:cs="仿宋_GB2312" w:eastAsia="仿宋_GB2312"/>
                      <w:sz w:val="24"/>
                      <w:color w:val="000000"/>
                    </w:rPr>
                    <w:t>3.钢丝绳和锚头：钢丝绳采用6*37+1包塑，破断强度1670/MPA；锚头采用45#钢制作，钢索采用无油镀锌涂塑钢索</w:t>
                  </w:r>
                  <w:r>
                    <w:br/>
                  </w:r>
                  <w:r>
                    <w:rPr>
                      <w:rFonts w:ascii="仿宋_GB2312" w:hAnsi="仿宋_GB2312" w:cs="仿宋_GB2312" w:eastAsia="仿宋_GB2312"/>
                      <w:sz w:val="24"/>
                      <w:color w:val="000000"/>
                    </w:rPr>
                    <w:t>4.涂装：钢结构和膜节点涂装采用一道防锈漆，一道底漆，漆干膜厚度不低于80</w:t>
                  </w:r>
                  <w:r>
                    <w:rPr>
                      <w:rFonts w:ascii="仿宋_GB2312" w:hAnsi="仿宋_GB2312" w:cs="仿宋_GB2312" w:eastAsia="仿宋_GB2312"/>
                      <w:sz w:val="24"/>
                      <w:color w:val="000000"/>
                    </w:rPr>
                    <w:t>φmm</w:t>
                  </w:r>
                  <w:r>
                    <w:br/>
                  </w:r>
                  <w:r>
                    <w:rPr>
                      <w:rFonts w:ascii="仿宋_GB2312" w:hAnsi="仿宋_GB2312" w:cs="仿宋_GB2312" w:eastAsia="仿宋_GB2312"/>
                      <w:sz w:val="24"/>
                      <w:color w:val="000000"/>
                    </w:rPr>
                    <w:t>5.材料工程量：PVDF膜材283</w:t>
                  </w:r>
                  <w:r>
                    <w:rPr>
                      <w:rFonts w:ascii="仿宋_GB2312" w:hAnsi="仿宋_GB2312" w:cs="仿宋_GB2312" w:eastAsia="仿宋_GB2312"/>
                      <w:sz w:val="24"/>
                      <w:color w:val="000000"/>
                    </w:rPr>
                    <w:t>㎡</w:t>
                  </w:r>
                  <w:r>
                    <w:rPr>
                      <w:rFonts w:ascii="仿宋_GB2312" w:hAnsi="仿宋_GB2312" w:cs="仿宋_GB2312" w:eastAsia="仿宋_GB2312"/>
                      <w:sz w:val="24"/>
                      <w:color w:val="000000"/>
                    </w:rPr>
                    <w:t>；钢构件</w:t>
                  </w:r>
                  <w:r>
                    <w:rPr>
                      <w:rFonts w:ascii="仿宋_GB2312" w:hAnsi="仿宋_GB2312" w:cs="仿宋_GB2312" w:eastAsia="仿宋_GB2312"/>
                      <w:sz w:val="24"/>
                      <w:color w:val="000000"/>
                    </w:rPr>
                    <w:t>6.2T</w:t>
                  </w:r>
                  <w:r>
                    <w:br/>
                  </w:r>
                  <w:r>
                    <w:rPr>
                      <w:rFonts w:ascii="仿宋_GB2312" w:hAnsi="仿宋_GB2312" w:cs="仿宋_GB2312" w:eastAsia="仿宋_GB2312"/>
                      <w:sz w:val="24"/>
                      <w:color w:val="000000"/>
                    </w:rPr>
                    <w:t>6.现场勘探及设计图纸费用</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r>
          </w:tbl>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达到现行施工质量验收规范“合格”标准。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满足采购人要求。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成交供应商在领取成交通知书前，须向采购代理机构提供纸质版响应文件2套，且提供的响应文件必须与在陕西省政府采购综合管理平台的项目电子化交易系统中递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供应商须提供具有财务审计资质单位出具的2023年-2024年任意一年年度财务报告（包括资产负债表、利润表、现金流量表及会计报表附注，成立时间至开标时间不足一年的可提供成立后任意时段的资产负债表）或开标前六个月内其基本账户银行出具的资信证明（附开户许可证或基本存款账户信息）或政府采购信用担保机构出具的投标担保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参与的供应商（联合体）工程的施工单位全部为符合政策要求的小微企业。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须提供具有财务审计资质单位出具的2023年-2024年任意一年年度财务报告（包括资产负债表、利润表、现金流量表及会计报表附注，成立时间至开标时间不足一年的可提供成立后任意时段的资产负债表）或开标前六个月内其基本账户银行出具的资信证明（附开户许可证或基本存款账户信息）或政府采购信用担保机构出具的投标担保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供应商须提供2024年6月至今任意一个月已缴纳的社会保障资金缴存单据或社保机构开具的社会保险参保缴费情况证明，依法不需要缴纳社会保障资金的供应商应提供相关证明。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供应商须提供2024年6月至今任意一个月已缴纳完税凭证或税务机关开具的完税证明，依法免税或无须缴纳税收的供应商应提供相关文件证明。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具备履行合同所必需的设备和专业技术能力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具备履行合同所必需的设备和专业技术能力的证明材料(由供应商根据项目需求提供说明材料或者承诺)。</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定代表人身份证明、法人身份证原件及复印件；法定代表人授权代表参加磋商的，须出具法定代表人授权书、授权代表身份证原件及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拟投入的项目负责人（项目经理）须具备有效的建筑工程专业贰级（含贰级）以上注册建造师执业资格和安全生产考核B证，且未担任其他在建工程项目（需提供企业书面承诺等证明材料）。</w:t>
            </w:r>
          </w:p>
        </w:tc>
        <w:tc>
          <w:tcPr>
            <w:tcW w:type="dxa" w:w="1661"/>
          </w:tcPr>
          <w:p>
            <w:pPr>
              <w:pStyle w:val="null3"/>
            </w:pPr>
            <w:r>
              <w:rPr>
                <w:rFonts w:ascii="仿宋_GB2312" w:hAnsi="仿宋_GB2312" w:cs="仿宋_GB2312" w:eastAsia="仿宋_GB2312"/>
              </w:rPr>
              <w:t>项目管理机构组成表 主要人员简历表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供应商须具备建设部门颁发有效的建筑工程施工总承包叁级（含叁级）以上资质，具备建设行政主管部门颁发有效的安全生产许可证。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不得为列入信用中国(www.creditchina.gov.cn)的重大税收违法案件当事人名单记录或中国执行信息公开网（http://zxgk.court.gov.cn/shixin/）的失信被执行人名单记录或中国政府采购网(www.ccgp.gov.cn)的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磋商报价未超过最高限价(合格)； 磋商报价超过最高限价(不合格 ) 。</w:t>
            </w:r>
          </w:p>
        </w:tc>
        <w:tc>
          <w:tcPr>
            <w:tcW w:type="dxa" w:w="1661"/>
          </w:tcPr>
          <w:p>
            <w:pPr>
              <w:pStyle w:val="null3"/>
            </w:pPr>
            <w:r>
              <w:rPr>
                <w:rFonts w:ascii="仿宋_GB2312" w:hAnsi="仿宋_GB2312" w:cs="仿宋_GB2312" w:eastAsia="仿宋_GB2312"/>
              </w:rPr>
              <w:t>报价函 标的清单 报价明细表.docx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响应文件的签署、盖章满足磋商文件要求(合格)； 响应文件的签署、盖章不满足磋商文件要求(不合格)。</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供应商承诺书.docx 强制优先采购产品承诺函 响应文件封面 供应商应提交的相关资格证明材料.docx 项目管理机构组成表 残疾人福利性单位声明函 施工方案.docx 报价函 标的清单 供应商类似项目业绩一览表 响应函 主要人员简历表 监狱企业的证明文件 报价明细表.docx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磋商有效期满足磋商文件要求(合格)； 响应文件无磋商有效期或有效期不满足磋商文件要求(不合格)。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响应程度</w:t>
            </w:r>
          </w:p>
        </w:tc>
        <w:tc>
          <w:tcPr>
            <w:tcW w:type="dxa" w:w="3322"/>
          </w:tcPr>
          <w:p>
            <w:pPr>
              <w:pStyle w:val="null3"/>
            </w:pPr>
            <w:r>
              <w:rPr>
                <w:rFonts w:ascii="仿宋_GB2312" w:hAnsi="仿宋_GB2312" w:cs="仿宋_GB2312" w:eastAsia="仿宋_GB2312"/>
              </w:rPr>
              <w:t>完全响应商务条款和技术内容要求（合格）； 未响应完全响应商务条款和技术内容要求（不合格）。</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是否有采购人不能接受的附加条件</w:t>
            </w:r>
          </w:p>
        </w:tc>
        <w:tc>
          <w:tcPr>
            <w:tcW w:type="dxa" w:w="3322"/>
          </w:tcPr>
          <w:p>
            <w:pPr>
              <w:pStyle w:val="null3"/>
            </w:pPr>
            <w:r>
              <w:rPr>
                <w:rFonts w:ascii="仿宋_GB2312" w:hAnsi="仿宋_GB2312" w:cs="仿宋_GB2312" w:eastAsia="仿宋_GB2312"/>
              </w:rPr>
              <w:t>没有采购人不能接受的附加条件(合格)； 有采购人不能接受的附加条件(不合格) 。</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供应商承诺书.docx 强制优先采购产品承诺函 供应商应提交的相关资格证明材料.docx 项目管理机构组成表 残疾人福利性单位声明函 施工方案.docx 报价函 标的清单 供应商类似项目业绩一览表 响应函 主要人员简历表 监狱企业的证明文件 报价明细表.docx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法律、法规和磋商文件规定的其他无效情形</w:t>
            </w:r>
          </w:p>
        </w:tc>
        <w:tc>
          <w:tcPr>
            <w:tcW w:type="dxa" w:w="3322"/>
          </w:tcPr>
          <w:p>
            <w:pPr>
              <w:pStyle w:val="null3"/>
            </w:pPr>
            <w:r>
              <w:rPr>
                <w:rFonts w:ascii="仿宋_GB2312" w:hAnsi="仿宋_GB2312" w:cs="仿宋_GB2312" w:eastAsia="仿宋_GB2312"/>
              </w:rPr>
              <w:t>不存在法律、法规和磋商文件规定的其他无效情形(合格)；存在法律、法规和磋商文件规定的其他无效情形(不合格) 。</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供应商承诺书.docx 强制优先采购产品承诺函 响应文件封面 供应商应提交的相关资格证明材料.docx 项目管理机构组成表 残疾人福利性单位声明函 施工方案.docx 报价函 标的清单 供应商类似项目业绩一览表 响应函 主要人员简历表 监狱企业的证明文件 报价明细表.docx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评审内容：施工方案 评审标准：施工方案切合本项目实际情况，方案详细有针对性得6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出现以上任一情形扣1分，方案缺漏项或只有标题没有实质性内容的扣6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项目管理机构及项目经理部组成</w:t>
            </w:r>
          </w:p>
        </w:tc>
        <w:tc>
          <w:tcPr>
            <w:tcW w:type="dxa" w:w="2492"/>
          </w:tcPr>
          <w:p>
            <w:pPr>
              <w:pStyle w:val="null3"/>
            </w:pPr>
            <w:r>
              <w:rPr>
                <w:rFonts w:ascii="仿宋_GB2312" w:hAnsi="仿宋_GB2312" w:cs="仿宋_GB2312" w:eastAsia="仿宋_GB2312"/>
              </w:rPr>
              <w:t>评审内容：①项目管理机构②项目经理部组成 评审标准：以上内容切合本项目实际情况及实施要求，内容与要点相符、每个要点均有展开详细的阐述且能够适用于本项目的得6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0.5分，方案缺漏项或只有标题没有实质性内容的扣3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评审内容：确保安全生产的技术组织措施 评审标准：技术组织措施切合本项目实际情况，内容详细有针对性得6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1分，方案缺漏项或只有标题没有实质性内容的扣6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确保文明施工的技术措施及环境保护措施</w:t>
            </w:r>
          </w:p>
        </w:tc>
        <w:tc>
          <w:tcPr>
            <w:tcW w:type="dxa" w:w="2492"/>
          </w:tcPr>
          <w:p>
            <w:pPr>
              <w:pStyle w:val="null3"/>
            </w:pPr>
            <w:r>
              <w:rPr>
                <w:rFonts w:ascii="仿宋_GB2312" w:hAnsi="仿宋_GB2312" w:cs="仿宋_GB2312" w:eastAsia="仿宋_GB2312"/>
              </w:rPr>
              <w:t>评审内容：①确保文明施工的技术措施②环境保护措施 评审标准：以上内容切合本项目实际情况及实施要求，内容与要点相符、每个要点均有展开详细的阐述且能够适用于本项目的得6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0.5分，方案缺漏项或只有标题没有实质性内容的扣3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劳动力计划及主要材料供应计划</w:t>
            </w:r>
          </w:p>
        </w:tc>
        <w:tc>
          <w:tcPr>
            <w:tcW w:type="dxa" w:w="2492"/>
          </w:tcPr>
          <w:p>
            <w:pPr>
              <w:pStyle w:val="null3"/>
            </w:pPr>
            <w:r>
              <w:rPr>
                <w:rFonts w:ascii="仿宋_GB2312" w:hAnsi="仿宋_GB2312" w:cs="仿宋_GB2312" w:eastAsia="仿宋_GB2312"/>
              </w:rPr>
              <w:t>评审内容：①劳动力计划②主要材料供应计划 评审标准：以上内容切合本项目实际情况及实施要求，内容与要点相符、每个要点均有展开详细的阐述且能够适用于本项目的得6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0.5分，方案缺漏项或只有标题没有实质性内容的扣3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施工机械设备配备计划</w:t>
            </w:r>
          </w:p>
        </w:tc>
        <w:tc>
          <w:tcPr>
            <w:tcW w:type="dxa" w:w="2492"/>
          </w:tcPr>
          <w:p>
            <w:pPr>
              <w:pStyle w:val="null3"/>
            </w:pPr>
            <w:r>
              <w:rPr>
                <w:rFonts w:ascii="仿宋_GB2312" w:hAnsi="仿宋_GB2312" w:cs="仿宋_GB2312" w:eastAsia="仿宋_GB2312"/>
              </w:rPr>
              <w:t>评审内容：施工机械设备配备计划 评审标准：施工方案切合本项目实际情况，方案详细有针对性得6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1分，方案缺漏项或只有标题没有实质性内容的扣6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工程质量保证措施</w:t>
            </w:r>
          </w:p>
        </w:tc>
        <w:tc>
          <w:tcPr>
            <w:tcW w:type="dxa" w:w="2492"/>
          </w:tcPr>
          <w:p>
            <w:pPr>
              <w:pStyle w:val="null3"/>
            </w:pPr>
            <w:r>
              <w:rPr>
                <w:rFonts w:ascii="仿宋_GB2312" w:hAnsi="仿宋_GB2312" w:cs="仿宋_GB2312" w:eastAsia="仿宋_GB2312"/>
              </w:rPr>
              <w:t>评审内容：工程质量保证措施 评审标准：施工方案切合本项目实际情况，方案详细有针对性得6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1分，方案缺漏项或只有标题没有实质性内容的扣6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施工进度计划及确保工期的技术措施</w:t>
            </w:r>
          </w:p>
        </w:tc>
        <w:tc>
          <w:tcPr>
            <w:tcW w:type="dxa" w:w="2492"/>
          </w:tcPr>
          <w:p>
            <w:pPr>
              <w:pStyle w:val="null3"/>
            </w:pPr>
            <w:r>
              <w:rPr>
                <w:rFonts w:ascii="仿宋_GB2312" w:hAnsi="仿宋_GB2312" w:cs="仿宋_GB2312" w:eastAsia="仿宋_GB2312"/>
              </w:rPr>
              <w:t>评审内容：①施工进度计划②确保工期的技术措施 评审标准：以上内容切合本项目实际情况及实施要求，内容与要点相符、每个要点均有展开详细的阐述且能够适用于本项目的得6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0.5分，方案缺漏项或只有标题没有实质性内容的扣3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雨季施工管理防范措施</w:t>
            </w:r>
          </w:p>
        </w:tc>
        <w:tc>
          <w:tcPr>
            <w:tcW w:type="dxa" w:w="2492"/>
          </w:tcPr>
          <w:p>
            <w:pPr>
              <w:pStyle w:val="null3"/>
            </w:pPr>
            <w:r>
              <w:rPr>
                <w:rFonts w:ascii="仿宋_GB2312" w:hAnsi="仿宋_GB2312" w:cs="仿宋_GB2312" w:eastAsia="仿宋_GB2312"/>
              </w:rPr>
              <w:t>评审内容：雨季施工管理防范措施 评审标准：施工方案切合本项目实际情况，方案详细有针对性得4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1分，方案缺漏项或只有标题没有实质性内容的扣4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垃圾清运方案</w:t>
            </w:r>
          </w:p>
        </w:tc>
        <w:tc>
          <w:tcPr>
            <w:tcW w:type="dxa" w:w="2492"/>
          </w:tcPr>
          <w:p>
            <w:pPr>
              <w:pStyle w:val="null3"/>
            </w:pPr>
            <w:r>
              <w:rPr>
                <w:rFonts w:ascii="仿宋_GB2312" w:hAnsi="仿宋_GB2312" w:cs="仿宋_GB2312" w:eastAsia="仿宋_GB2312"/>
              </w:rPr>
              <w:t>评审内容：垃圾清运方案 评审标准：垃圾清运方案切合本项目实际情况，方案详细有针对性得4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1分，方案缺漏项或只有标题没有实质性内容的扣4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评审内容：①服务过程中的相关承诺②质保期内的服务承诺 评审标准：以上内容与要点相符、每个要点均有展开详细的阐述且能够适用于本项目的得8分； 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0.5分，方案缺漏项或只有标题没有实质性内容的扣4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具有2022年（附合同协议书等相关证明材料；已合同签订日期为准）至今类似项目业绩，每提供1个得2分，满分6分。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满足磋商文件要求且投标价格最低的磋商报价为磋商基准价，其价格分为满分。其他供应商的价格分统一按照下列公式计算：磋商报价得分=（磋商基准价/最后磋商报价）×30%×100。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详见附件：施工方案.docx</w:t>
      </w:r>
    </w:p>
    <w:p>
      <w:pPr>
        <w:pStyle w:val="null3"/>
        <w:ind w:firstLine="960"/>
      </w:pPr>
      <w:r>
        <w:rPr>
          <w:rFonts w:ascii="仿宋_GB2312" w:hAnsi="仿宋_GB2312" w:cs="仿宋_GB2312" w:eastAsia="仿宋_GB2312"/>
        </w:rPr>
        <w:t>详见附件：报价明细表.docx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