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60B11">
      <w:pPr>
        <w:pStyle w:val="2"/>
        <w:bidi w:val="0"/>
        <w:jc w:val="center"/>
        <w:rPr>
          <w:rFonts w:hint="eastAsia"/>
          <w:sz w:val="36"/>
          <w:szCs w:val="32"/>
        </w:rPr>
      </w:pPr>
      <w:r>
        <w:rPr>
          <w:rFonts w:hint="eastAsia"/>
          <w:sz w:val="36"/>
          <w:szCs w:val="32"/>
        </w:rPr>
        <w:t>建设项目工程总承包合同示范文本</w:t>
      </w:r>
    </w:p>
    <w:p w14:paraId="126A50EC">
      <w:pPr>
        <w:jc w:val="center"/>
        <w:rPr>
          <w:rFonts w:hint="eastAsia" w:ascii="宋体" w:hAnsi="宋体" w:eastAsia="宋体" w:cs="宋体"/>
          <w:b/>
          <w:bCs/>
          <w:color w:val="auto"/>
          <w:sz w:val="21"/>
          <w:szCs w:val="21"/>
          <w:highlight w:val="none"/>
        </w:rPr>
      </w:pPr>
    </w:p>
    <w:p w14:paraId="791CD547">
      <w:pPr>
        <w:rPr>
          <w:rFonts w:hint="eastAsia" w:ascii="宋体" w:hAnsi="宋体" w:eastAsia="宋体" w:cs="宋体"/>
          <w:b/>
          <w:bCs/>
          <w:color w:val="auto"/>
          <w:sz w:val="21"/>
          <w:szCs w:val="21"/>
          <w:highlight w:val="none"/>
        </w:rPr>
      </w:pPr>
    </w:p>
    <w:p w14:paraId="7CD58F38">
      <w:pPr>
        <w:pStyle w:val="9"/>
        <w:ind w:firstLine="640"/>
        <w:rPr>
          <w:rFonts w:hint="eastAsia" w:ascii="宋体" w:hAnsi="宋体" w:eastAsia="宋体" w:cs="宋体"/>
          <w:b/>
          <w:bCs/>
          <w:color w:val="auto"/>
          <w:sz w:val="21"/>
          <w:szCs w:val="21"/>
          <w:highlight w:val="none"/>
        </w:rPr>
      </w:pPr>
    </w:p>
    <w:p w14:paraId="46C53A2B">
      <w:pPr>
        <w:pStyle w:val="9"/>
        <w:ind w:firstLine="640"/>
        <w:rPr>
          <w:rFonts w:hint="eastAsia" w:ascii="宋体" w:hAnsi="宋体" w:eastAsia="宋体" w:cs="宋体"/>
          <w:b/>
          <w:bCs/>
          <w:color w:val="auto"/>
          <w:sz w:val="21"/>
          <w:szCs w:val="21"/>
          <w:highlight w:val="none"/>
        </w:rPr>
      </w:pPr>
    </w:p>
    <w:p w14:paraId="2F1F8185">
      <w:pPr>
        <w:pStyle w:val="9"/>
        <w:ind w:firstLine="640"/>
        <w:rPr>
          <w:rFonts w:hint="eastAsia" w:ascii="宋体" w:hAnsi="宋体" w:eastAsia="宋体" w:cs="宋体"/>
          <w:b/>
          <w:bCs/>
          <w:color w:val="auto"/>
          <w:sz w:val="21"/>
          <w:szCs w:val="21"/>
          <w:highlight w:val="none"/>
        </w:rPr>
      </w:pPr>
    </w:p>
    <w:p w14:paraId="5EC74D0D">
      <w:pPr>
        <w:pStyle w:val="9"/>
        <w:ind w:firstLine="640"/>
        <w:rPr>
          <w:rFonts w:hint="eastAsia" w:ascii="宋体" w:hAnsi="宋体" w:eastAsia="宋体" w:cs="宋体"/>
          <w:b/>
          <w:bCs/>
          <w:color w:val="auto"/>
          <w:sz w:val="21"/>
          <w:szCs w:val="21"/>
          <w:highlight w:val="none"/>
        </w:rPr>
      </w:pPr>
    </w:p>
    <w:p w14:paraId="2001C241">
      <w:pPr>
        <w:pStyle w:val="9"/>
        <w:ind w:firstLine="640"/>
        <w:rPr>
          <w:rFonts w:hint="eastAsia" w:ascii="宋体" w:hAnsi="宋体" w:eastAsia="宋体" w:cs="宋体"/>
          <w:b/>
          <w:bCs/>
          <w:color w:val="auto"/>
          <w:sz w:val="21"/>
          <w:szCs w:val="21"/>
          <w:highlight w:val="none"/>
        </w:rPr>
      </w:pPr>
    </w:p>
    <w:p w14:paraId="53DBBF12">
      <w:pPr>
        <w:pStyle w:val="9"/>
        <w:ind w:firstLine="640"/>
        <w:rPr>
          <w:rFonts w:hint="eastAsia" w:ascii="宋体" w:hAnsi="宋体" w:eastAsia="宋体" w:cs="宋体"/>
          <w:b/>
          <w:bCs/>
          <w:color w:val="auto"/>
          <w:sz w:val="21"/>
          <w:szCs w:val="21"/>
          <w:highlight w:val="none"/>
        </w:rPr>
      </w:pPr>
    </w:p>
    <w:p w14:paraId="31B5B78A">
      <w:pPr>
        <w:pStyle w:val="9"/>
        <w:ind w:firstLine="640"/>
        <w:rPr>
          <w:rFonts w:hint="eastAsia" w:ascii="宋体" w:hAnsi="宋体" w:eastAsia="宋体" w:cs="宋体"/>
          <w:b/>
          <w:bCs/>
          <w:color w:val="auto"/>
          <w:sz w:val="21"/>
          <w:szCs w:val="21"/>
          <w:highlight w:val="none"/>
        </w:rPr>
      </w:pPr>
    </w:p>
    <w:p w14:paraId="53DA0725">
      <w:pPr>
        <w:pStyle w:val="9"/>
        <w:ind w:firstLine="640"/>
        <w:rPr>
          <w:rFonts w:hint="eastAsia" w:ascii="宋体" w:hAnsi="宋体" w:eastAsia="宋体" w:cs="宋体"/>
          <w:b/>
          <w:bCs/>
          <w:color w:val="auto"/>
          <w:sz w:val="21"/>
          <w:szCs w:val="21"/>
          <w:highlight w:val="none"/>
        </w:rPr>
      </w:pPr>
    </w:p>
    <w:p w14:paraId="426F6711">
      <w:pPr>
        <w:pStyle w:val="9"/>
        <w:ind w:firstLine="640"/>
        <w:rPr>
          <w:rFonts w:hint="eastAsia" w:ascii="宋体" w:hAnsi="宋体" w:eastAsia="宋体" w:cs="宋体"/>
          <w:b/>
          <w:bCs/>
          <w:color w:val="auto"/>
          <w:sz w:val="21"/>
          <w:szCs w:val="21"/>
          <w:highlight w:val="none"/>
        </w:rPr>
      </w:pPr>
    </w:p>
    <w:p w14:paraId="2996C66D">
      <w:pPr>
        <w:pStyle w:val="9"/>
        <w:ind w:firstLine="640"/>
        <w:rPr>
          <w:rFonts w:hint="eastAsia" w:ascii="宋体" w:hAnsi="宋体" w:eastAsia="宋体" w:cs="宋体"/>
          <w:b/>
          <w:bCs/>
          <w:color w:val="auto"/>
          <w:sz w:val="21"/>
          <w:szCs w:val="21"/>
          <w:highlight w:val="none"/>
        </w:rPr>
      </w:pPr>
    </w:p>
    <w:p w14:paraId="401C291E">
      <w:pPr>
        <w:pStyle w:val="9"/>
        <w:ind w:firstLine="640"/>
        <w:rPr>
          <w:rFonts w:hint="eastAsia" w:ascii="宋体" w:hAnsi="宋体" w:eastAsia="宋体" w:cs="宋体"/>
          <w:b/>
          <w:bCs/>
          <w:color w:val="auto"/>
          <w:sz w:val="21"/>
          <w:szCs w:val="21"/>
          <w:highlight w:val="none"/>
        </w:rPr>
      </w:pPr>
    </w:p>
    <w:p w14:paraId="2353E37F">
      <w:pPr>
        <w:pStyle w:val="9"/>
        <w:ind w:firstLine="640"/>
        <w:rPr>
          <w:rFonts w:hint="eastAsia" w:ascii="宋体" w:hAnsi="宋体" w:eastAsia="宋体" w:cs="宋体"/>
          <w:b/>
          <w:bCs/>
          <w:color w:val="auto"/>
          <w:sz w:val="21"/>
          <w:szCs w:val="21"/>
          <w:highlight w:val="none"/>
        </w:rPr>
      </w:pPr>
    </w:p>
    <w:p w14:paraId="32434F03">
      <w:pPr>
        <w:pStyle w:val="9"/>
        <w:ind w:firstLine="640"/>
        <w:rPr>
          <w:rFonts w:hint="eastAsia" w:ascii="宋体" w:hAnsi="宋体" w:eastAsia="宋体" w:cs="宋体"/>
          <w:b/>
          <w:bCs/>
          <w:color w:val="auto"/>
          <w:sz w:val="21"/>
          <w:szCs w:val="21"/>
          <w:highlight w:val="none"/>
        </w:rPr>
      </w:pPr>
    </w:p>
    <w:p w14:paraId="6231E92D">
      <w:pPr>
        <w:pStyle w:val="9"/>
        <w:ind w:firstLine="640"/>
        <w:rPr>
          <w:rFonts w:hint="eastAsia" w:ascii="宋体" w:hAnsi="宋体" w:eastAsia="宋体" w:cs="宋体"/>
          <w:b/>
          <w:bCs/>
          <w:color w:val="auto"/>
          <w:sz w:val="21"/>
          <w:szCs w:val="21"/>
          <w:highlight w:val="none"/>
        </w:rPr>
      </w:pPr>
    </w:p>
    <w:p w14:paraId="30BF6444">
      <w:pPr>
        <w:rPr>
          <w:rFonts w:hint="eastAsia" w:ascii="宋体" w:hAnsi="宋体" w:eastAsia="宋体" w:cs="宋体"/>
          <w:b/>
          <w:color w:val="auto"/>
          <w:sz w:val="21"/>
          <w:szCs w:val="21"/>
          <w:highlight w:val="none"/>
        </w:rPr>
      </w:pPr>
    </w:p>
    <w:p w14:paraId="3CBFFCF5">
      <w:pPr>
        <w:jc w:val="center"/>
        <w:rPr>
          <w:rFonts w:hint="eastAsia" w:ascii="宋体" w:hAnsi="宋体" w:eastAsia="宋体" w:cs="宋体"/>
          <w:b/>
          <w:color w:val="auto"/>
          <w:sz w:val="21"/>
          <w:szCs w:val="21"/>
          <w:highlight w:val="none"/>
        </w:rPr>
      </w:pPr>
    </w:p>
    <w:p w14:paraId="32B3EBD6">
      <w:pPr>
        <w:ind w:right="2181" w:rightChars="1039"/>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 xml:space="preserve">       </w:t>
      </w:r>
      <w:r>
        <w:rPr>
          <w:rFonts w:hint="eastAsia" w:ascii="宋体" w:hAnsi="宋体" w:eastAsia="宋体" w:cs="宋体"/>
          <w:b/>
          <w:bCs/>
          <w:color w:val="auto"/>
          <w:sz w:val="21"/>
          <w:szCs w:val="21"/>
          <w:highlight w:val="none"/>
          <w:lang w:val="en-US" w:eastAsia="zh-CN"/>
        </w:rPr>
        <w:t xml:space="preserve"> </w:t>
      </w:r>
    </w:p>
    <w:p w14:paraId="5B382B96">
      <w:pPr>
        <w:ind w:right="2181" w:rightChars="1039"/>
        <w:jc w:val="center"/>
        <w:rPr>
          <w:rFonts w:hint="eastAsia" w:ascii="宋体" w:hAnsi="宋体" w:eastAsia="宋体" w:cs="宋体"/>
          <w:b/>
          <w:bCs/>
          <w:color w:val="auto"/>
          <w:sz w:val="21"/>
          <w:szCs w:val="21"/>
          <w:highlight w:val="none"/>
          <w:lang w:val="en-US" w:eastAsia="zh-CN"/>
        </w:rPr>
      </w:pPr>
    </w:p>
    <w:p w14:paraId="220E3413">
      <w:pPr>
        <w:ind w:right="2181" w:rightChars="1039"/>
        <w:jc w:val="center"/>
        <w:rPr>
          <w:rFonts w:hint="eastAsia" w:ascii="宋体" w:hAnsi="宋体" w:eastAsia="宋体" w:cs="宋体"/>
          <w:b/>
          <w:bCs/>
          <w:color w:val="auto"/>
          <w:sz w:val="21"/>
          <w:szCs w:val="21"/>
          <w:highlight w:val="none"/>
          <w:lang w:val="en-US" w:eastAsia="zh-CN"/>
        </w:rPr>
      </w:pPr>
    </w:p>
    <w:p w14:paraId="5CEE32A0">
      <w:pPr>
        <w:ind w:right="2181" w:rightChars="1039"/>
        <w:jc w:val="center"/>
        <w:rPr>
          <w:rFonts w:hint="eastAsia" w:ascii="宋体" w:hAnsi="宋体" w:eastAsia="宋体" w:cs="宋体"/>
          <w:b/>
          <w:bCs/>
          <w:color w:val="auto"/>
          <w:sz w:val="21"/>
          <w:szCs w:val="21"/>
          <w:highlight w:val="none"/>
          <w:lang w:val="en-US" w:eastAsia="zh-CN"/>
        </w:rPr>
      </w:pPr>
    </w:p>
    <w:p w14:paraId="01A8BC87">
      <w:pPr>
        <w:ind w:right="2181" w:rightChars="1039" w:firstLine="1680" w:firstLineChars="800"/>
        <w:jc w:val="both"/>
        <w:rPr>
          <w:rFonts w:hint="eastAsia" w:ascii="宋体" w:hAnsi="宋体" w:eastAsia="宋体" w:cs="宋体"/>
          <w:b/>
          <w:bCs/>
          <w:color w:val="auto"/>
          <w:sz w:val="28"/>
          <w:szCs w:val="28"/>
          <w:highlight w:val="none"/>
        </w:rPr>
      </w:pPr>
      <w:r>
        <w:rPr>
          <w:rFonts w:cs="宋体" w:asciiTheme="minorEastAsia" w:hAnsiTheme="minorEastAsia"/>
          <w:b/>
          <w:bCs/>
          <w:sz w:val="21"/>
          <w:szCs w:val="21"/>
          <w:highlight w:val="none"/>
        </w:rPr>
        <mc:AlternateContent>
          <mc:Choice Requires="wps">
            <w:drawing>
              <wp:anchor distT="0" distB="0" distL="114300" distR="114300" simplePos="0" relativeHeight="251661312" behindDoc="0" locked="0" layoutInCell="1" allowOverlap="1">
                <wp:simplePos x="0" y="0"/>
                <wp:positionH relativeFrom="column">
                  <wp:posOffset>4137660</wp:posOffset>
                </wp:positionH>
                <wp:positionV relativeFrom="paragraph">
                  <wp:posOffset>222250</wp:posOffset>
                </wp:positionV>
                <wp:extent cx="723900" cy="520700"/>
                <wp:effectExtent l="4445" t="4445" r="14605" b="8255"/>
                <wp:wrapNone/>
                <wp:docPr id="2" name="文本框 2"/>
                <wp:cNvGraphicFramePr/>
                <a:graphic xmlns:a="http://schemas.openxmlformats.org/drawingml/2006/main">
                  <a:graphicData uri="http://schemas.microsoft.com/office/word/2010/wordprocessingShape">
                    <wps:wsp>
                      <wps:cNvSpPr txBox="1"/>
                      <wps:spPr bwMode="auto">
                        <a:xfrm>
                          <a:off x="0" y="0"/>
                          <a:ext cx="723900" cy="520700"/>
                        </a:xfrm>
                        <a:prstGeom prst="rect">
                          <a:avLst/>
                        </a:prstGeom>
                        <a:noFill/>
                        <a:ln w="9525">
                          <a:solidFill>
                            <a:srgbClr val="FFFFFF"/>
                          </a:solidFill>
                          <a:miter lim="800000"/>
                        </a:ln>
                        <a:effectLst/>
                      </wps:spPr>
                      <wps:txbx>
                        <w:txbxContent>
                          <w:p w14:paraId="791F891A">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25.8pt;margin-top:17.5pt;height:41pt;width:57pt;z-index:251661312;mso-width-relative:page;mso-height-relative:page;" filled="f" stroked="t" coordsize="21600,21600" o:gfxdata="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fejbbYAAAACgEAAA8AAAAAAAAAAQAgAAAAIgAAAGRycy9kb3ducmV2LnhtbFBLAQIUABQA&#10;AAAIAIdO4kB7CDELKQIAADsEAAAOAAAAAAAAAAEAIAAAACcBAABkcnMvZTJvRG9jLnhtbFBLBQYA&#10;AAAABgAGAFkBAADCBQAAAAA=&#10;">
                <v:fill on="f" focussize="0,0"/>
                <v:stroke color="#FFFFFF" miterlimit="8" joinstyle="miter"/>
                <v:imagedata o:title=""/>
                <o:lock v:ext="edit" aspectratio="f"/>
                <v:textbox>
                  <w:txbxContent>
                    <w:p w14:paraId="791F891A">
                      <w:pPr>
                        <w:rPr>
                          <w:b/>
                          <w:bCs/>
                          <w:sz w:val="32"/>
                        </w:rPr>
                      </w:pPr>
                      <w:r>
                        <w:rPr>
                          <w:rFonts w:hint="eastAsia"/>
                          <w:b/>
                          <w:bCs/>
                          <w:sz w:val="32"/>
                        </w:rPr>
                        <w:t>制定</w:t>
                      </w:r>
                    </w:p>
                  </w:txbxContent>
                </v:textbox>
              </v:shape>
            </w:pict>
          </mc:Fallback>
        </mc:AlternateContent>
      </w:r>
      <w:r>
        <w:rPr>
          <w:rFonts w:hint="eastAsia" w:ascii="宋体" w:hAnsi="宋体" w:eastAsia="宋体" w:cs="宋体"/>
          <w:b/>
          <w:bCs/>
          <w:color w:val="auto"/>
          <w:sz w:val="28"/>
          <w:szCs w:val="28"/>
          <w:highlight w:val="none"/>
        </w:rPr>
        <w:t>中华人民共和国住房和城乡建设部</w:t>
      </w:r>
    </w:p>
    <w:p w14:paraId="1682CE76">
      <w:pPr>
        <w:ind w:firstLine="1680" w:firstLineChars="600"/>
        <w:jc w:val="both"/>
        <w:rPr>
          <w:rFonts w:hint="eastAsia" w:ascii="宋体" w:hAnsi="宋体" w:eastAsia="宋体" w:cs="宋体"/>
          <w:b/>
          <w:color w:val="auto"/>
          <w:sz w:val="21"/>
          <w:szCs w:val="21"/>
          <w:highlight w:val="none"/>
        </w:rPr>
      </w:pPr>
      <w:r>
        <w:rPr>
          <w:rFonts w:hint="eastAsia" w:ascii="宋体" w:hAnsi="宋体" w:eastAsia="宋体" w:cs="宋体"/>
          <w:b/>
          <w:bCs/>
          <w:color w:val="auto"/>
          <w:sz w:val="28"/>
          <w:szCs w:val="28"/>
          <w:highlight w:val="none"/>
        </w:rPr>
        <w:t>国 家 市 场 监 督 管 理 总 局</w:t>
      </w:r>
      <w:r>
        <w:rPr>
          <w:rFonts w:hint="eastAsia" w:ascii="宋体" w:hAnsi="宋体" w:eastAsia="宋体" w:cs="宋体"/>
          <w:b/>
          <w:color w:val="auto"/>
          <w:sz w:val="21"/>
          <w:szCs w:val="21"/>
          <w:highlight w:val="none"/>
        </w:rPr>
        <w:br w:type="page"/>
      </w:r>
    </w:p>
    <w:p w14:paraId="6A63C407">
      <w:pPr>
        <w:pStyle w:val="3"/>
        <w:jc w:val="center"/>
        <w:rPr>
          <w:rFonts w:hint="eastAsia" w:ascii="宋体" w:hAnsi="宋体" w:cs="宋体"/>
          <w:b/>
          <w:bCs/>
          <w:sz w:val="21"/>
          <w:szCs w:val="21"/>
          <w:highlight w:val="none"/>
        </w:rPr>
      </w:pPr>
    </w:p>
    <w:p w14:paraId="10688C04">
      <w:pPr>
        <w:pStyle w:val="3"/>
        <w:jc w:val="center"/>
        <w:rPr>
          <w:rFonts w:hint="eastAsia" w:eastAsia="宋体"/>
          <w:sz w:val="48"/>
          <w:szCs w:val="48"/>
          <w:highlight w:val="none"/>
          <w:lang w:eastAsia="zh-CN"/>
        </w:rPr>
      </w:pPr>
      <w:r>
        <w:rPr>
          <w:rFonts w:hint="eastAsia" w:ascii="宋体" w:hAnsi="宋体" w:cs="宋体"/>
          <w:b/>
          <w:bCs/>
          <w:sz w:val="48"/>
          <w:szCs w:val="48"/>
          <w:highlight w:val="none"/>
          <w:lang w:eastAsia="zh-CN"/>
        </w:rPr>
        <w:t>消防维修提升项目</w:t>
      </w:r>
    </w:p>
    <w:p w14:paraId="1B8ADC2E">
      <w:pPr>
        <w:rPr>
          <w:sz w:val="21"/>
          <w:szCs w:val="21"/>
          <w:highlight w:val="none"/>
        </w:rPr>
      </w:pPr>
    </w:p>
    <w:p w14:paraId="3EB131A4">
      <w:pPr>
        <w:pStyle w:val="3"/>
        <w:rPr>
          <w:rFonts w:ascii="宋体" w:hAnsi="宋体" w:cs="宋体"/>
          <w:b/>
          <w:bCs/>
          <w:sz w:val="21"/>
          <w:szCs w:val="21"/>
          <w:highlight w:val="none"/>
        </w:rPr>
      </w:pPr>
    </w:p>
    <w:p w14:paraId="5389C866">
      <w:pPr>
        <w:pStyle w:val="3"/>
        <w:rPr>
          <w:rFonts w:ascii="宋体" w:hAnsi="宋体" w:cs="宋体"/>
          <w:b/>
          <w:bCs/>
          <w:sz w:val="21"/>
          <w:szCs w:val="21"/>
          <w:highlight w:val="none"/>
        </w:rPr>
      </w:pPr>
    </w:p>
    <w:p w14:paraId="73EA156E">
      <w:pPr>
        <w:pStyle w:val="3"/>
        <w:rPr>
          <w:rFonts w:ascii="宋体" w:hAnsi="宋体" w:cs="宋体"/>
          <w:b/>
          <w:bCs/>
          <w:sz w:val="21"/>
          <w:szCs w:val="21"/>
          <w:highlight w:val="none"/>
        </w:rPr>
      </w:pPr>
    </w:p>
    <w:p w14:paraId="5556CFD4">
      <w:pPr>
        <w:pStyle w:val="3"/>
        <w:rPr>
          <w:rFonts w:ascii="宋体" w:hAnsi="宋体" w:cs="宋体"/>
          <w:b/>
          <w:bCs/>
          <w:sz w:val="21"/>
          <w:szCs w:val="21"/>
          <w:highlight w:val="none"/>
        </w:rPr>
      </w:pPr>
    </w:p>
    <w:p w14:paraId="4D74D028">
      <w:pPr>
        <w:pStyle w:val="3"/>
        <w:rPr>
          <w:rFonts w:ascii="宋体" w:hAnsi="宋体" w:cs="宋体"/>
          <w:b/>
          <w:bCs/>
          <w:sz w:val="21"/>
          <w:szCs w:val="21"/>
          <w:highlight w:val="none"/>
        </w:rPr>
      </w:pPr>
    </w:p>
    <w:p w14:paraId="2052E99F">
      <w:pPr>
        <w:jc w:val="center"/>
        <w:rPr>
          <w:rFonts w:ascii="宋体" w:hAnsi="宋体" w:cs="宋体"/>
          <w:b/>
          <w:bCs/>
          <w:sz w:val="28"/>
          <w:szCs w:val="28"/>
          <w:highlight w:val="none"/>
        </w:rPr>
      </w:pPr>
      <w:r>
        <w:rPr>
          <w:rFonts w:hint="eastAsia" w:ascii="宋体" w:hAnsi="宋体" w:cs="宋体"/>
          <w:b/>
          <w:bCs/>
          <w:sz w:val="28"/>
          <w:szCs w:val="28"/>
          <w:highlight w:val="none"/>
        </w:rPr>
        <w:t>合同协议书</w:t>
      </w:r>
    </w:p>
    <w:p w14:paraId="0E69B92B">
      <w:pPr>
        <w:jc w:val="center"/>
        <w:rPr>
          <w:rFonts w:ascii="宋体" w:hAnsi="宋体" w:cs="宋体"/>
          <w:b/>
          <w:color w:val="000000"/>
          <w:sz w:val="21"/>
          <w:szCs w:val="21"/>
          <w:highlight w:val="none"/>
        </w:rPr>
      </w:pPr>
    </w:p>
    <w:p w14:paraId="13B6F2E4">
      <w:pPr>
        <w:jc w:val="center"/>
        <w:rPr>
          <w:rFonts w:ascii="宋体" w:hAnsi="宋体" w:cs="宋体"/>
          <w:b/>
          <w:color w:val="000000"/>
          <w:sz w:val="21"/>
          <w:szCs w:val="21"/>
          <w:highlight w:val="none"/>
        </w:rPr>
      </w:pPr>
    </w:p>
    <w:p w14:paraId="56CCEB9F">
      <w:pPr>
        <w:jc w:val="center"/>
        <w:rPr>
          <w:rFonts w:ascii="宋体" w:hAnsi="宋体" w:cs="宋体"/>
          <w:b/>
          <w:color w:val="000000"/>
          <w:sz w:val="21"/>
          <w:szCs w:val="21"/>
          <w:highlight w:val="none"/>
        </w:rPr>
      </w:pPr>
    </w:p>
    <w:p w14:paraId="07B82281">
      <w:pPr>
        <w:pStyle w:val="8"/>
        <w:ind w:firstLine="240"/>
        <w:rPr>
          <w:rFonts w:hAnsi="宋体" w:cs="宋体"/>
          <w:color w:val="000000"/>
          <w:sz w:val="21"/>
          <w:szCs w:val="21"/>
          <w:highlight w:val="none"/>
        </w:rPr>
      </w:pPr>
    </w:p>
    <w:p w14:paraId="1C74B095">
      <w:pPr>
        <w:pStyle w:val="8"/>
        <w:ind w:firstLine="240"/>
        <w:rPr>
          <w:rFonts w:hAnsi="宋体" w:cs="宋体"/>
          <w:color w:val="000000"/>
          <w:sz w:val="21"/>
          <w:szCs w:val="21"/>
          <w:highlight w:val="none"/>
        </w:rPr>
      </w:pPr>
    </w:p>
    <w:p w14:paraId="7B858D01">
      <w:pPr>
        <w:pStyle w:val="8"/>
        <w:ind w:firstLine="240"/>
        <w:rPr>
          <w:rFonts w:hAnsi="宋体" w:cs="宋体"/>
          <w:color w:val="000000"/>
          <w:sz w:val="21"/>
          <w:szCs w:val="21"/>
          <w:highlight w:val="none"/>
        </w:rPr>
      </w:pPr>
    </w:p>
    <w:p w14:paraId="11217077">
      <w:pPr>
        <w:pStyle w:val="8"/>
        <w:ind w:firstLine="240"/>
        <w:rPr>
          <w:rFonts w:hAnsi="宋体" w:cs="宋体"/>
          <w:color w:val="000000"/>
          <w:sz w:val="21"/>
          <w:szCs w:val="21"/>
          <w:highlight w:val="none"/>
        </w:rPr>
      </w:pPr>
    </w:p>
    <w:p w14:paraId="4E72237C">
      <w:pPr>
        <w:pStyle w:val="8"/>
        <w:ind w:firstLine="240"/>
        <w:rPr>
          <w:rFonts w:hAnsi="宋体" w:cs="宋体"/>
          <w:color w:val="000000"/>
          <w:sz w:val="21"/>
          <w:szCs w:val="21"/>
          <w:highlight w:val="none"/>
        </w:rPr>
      </w:pPr>
    </w:p>
    <w:p w14:paraId="12B724B8">
      <w:pPr>
        <w:pStyle w:val="8"/>
        <w:ind w:firstLine="240"/>
        <w:rPr>
          <w:rFonts w:hAnsi="宋体" w:cs="宋体"/>
          <w:color w:val="000000"/>
          <w:sz w:val="21"/>
          <w:szCs w:val="21"/>
          <w:highlight w:val="none"/>
        </w:rPr>
      </w:pPr>
    </w:p>
    <w:p w14:paraId="655C6E68">
      <w:pPr>
        <w:pStyle w:val="8"/>
        <w:ind w:firstLine="240"/>
        <w:rPr>
          <w:rFonts w:hAnsi="宋体" w:cs="宋体"/>
          <w:color w:val="000000"/>
          <w:sz w:val="21"/>
          <w:szCs w:val="21"/>
          <w:highlight w:val="none"/>
        </w:rPr>
      </w:pPr>
    </w:p>
    <w:p w14:paraId="773E5891">
      <w:pPr>
        <w:spacing w:line="360" w:lineRule="auto"/>
        <w:ind w:firstLine="2640" w:firstLineChars="1100"/>
        <w:jc w:val="both"/>
        <w:rPr>
          <w:rFonts w:hint="eastAsia" w:ascii="宋体" w:hAnsi="宋体" w:cs="宋体"/>
          <w:b/>
          <w:bCs/>
          <w:color w:val="000000"/>
          <w:sz w:val="24"/>
          <w:szCs w:val="24"/>
          <w:highlight w:val="none"/>
          <w:u w:val="single"/>
          <w:lang w:eastAsia="zh-CN"/>
        </w:rPr>
      </w:pPr>
      <w:r>
        <w:rPr>
          <w:rFonts w:hint="eastAsia" w:ascii="宋体" w:hAnsi="宋体" w:cs="宋体"/>
          <w:b/>
          <w:bCs/>
          <w:color w:val="000000"/>
          <w:sz w:val="24"/>
          <w:szCs w:val="24"/>
          <w:highlight w:val="none"/>
        </w:rPr>
        <w:t>发包人：</w:t>
      </w:r>
      <w:r>
        <w:rPr>
          <w:rFonts w:hint="eastAsia" w:ascii="宋体" w:hAnsi="宋体" w:cs="宋体"/>
          <w:b/>
          <w:bCs/>
          <w:color w:val="000000"/>
          <w:sz w:val="24"/>
          <w:szCs w:val="24"/>
          <w:highlight w:val="none"/>
          <w:u w:val="single"/>
          <w:lang w:eastAsia="zh-CN"/>
        </w:rPr>
        <w:t>西安市第一社会福利院</w:t>
      </w:r>
    </w:p>
    <w:p w14:paraId="2D0E30BD">
      <w:pPr>
        <w:spacing w:line="360" w:lineRule="auto"/>
        <w:ind w:firstLine="2640" w:firstLineChars="1100"/>
        <w:jc w:val="both"/>
        <w:rPr>
          <w:rFonts w:hint="eastAsia" w:ascii="宋体" w:hAnsi="宋体" w:cs="宋体"/>
          <w:b/>
          <w:bCs/>
          <w:color w:val="000000"/>
          <w:sz w:val="24"/>
          <w:szCs w:val="24"/>
          <w:highlight w:val="none"/>
        </w:rPr>
      </w:pPr>
    </w:p>
    <w:p w14:paraId="46E5707F">
      <w:pPr>
        <w:spacing w:line="360" w:lineRule="auto"/>
        <w:ind w:firstLine="2640" w:firstLineChars="1100"/>
        <w:jc w:val="both"/>
        <w:rPr>
          <w:rFonts w:ascii="宋体" w:hAnsi="宋体" w:cs="宋体"/>
          <w:b/>
          <w:bCs/>
          <w:color w:val="000000"/>
          <w:sz w:val="24"/>
          <w:szCs w:val="24"/>
          <w:highlight w:val="none"/>
          <w:u w:val="single"/>
        </w:rPr>
      </w:pPr>
      <w:r>
        <w:rPr>
          <w:rFonts w:hint="eastAsia" w:ascii="宋体" w:hAnsi="宋体" w:cs="宋体"/>
          <w:b/>
          <w:bCs/>
          <w:color w:val="000000"/>
          <w:sz w:val="24"/>
          <w:szCs w:val="24"/>
          <w:highlight w:val="none"/>
        </w:rPr>
        <w:t>承包人：</w:t>
      </w:r>
      <w:bookmarkStart w:id="0" w:name="_Toc485024885"/>
      <w:bookmarkStart w:id="1" w:name="_Toc501974579"/>
      <w:r>
        <w:rPr>
          <w:rFonts w:hint="eastAsia" w:ascii="宋体" w:hAnsi="宋体" w:cs="宋体"/>
          <w:b/>
          <w:bCs/>
          <w:color w:val="000000"/>
          <w:sz w:val="24"/>
          <w:szCs w:val="24"/>
          <w:highlight w:val="none"/>
          <w:u w:val="single"/>
        </w:rPr>
        <w:t xml:space="preserve">   </w:t>
      </w:r>
      <w:r>
        <w:rPr>
          <w:rFonts w:hint="eastAsia" w:ascii="宋体" w:hAnsi="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rPr>
        <w:t xml:space="preserve">          </w:t>
      </w:r>
    </w:p>
    <w:p w14:paraId="0496E4B0">
      <w:pPr>
        <w:rPr>
          <w:rFonts w:cs="宋体"/>
          <w:sz w:val="24"/>
          <w:szCs w:val="24"/>
          <w:highlight w:val="none"/>
        </w:rPr>
      </w:pPr>
    </w:p>
    <w:p w14:paraId="3A5E1F3E">
      <w:pPr>
        <w:rPr>
          <w:rFonts w:ascii="宋体" w:hAnsi="宋体" w:cs="宋体"/>
          <w:sz w:val="24"/>
          <w:szCs w:val="24"/>
          <w:highlight w:val="none"/>
        </w:rPr>
      </w:pPr>
    </w:p>
    <w:p w14:paraId="73487AE8">
      <w:pPr>
        <w:spacing w:line="324" w:lineRule="auto"/>
        <w:ind w:right="2719" w:rightChars="1295" w:firstLine="2880" w:firstLineChars="1200"/>
        <w:rPr>
          <w:rFonts w:hint="eastAsia" w:asciiTheme="minorEastAsia" w:hAnsiTheme="minorEastAsia"/>
          <w:b/>
          <w:bCs/>
          <w:sz w:val="24"/>
          <w:szCs w:val="24"/>
          <w:highlight w:val="none"/>
        </w:rPr>
      </w:pPr>
    </w:p>
    <w:p w14:paraId="4229E375">
      <w:pPr>
        <w:spacing w:line="324" w:lineRule="auto"/>
        <w:ind w:right="2719" w:rightChars="1295" w:firstLine="3840" w:firstLineChars="1600"/>
        <w:rPr>
          <w:rFonts w:asciiTheme="minorEastAsia" w:hAnsiTheme="minorEastAsia"/>
          <w:b/>
          <w:bCs/>
          <w:sz w:val="24"/>
          <w:szCs w:val="24"/>
          <w:highlight w:val="none"/>
        </w:rPr>
      </w:pPr>
      <w:r>
        <w:rPr>
          <w:rFonts w:cs="宋体" w:asciiTheme="minorEastAsia" w:hAnsiTheme="minorEastAsia"/>
          <w:b/>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3891280</wp:posOffset>
                </wp:positionH>
                <wp:positionV relativeFrom="paragraph">
                  <wp:posOffset>44450</wp:posOffset>
                </wp:positionV>
                <wp:extent cx="723900" cy="520700"/>
                <wp:effectExtent l="4445" t="4445" r="14605" b="8255"/>
                <wp:wrapNone/>
                <wp:docPr id="7" name="文本框 7"/>
                <wp:cNvGraphicFramePr/>
                <a:graphic xmlns:a="http://schemas.openxmlformats.org/drawingml/2006/main">
                  <a:graphicData uri="http://schemas.microsoft.com/office/word/2010/wordprocessingShape">
                    <wps:wsp>
                      <wps:cNvSpPr txBox="1"/>
                      <wps:spPr bwMode="auto">
                        <a:xfrm>
                          <a:off x="0" y="0"/>
                          <a:ext cx="723900" cy="520700"/>
                        </a:xfrm>
                        <a:prstGeom prst="rect">
                          <a:avLst/>
                        </a:prstGeom>
                        <a:noFill/>
                        <a:ln w="9525">
                          <a:solidFill>
                            <a:srgbClr val="FFFFFF"/>
                          </a:solidFill>
                          <a:miter lim="800000"/>
                        </a:ln>
                        <a:effectLst/>
                      </wps:spPr>
                      <wps:txbx>
                        <w:txbxContent>
                          <w:p w14:paraId="434B0931">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6.4pt;margin-top:3.5pt;height:41pt;width:57pt;z-index:251660288;mso-width-relative:page;mso-height-relative:page;" filled="f" stroked="t" coordsize="21600,21600" o:gfxdata="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U0Vib9cAAAAIAQAADwAAAAAAAAABACAAAAAiAAAAZHJzL2Rvd25yZXYueG1sUEsBAhQAFAAA&#10;AAgAh07iQN//3jApAgAAOwQAAA4AAAAAAAAAAQAgAAAAJgEAAGRycy9lMm9Eb2MueG1sUEsFBgAA&#10;AAAGAAYAWQEAAMEFAAAAAA==&#10;">
                <v:fill on="f" focussize="0,0"/>
                <v:stroke color="#FFFFFF" miterlimit="8" joinstyle="miter"/>
                <v:imagedata o:title=""/>
                <o:lock v:ext="edit" aspectratio="f"/>
                <v:textbox>
                  <w:txbxContent>
                    <w:p w14:paraId="434B0931">
                      <w:pPr>
                        <w:rPr>
                          <w:b/>
                          <w:bCs/>
                          <w:sz w:val="32"/>
                        </w:rPr>
                      </w:pPr>
                      <w:r>
                        <w:rPr>
                          <w:rFonts w:hint="eastAsia"/>
                          <w:b/>
                          <w:bCs/>
                          <w:sz w:val="32"/>
                        </w:rPr>
                        <w:t>制定</w:t>
                      </w:r>
                    </w:p>
                  </w:txbxContent>
                </v:textbox>
              </v:shape>
            </w:pict>
          </mc:Fallback>
        </mc:AlternateContent>
      </w:r>
      <w:r>
        <w:rPr>
          <w:rFonts w:hint="eastAsia" w:asciiTheme="minorEastAsia" w:hAnsiTheme="minorEastAsia"/>
          <w:b/>
          <w:bCs/>
          <w:sz w:val="24"/>
          <w:szCs w:val="24"/>
          <w:highlight w:val="none"/>
        </w:rPr>
        <w:t>住房和城乡建设部</w:t>
      </w:r>
    </w:p>
    <w:p w14:paraId="353C400B">
      <w:pPr>
        <w:spacing w:line="324" w:lineRule="auto"/>
        <w:ind w:right="2719" w:rightChars="1295" w:firstLine="3360" w:firstLineChars="1400"/>
        <w:rPr>
          <w:b/>
          <w:bCs/>
          <w:sz w:val="24"/>
          <w:szCs w:val="24"/>
          <w:highlight w:val="none"/>
        </w:rPr>
      </w:pPr>
      <w:r>
        <w:rPr>
          <w:rFonts w:hint="eastAsia" w:asciiTheme="minorEastAsia" w:hAnsiTheme="minorEastAsia"/>
          <w:b/>
          <w:bCs/>
          <w:sz w:val="24"/>
          <w:szCs w:val="24"/>
          <w:highlight w:val="none"/>
        </w:rPr>
        <w:t>国家工商行政管理总局</w:t>
      </w:r>
    </w:p>
    <w:p w14:paraId="4B0174AC">
      <w:pPr>
        <w:ind w:firstLine="240" w:firstLineChars="100"/>
        <w:jc w:val="center"/>
        <w:rPr>
          <w:rFonts w:ascii="宋体" w:hAnsi="宋体" w:cs="宋体"/>
          <w:bCs/>
          <w:color w:val="000000"/>
          <w:sz w:val="24"/>
          <w:szCs w:val="24"/>
          <w:highlight w:val="none"/>
        </w:rPr>
      </w:pPr>
    </w:p>
    <w:p w14:paraId="63302EC7">
      <w:pPr>
        <w:rPr>
          <w:rFonts w:hint="eastAsia" w:ascii="宋体" w:hAnsi="宋体" w:cs="宋体"/>
          <w:bCs/>
          <w:color w:val="000000"/>
          <w:sz w:val="24"/>
          <w:szCs w:val="24"/>
          <w:highlight w:val="none"/>
          <w:lang w:eastAsia="zh-CN"/>
        </w:rPr>
      </w:pPr>
    </w:p>
    <w:p w14:paraId="43939A48">
      <w:pPr>
        <w:rPr>
          <w:rFonts w:hint="eastAsia" w:ascii="宋体" w:hAnsi="宋体" w:cs="宋体"/>
          <w:bCs/>
          <w:color w:val="000000"/>
          <w:sz w:val="24"/>
          <w:szCs w:val="24"/>
          <w:highlight w:val="none"/>
          <w:lang w:eastAsia="zh-CN"/>
        </w:rPr>
      </w:pPr>
    </w:p>
    <w:p w14:paraId="69B0B24A">
      <w:pPr>
        <w:rPr>
          <w:rFonts w:hint="eastAsia" w:ascii="宋体" w:hAnsi="宋体" w:cs="宋体"/>
          <w:bCs/>
          <w:color w:val="000000"/>
          <w:sz w:val="24"/>
          <w:szCs w:val="24"/>
          <w:highlight w:val="none"/>
          <w:lang w:eastAsia="zh-CN"/>
        </w:rPr>
      </w:pPr>
    </w:p>
    <w:p w14:paraId="0096195A">
      <w:pPr>
        <w:jc w:val="center"/>
        <w:rPr>
          <w:rFonts w:ascii="宋体" w:hAnsi="宋体" w:cs="宋体"/>
          <w:b/>
          <w:bCs w:val="0"/>
          <w:color w:val="000000"/>
          <w:sz w:val="24"/>
          <w:szCs w:val="24"/>
          <w:highlight w:val="none"/>
        </w:rPr>
      </w:pPr>
      <w:r>
        <w:rPr>
          <w:rFonts w:hint="eastAsia" w:ascii="宋体" w:hAnsi="宋体" w:cs="宋体"/>
          <w:b/>
          <w:bCs w:val="0"/>
          <w:color w:val="000000"/>
          <w:sz w:val="24"/>
          <w:szCs w:val="24"/>
          <w:highlight w:val="none"/>
          <w:lang w:eastAsia="zh-CN"/>
        </w:rPr>
        <w:t>2025</w:t>
      </w:r>
      <w:r>
        <w:rPr>
          <w:rFonts w:hint="eastAsia" w:ascii="宋体" w:hAnsi="宋体" w:cs="宋体"/>
          <w:b/>
          <w:bCs w:val="0"/>
          <w:color w:val="000000"/>
          <w:sz w:val="24"/>
          <w:szCs w:val="24"/>
          <w:highlight w:val="none"/>
        </w:rPr>
        <w:t>年  月  日</w:t>
      </w:r>
    </w:p>
    <w:p w14:paraId="428FFB4A">
      <w:pPr>
        <w:rPr>
          <w:rFonts w:hint="eastAsia" w:ascii="宋体" w:hAnsi="宋体" w:cs="宋体"/>
          <w:b/>
          <w:bCs/>
          <w:color w:val="000000"/>
          <w:sz w:val="21"/>
          <w:szCs w:val="21"/>
          <w:highlight w:val="none"/>
        </w:rPr>
      </w:pPr>
      <w:r>
        <w:rPr>
          <w:rFonts w:hint="eastAsia" w:ascii="宋体" w:hAnsi="宋体" w:cs="宋体"/>
          <w:b/>
          <w:bCs/>
          <w:color w:val="000000"/>
          <w:sz w:val="21"/>
          <w:szCs w:val="21"/>
          <w:highlight w:val="none"/>
        </w:rPr>
        <w:br w:type="page"/>
      </w:r>
    </w:p>
    <w:bookmarkEnd w:id="0"/>
    <w:bookmarkEnd w:id="1"/>
    <w:p w14:paraId="03FEA6F2">
      <w:pPr>
        <w:jc w:val="center"/>
        <w:rPr>
          <w:rFonts w:ascii="宋体" w:hAnsi="宋体" w:cs="宋体"/>
          <w:color w:val="000000"/>
          <w:sz w:val="21"/>
          <w:szCs w:val="21"/>
          <w:highlight w:val="none"/>
        </w:rPr>
      </w:pPr>
      <w:r>
        <w:rPr>
          <w:rFonts w:hint="eastAsia" w:ascii="宋体" w:hAnsi="宋体" w:cs="宋体"/>
          <w:b/>
          <w:bCs/>
          <w:color w:val="000000"/>
          <w:sz w:val="21"/>
          <w:szCs w:val="21"/>
          <w:highlight w:val="none"/>
        </w:rPr>
        <w:t>第一部分 合同协议书</w:t>
      </w:r>
    </w:p>
    <w:p w14:paraId="54CD7B9A">
      <w:pPr>
        <w:spacing w:line="360" w:lineRule="auto"/>
        <w:ind w:firstLine="420" w:firstLineChars="200"/>
        <w:rPr>
          <w:rFonts w:ascii="宋体" w:hAnsi="宋体" w:cs="宋体"/>
          <w:b/>
          <w:color w:val="000000"/>
          <w:sz w:val="21"/>
          <w:szCs w:val="21"/>
          <w:highlight w:val="none"/>
        </w:rPr>
      </w:pPr>
    </w:p>
    <w:p w14:paraId="55DCD07D">
      <w:pPr>
        <w:spacing w:line="360" w:lineRule="auto"/>
        <w:ind w:firstLine="420" w:firstLineChars="200"/>
        <w:rPr>
          <w:rFonts w:ascii="宋体" w:hAnsi="宋体" w:cs="宋体"/>
          <w:b/>
          <w:color w:val="000000"/>
          <w:sz w:val="21"/>
          <w:szCs w:val="21"/>
          <w:highlight w:val="none"/>
        </w:rPr>
      </w:pPr>
      <w:r>
        <w:rPr>
          <w:rFonts w:hint="eastAsia" w:ascii="宋体" w:hAnsi="宋体" w:cs="宋体"/>
          <w:b/>
          <w:color w:val="000000"/>
          <w:sz w:val="21"/>
          <w:szCs w:val="21"/>
          <w:highlight w:val="none"/>
        </w:rPr>
        <w:t>发包人（全称）：</w:t>
      </w:r>
      <w:r>
        <w:rPr>
          <w:rFonts w:hint="eastAsia" w:ascii="宋体" w:hAnsi="宋体" w:cs="宋体"/>
          <w:b/>
          <w:color w:val="000000"/>
          <w:sz w:val="21"/>
          <w:szCs w:val="21"/>
          <w:highlight w:val="none"/>
          <w:u w:val="single"/>
          <w:lang w:eastAsia="zh-CN"/>
        </w:rPr>
        <w:t>西安市第一社会福利院</w:t>
      </w:r>
      <w:r>
        <w:rPr>
          <w:rFonts w:hint="eastAsia" w:ascii="宋体" w:hAnsi="宋体" w:cs="宋体"/>
          <w:b/>
          <w:color w:val="000000"/>
          <w:sz w:val="21"/>
          <w:szCs w:val="21"/>
          <w:highlight w:val="none"/>
          <w:u w:val="single"/>
        </w:rPr>
        <w:t xml:space="preserve"> </w:t>
      </w:r>
    </w:p>
    <w:p w14:paraId="485FE480">
      <w:pPr>
        <w:spacing w:line="360" w:lineRule="auto"/>
        <w:ind w:firstLine="420" w:firstLineChars="200"/>
        <w:rPr>
          <w:rFonts w:ascii="宋体" w:hAnsi="宋体" w:cs="宋体"/>
          <w:b/>
          <w:color w:val="000000"/>
          <w:sz w:val="21"/>
          <w:szCs w:val="21"/>
          <w:highlight w:val="none"/>
          <w:u w:val="single"/>
        </w:rPr>
      </w:pPr>
      <w:r>
        <w:rPr>
          <w:rFonts w:hint="eastAsia" w:ascii="宋体" w:hAnsi="宋体" w:cs="宋体"/>
          <w:b/>
          <w:color w:val="000000"/>
          <w:sz w:val="21"/>
          <w:szCs w:val="21"/>
          <w:highlight w:val="none"/>
        </w:rPr>
        <w:t>承包人（全称）：</w:t>
      </w:r>
      <w:r>
        <w:rPr>
          <w:rFonts w:hint="eastAsia" w:ascii="宋体" w:hAnsi="宋体" w:cs="宋体"/>
          <w:b/>
          <w:color w:val="000000"/>
          <w:sz w:val="21"/>
          <w:szCs w:val="21"/>
          <w:highlight w:val="none"/>
          <w:u w:val="single"/>
        </w:rPr>
        <w:t xml:space="preserve">         </w:t>
      </w:r>
      <w:r>
        <w:rPr>
          <w:rFonts w:hint="eastAsia" w:ascii="宋体" w:hAnsi="宋体" w:cs="宋体"/>
          <w:b/>
          <w:color w:val="000000"/>
          <w:sz w:val="21"/>
          <w:szCs w:val="21"/>
          <w:highlight w:val="none"/>
          <w:u w:val="single"/>
          <w:lang w:val="en-US" w:eastAsia="zh-CN"/>
        </w:rPr>
        <w:t xml:space="preserve">      </w:t>
      </w:r>
      <w:r>
        <w:rPr>
          <w:rFonts w:hint="eastAsia" w:ascii="宋体" w:hAnsi="宋体" w:cs="宋体"/>
          <w:b/>
          <w:color w:val="000000"/>
          <w:sz w:val="21"/>
          <w:szCs w:val="21"/>
          <w:highlight w:val="none"/>
          <w:u w:val="single"/>
        </w:rPr>
        <w:t xml:space="preserve">      </w:t>
      </w:r>
    </w:p>
    <w:p w14:paraId="45969750">
      <w:pPr>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 xml:space="preserve"> </w:t>
      </w:r>
    </w:p>
    <w:p w14:paraId="6A2DDE68">
      <w:pPr>
        <w:pStyle w:val="3"/>
        <w:rPr>
          <w:sz w:val="21"/>
          <w:szCs w:val="21"/>
          <w:highlight w:val="none"/>
        </w:rPr>
      </w:pPr>
    </w:p>
    <w:p w14:paraId="4FE19D0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根据《中华人民共和国民法典》、《中华人民共和国建筑法》及有关法律规定，遵循平等、自愿、公平和诚实信用的原则，双方就</w:t>
      </w:r>
      <w:r>
        <w:rPr>
          <w:rFonts w:hint="eastAsia" w:ascii="宋体" w:hAnsi="宋体" w:cs="宋体"/>
          <w:color w:val="000000"/>
          <w:sz w:val="21"/>
          <w:szCs w:val="21"/>
          <w:highlight w:val="none"/>
          <w:u w:val="single"/>
          <w:lang w:eastAsia="zh-CN"/>
        </w:rPr>
        <w:t>消防维修提升项目</w:t>
      </w:r>
      <w:r>
        <w:rPr>
          <w:rFonts w:hint="eastAsia" w:ascii="宋体" w:hAnsi="宋体" w:cs="宋体"/>
          <w:color w:val="000000"/>
          <w:sz w:val="21"/>
          <w:szCs w:val="21"/>
          <w:highlight w:val="none"/>
        </w:rPr>
        <w:t>及有关事项协商一致，共同达成如下协议：</w:t>
      </w:r>
      <w:bookmarkStart w:id="2" w:name="_Toc351203481"/>
    </w:p>
    <w:p w14:paraId="6BBE75C9">
      <w:pPr>
        <w:pStyle w:val="12"/>
        <w:widowControl/>
        <w:numPr>
          <w:ilvl w:val="0"/>
          <w:numId w:val="1"/>
        </w:numPr>
        <w:spacing w:line="360" w:lineRule="auto"/>
        <w:ind w:left="420" w:leftChars="200" w:firstLine="0" w:firstLineChars="0"/>
        <w:contextualSpacing/>
        <w:jc w:val="left"/>
        <w:rPr>
          <w:rFonts w:ascii="宋体" w:hAnsi="宋体" w:cs="宋体"/>
          <w:b/>
          <w:bCs/>
          <w:color w:val="000000"/>
          <w:sz w:val="21"/>
          <w:szCs w:val="21"/>
          <w:highlight w:val="none"/>
        </w:rPr>
      </w:pPr>
      <w:r>
        <w:rPr>
          <w:rFonts w:hint="eastAsia" w:ascii="宋体" w:hAnsi="宋体" w:cs="宋体"/>
          <w:b/>
          <w:bCs/>
          <w:color w:val="000000"/>
          <w:sz w:val="21"/>
          <w:szCs w:val="21"/>
          <w:highlight w:val="none"/>
        </w:rPr>
        <w:t>工程概况</w:t>
      </w:r>
      <w:bookmarkEnd w:id="2"/>
    </w:p>
    <w:p w14:paraId="049A1E14">
      <w:pPr>
        <w:adjustRightInd w:val="0"/>
        <w:snapToGrid w:val="0"/>
        <w:spacing w:before="40" w:after="4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1.工程名称：</w:t>
      </w:r>
      <w:r>
        <w:rPr>
          <w:rFonts w:hint="eastAsia" w:ascii="宋体" w:hAnsi="宋体" w:cs="宋体"/>
          <w:color w:val="000000" w:themeColor="text1"/>
          <w:sz w:val="21"/>
          <w:szCs w:val="21"/>
          <w:highlight w:val="none"/>
          <w:u w:val="single"/>
          <w:lang w:eastAsia="zh-CN"/>
          <w14:textFill>
            <w14:solidFill>
              <w14:schemeClr w14:val="tx1"/>
            </w14:solidFill>
          </w14:textFill>
        </w:rPr>
        <w:t>消防维修提升项目</w:t>
      </w:r>
      <w:r>
        <w:rPr>
          <w:rFonts w:hint="eastAsia" w:ascii="宋体" w:hAnsi="宋体" w:cs="宋体"/>
          <w:color w:val="000000" w:themeColor="text1"/>
          <w:sz w:val="21"/>
          <w:szCs w:val="21"/>
          <w:highlight w:val="none"/>
          <w14:textFill>
            <w14:solidFill>
              <w14:schemeClr w14:val="tx1"/>
            </w14:solidFill>
          </w14:textFill>
        </w:rPr>
        <w:t>；</w:t>
      </w:r>
    </w:p>
    <w:p w14:paraId="4A2AAACF">
      <w:pPr>
        <w:adjustRightInd w:val="0"/>
        <w:snapToGrid w:val="0"/>
        <w:spacing w:before="40" w:after="4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2.工程地点：</w:t>
      </w:r>
      <w:r>
        <w:rPr>
          <w:rFonts w:hint="eastAsia" w:ascii="宋体" w:hAnsi="宋体" w:cs="宋体"/>
          <w:sz w:val="21"/>
          <w:szCs w:val="21"/>
          <w:highlight w:val="none"/>
          <w:u w:val="single"/>
          <w:lang w:eastAsia="zh-CN"/>
        </w:rPr>
        <w:t>西安市第一社会福利院指定地点</w:t>
      </w:r>
      <w:r>
        <w:rPr>
          <w:rFonts w:hint="eastAsia" w:ascii="宋体" w:hAnsi="宋体" w:cs="宋体"/>
          <w:color w:val="000000" w:themeColor="text1"/>
          <w:sz w:val="21"/>
          <w:szCs w:val="21"/>
          <w:highlight w:val="none"/>
          <w14:textFill>
            <w14:solidFill>
              <w14:schemeClr w14:val="tx1"/>
            </w14:solidFill>
          </w14:textFill>
        </w:rPr>
        <w:t>；</w:t>
      </w:r>
    </w:p>
    <w:p w14:paraId="3FAA5B33">
      <w:pPr>
        <w:adjustRightInd w:val="0"/>
        <w:snapToGrid w:val="0"/>
        <w:spacing w:before="40" w:after="40" w:line="360" w:lineRule="auto"/>
        <w:ind w:firstLine="420" w:firstLineChars="200"/>
        <w:jc w:val="left"/>
        <w:rPr>
          <w:rFonts w:ascii="宋体" w:hAnsi="宋体" w:cs="宋体"/>
          <w:color w:val="000000" w:themeColor="text1"/>
          <w:sz w:val="21"/>
          <w:szCs w:val="21"/>
          <w:highlight w:val="yellow"/>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3.工程内容：</w:t>
      </w:r>
      <w:r>
        <w:rPr>
          <w:rFonts w:hint="eastAsia" w:ascii="宋体" w:hAnsi="宋体" w:cs="宋体"/>
          <w:snapToGrid w:val="0"/>
          <w:sz w:val="21"/>
          <w:szCs w:val="21"/>
          <w:highlight w:val="none"/>
          <w:u w:val="single"/>
          <w:lang w:eastAsia="zh-CN"/>
        </w:rPr>
        <w:t>西安市消防维修提升项目，主要建设内容:新增消防控制室；室外消防主管道的敷设；老年公寓楼增加喷淋、烟感、消防报警；灶房、锅炉房增加排烟；加宽部分消防救援车道等</w:t>
      </w:r>
      <w:r>
        <w:rPr>
          <w:rFonts w:hint="eastAsia" w:ascii="宋体" w:hAnsi="宋体" w:cs="宋体"/>
          <w:color w:val="000000" w:themeColor="text1"/>
          <w:sz w:val="21"/>
          <w:szCs w:val="21"/>
          <w:highlight w:val="none"/>
          <w:u w:val="single"/>
          <w14:textFill>
            <w14:solidFill>
              <w14:schemeClr w14:val="tx1"/>
            </w14:solidFill>
          </w14:textFill>
        </w:rPr>
        <w:t>。</w:t>
      </w:r>
    </w:p>
    <w:p w14:paraId="29FCCB7E">
      <w:pPr>
        <w:adjustRightInd w:val="0"/>
        <w:snapToGrid w:val="0"/>
        <w:spacing w:before="40" w:after="4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4.工程承包范围：本项目的</w:t>
      </w:r>
      <w:r>
        <w:rPr>
          <w:rFonts w:hint="eastAsia" w:ascii="宋体" w:hAnsi="宋体" w:cs="宋体"/>
          <w:color w:val="000000" w:themeColor="text1"/>
          <w:sz w:val="21"/>
          <w:szCs w:val="21"/>
          <w:highlight w:val="none"/>
          <w:lang w:eastAsia="zh-CN"/>
          <w14:textFill>
            <w14:solidFill>
              <w14:schemeClr w14:val="tx1"/>
            </w14:solidFill>
          </w14:textFill>
        </w:rPr>
        <w:t>竞争性磋商文件</w:t>
      </w:r>
      <w:r>
        <w:rPr>
          <w:rFonts w:hint="eastAsia" w:ascii="宋体" w:hAnsi="宋体" w:cs="宋体"/>
          <w:color w:val="000000" w:themeColor="text1"/>
          <w:sz w:val="21"/>
          <w:szCs w:val="21"/>
          <w:highlight w:val="none"/>
          <w14:textFill>
            <w14:solidFill>
              <w14:schemeClr w14:val="tx1"/>
            </w14:solidFill>
          </w14:textFill>
        </w:rPr>
        <w:t>、图纸、工程量清单、答疑文件及其他补充说明文件等。</w:t>
      </w:r>
    </w:p>
    <w:p w14:paraId="2E01F9B0">
      <w:pPr>
        <w:spacing w:line="360" w:lineRule="auto"/>
        <w:ind w:firstLine="420" w:firstLineChars="200"/>
        <w:rPr>
          <w:rFonts w:ascii="宋体" w:hAnsi="宋体" w:cs="宋体"/>
          <w:sz w:val="21"/>
          <w:szCs w:val="21"/>
          <w:highlight w:val="none"/>
          <w:u w:val="single"/>
        </w:rPr>
      </w:pPr>
      <w:r>
        <w:rPr>
          <w:rFonts w:hint="eastAsia" w:ascii="宋体" w:hAnsi="宋体" w:cs="宋体"/>
          <w:b/>
          <w:bCs/>
          <w:color w:val="000000"/>
          <w:sz w:val="21"/>
          <w:szCs w:val="21"/>
          <w:highlight w:val="none"/>
        </w:rPr>
        <w:t>5.工程承包方式</w:t>
      </w:r>
      <w:r>
        <w:rPr>
          <w:rFonts w:hint="eastAsia" w:ascii="宋体" w:hAnsi="宋体" w:cs="宋体"/>
          <w:sz w:val="21"/>
          <w:szCs w:val="21"/>
          <w:highlight w:val="none"/>
        </w:rPr>
        <w:t>：</w:t>
      </w:r>
      <w:r>
        <w:rPr>
          <w:rFonts w:hint="eastAsia" w:ascii="宋体" w:hAnsi="宋体" w:cs="宋体"/>
          <w:sz w:val="21"/>
          <w:szCs w:val="21"/>
          <w:highlight w:val="none"/>
          <w:u w:val="single"/>
        </w:rPr>
        <w:t>本工程由承包人包工、包料、包安全</w:t>
      </w:r>
      <w:bookmarkStart w:id="3" w:name="_Toc351203482"/>
    </w:p>
    <w:p w14:paraId="500CFC65">
      <w:pPr>
        <w:adjustRightInd w:val="0"/>
        <w:snapToGrid w:val="0"/>
        <w:spacing w:before="40" w:after="4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6.适用于合同的其他规范性文件：《中华人民共和国建筑法》、《中华人民共和国民法典》《中华人民共和国安全生产法》《</w:t>
      </w:r>
      <w:r>
        <w:rPr>
          <w:rFonts w:hint="eastAsia" w:ascii="宋体" w:hAnsi="宋体" w:cs="宋体"/>
          <w:sz w:val="21"/>
          <w:szCs w:val="21"/>
        </w:rPr>
        <w:t>陕西省建设工程质量和安全生产管理条例</w:t>
      </w:r>
      <w:r>
        <w:rPr>
          <w:rFonts w:hint="eastAsia" w:ascii="宋体" w:hAnsi="宋体" w:cs="宋体"/>
          <w:color w:val="000000" w:themeColor="text1"/>
          <w:sz w:val="21"/>
          <w:szCs w:val="21"/>
          <w:highlight w:val="none"/>
          <w14:textFill>
            <w14:solidFill>
              <w14:schemeClr w14:val="tx1"/>
            </w14:solidFill>
          </w14:textFill>
        </w:rPr>
        <w:t>》《建筑工程强制性标准条文》《</w:t>
      </w:r>
      <w:r>
        <w:rPr>
          <w:rFonts w:hint="eastAsia" w:ascii="宋体" w:hAnsi="宋体" w:cs="宋体"/>
          <w:color w:val="000000" w:themeColor="text1"/>
          <w:sz w:val="21"/>
          <w:szCs w:val="21"/>
          <w:highlight w:val="none"/>
          <w:lang w:eastAsia="zh-CN"/>
          <w14:textFill>
            <w14:solidFill>
              <w14:schemeClr w14:val="tx1"/>
            </w14:solidFill>
          </w14:textFill>
        </w:rPr>
        <w:t>房屋</w:t>
      </w:r>
      <w:r>
        <w:rPr>
          <w:rFonts w:hint="eastAsia" w:ascii="宋体" w:hAnsi="宋体" w:cs="宋体"/>
          <w:color w:val="000000" w:themeColor="text1"/>
          <w:sz w:val="21"/>
          <w:szCs w:val="21"/>
          <w:highlight w:val="none"/>
          <w14:textFill>
            <w14:solidFill>
              <w14:schemeClr w14:val="tx1"/>
            </w14:solidFill>
          </w14:textFill>
        </w:rPr>
        <w:t>建筑工程质量保修办法》；陕西省、西安市关于安全生产文明施工的法规、条例和规范性文件等。</w:t>
      </w:r>
    </w:p>
    <w:p w14:paraId="1C9AD84B">
      <w:pPr>
        <w:adjustRightInd w:val="0"/>
        <w:snapToGrid w:val="0"/>
        <w:spacing w:before="40" w:after="4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7.标准和规范</w:t>
      </w:r>
    </w:p>
    <w:p w14:paraId="511DF1BA">
      <w:pPr>
        <w:adjustRightInd w:val="0"/>
        <w:snapToGrid w:val="0"/>
        <w:spacing w:before="40" w:after="40" w:line="360" w:lineRule="auto"/>
        <w:ind w:firstLine="420" w:firstLineChars="200"/>
        <w:jc w:val="left"/>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14:textFill>
            <w14:solidFill>
              <w14:schemeClr w14:val="tx1"/>
            </w14:solidFill>
          </w14:textFill>
        </w:rPr>
        <w:t>适用于工程的标准规范包括：国家建筑工程施工及验收规范标准以及材料、设备所涉及的现行国家、省、市或行业的工程建设标准、规范的要求。</w:t>
      </w:r>
    </w:p>
    <w:p w14:paraId="71BE8C7B">
      <w:pPr>
        <w:adjustRightInd w:val="0"/>
        <w:snapToGrid w:val="0"/>
        <w:spacing w:before="40" w:after="40" w:line="360" w:lineRule="auto"/>
        <w:ind w:firstLine="420" w:firstLineChars="200"/>
        <w:jc w:val="left"/>
        <w:rPr>
          <w:rFonts w:ascii="宋体" w:hAnsi="宋体" w:cs="宋体"/>
          <w:b/>
          <w:bCs/>
          <w:color w:val="000000" w:themeColor="text1"/>
          <w:sz w:val="21"/>
          <w:szCs w:val="21"/>
          <w:highlight w:val="none"/>
          <w:u w:val="singl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以上技术规范由承包人自备，如有不足之处或未能达到国家最新标准时，承包人应使施工及选用的材料符合最新版本的国家标准、规范。</w:t>
      </w:r>
    </w:p>
    <w:p w14:paraId="134A777D">
      <w:pPr>
        <w:spacing w:line="360" w:lineRule="auto"/>
        <w:ind w:firstLine="420" w:firstLineChars="200"/>
        <w:rPr>
          <w:rFonts w:ascii="宋体" w:hAnsi="宋体" w:cs="宋体"/>
          <w:color w:val="000000"/>
          <w:sz w:val="21"/>
          <w:szCs w:val="21"/>
          <w:highlight w:val="none"/>
          <w:u w:val="single"/>
        </w:rPr>
      </w:pPr>
      <w:r>
        <w:rPr>
          <w:rFonts w:hint="eastAsia" w:ascii="宋体" w:hAnsi="宋体" w:cs="宋体"/>
          <w:b/>
          <w:bCs/>
          <w:color w:val="000000"/>
          <w:sz w:val="21"/>
          <w:szCs w:val="21"/>
          <w:highlight w:val="none"/>
        </w:rPr>
        <w:t>二、合同工期</w:t>
      </w:r>
      <w:bookmarkEnd w:id="3"/>
    </w:p>
    <w:p w14:paraId="297BBDE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themeColor="text1"/>
          <w:sz w:val="21"/>
          <w:szCs w:val="21"/>
          <w:highlight w:val="none"/>
          <w14:textFill>
            <w14:solidFill>
              <w14:schemeClr w14:val="tx1"/>
            </w14:solidFill>
          </w14:textFill>
        </w:rPr>
        <w:t>工期</w:t>
      </w:r>
      <w:r>
        <w:rPr>
          <w:rFonts w:hint="eastAsia" w:ascii="宋体" w:hAnsi="宋体" w:cs="宋体"/>
          <w:sz w:val="21"/>
          <w:szCs w:val="21"/>
          <w:highlight w:val="none"/>
        </w:rPr>
        <w:t>：</w:t>
      </w:r>
      <w:r>
        <w:rPr>
          <w:rFonts w:hint="eastAsia" w:ascii="宋体" w:hAnsi="宋体" w:cs="宋体"/>
          <w:color w:val="0000FF"/>
          <w:sz w:val="21"/>
          <w:szCs w:val="21"/>
          <w:highlight w:val="none"/>
          <w:u w:val="single"/>
          <w:lang w:val="en-US" w:eastAsia="zh-CN"/>
        </w:rPr>
        <w:t xml:space="preserve">         </w:t>
      </w:r>
      <w:r>
        <w:rPr>
          <w:rFonts w:hint="eastAsia" w:ascii="宋体" w:hAnsi="宋体" w:cs="宋体"/>
          <w:sz w:val="21"/>
          <w:szCs w:val="21"/>
          <w:highlight w:val="none"/>
        </w:rPr>
        <w:t>内完工</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sz w:val="21"/>
          <w:szCs w:val="21"/>
          <w:highlight w:val="none"/>
        </w:rPr>
        <w:t>工期总日历天数与根据前述计划开竣工日期计算的工期天数不一致的，以发包人实际下发开工令日期结合本合同约定的工期总日历天数为准。</w:t>
      </w:r>
    </w:p>
    <w:p w14:paraId="49A6DD4C">
      <w:pPr>
        <w:adjustRightInd w:val="0"/>
        <w:snapToGrid w:val="0"/>
        <w:spacing w:before="40" w:after="40" w:line="360" w:lineRule="auto"/>
        <w:ind w:firstLine="420" w:firstLineChars="200"/>
        <w:jc w:val="left"/>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计划开工日期：</w:t>
      </w:r>
      <w:r>
        <w:rPr>
          <w:rFonts w:hint="eastAsia" w:ascii="宋体" w:hAnsi="宋体" w:cs="宋体"/>
          <w:color w:val="000000" w:themeColor="text1"/>
          <w:sz w:val="21"/>
          <w:szCs w:val="21"/>
          <w:highlight w:val="none"/>
          <w:u w:val="singl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日，具体以发包人签发的开工令为准。</w:t>
      </w:r>
    </w:p>
    <w:p w14:paraId="7ECBA481">
      <w:pPr>
        <w:adjustRightInd w:val="0"/>
        <w:snapToGrid w:val="0"/>
        <w:spacing w:before="40" w:after="40" w:line="360" w:lineRule="auto"/>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计划竣工日期：</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日。</w:t>
      </w:r>
    </w:p>
    <w:p w14:paraId="2EF18737">
      <w:pPr>
        <w:spacing w:line="360" w:lineRule="auto"/>
        <w:ind w:firstLine="420" w:firstLineChars="200"/>
        <w:rPr>
          <w:rFonts w:hint="eastAsia" w:ascii="宋体" w:hAnsi="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工期总日历天数与根据前述计划开竣工日期计算的工期天数不一致的，以工期总日历天数为准。本合同工期已综合考虑法定节假日、各类天气原因、交通管制、政府禁令（治污减霾、禁土令、禁施令等）、两会、农忙、发包人或政府部门领导检查、观摩、工地现状等对工期产生的影响，承包方根据工期及发包方进度计划要求，周密安排进度计划，接受发包方的检查、监督。施工实际进度与计划不符时，应按照发包人要求采取补救措施，保证按时完工。</w:t>
      </w:r>
    </w:p>
    <w:p w14:paraId="3F1B092C">
      <w:pPr>
        <w:spacing w:line="360" w:lineRule="auto"/>
        <w:ind w:firstLine="420" w:firstLineChars="200"/>
        <w:rPr>
          <w:rFonts w:ascii="宋体" w:hAnsi="宋体" w:cs="宋体"/>
          <w:color w:val="000000"/>
          <w:sz w:val="21"/>
          <w:szCs w:val="21"/>
          <w:highlight w:val="none"/>
        </w:rPr>
      </w:pPr>
      <w:bookmarkStart w:id="4" w:name="_Toc351203483"/>
      <w:r>
        <w:rPr>
          <w:rFonts w:hint="eastAsia" w:ascii="宋体" w:hAnsi="宋体" w:cs="宋体"/>
          <w:b/>
          <w:bCs/>
          <w:color w:val="000000"/>
          <w:sz w:val="21"/>
          <w:szCs w:val="21"/>
          <w:highlight w:val="none"/>
        </w:rPr>
        <w:t>三、质量标准</w:t>
      </w:r>
      <w:bookmarkEnd w:id="4"/>
      <w:r>
        <w:rPr>
          <w:rFonts w:hint="eastAsia" w:ascii="宋体" w:hAnsi="宋体" w:cs="宋体"/>
          <w:b/>
          <w:bCs/>
          <w:color w:val="000000"/>
          <w:sz w:val="21"/>
          <w:szCs w:val="21"/>
          <w:highlight w:val="none"/>
        </w:rPr>
        <w:t>及项目验收</w:t>
      </w:r>
    </w:p>
    <w:p w14:paraId="2EC79E56">
      <w:pPr>
        <w:spacing w:line="360" w:lineRule="auto"/>
        <w:ind w:firstLine="388" w:firstLineChars="200"/>
        <w:jc w:val="left"/>
        <w:rPr>
          <w:sz w:val="21"/>
          <w:szCs w:val="21"/>
          <w:highlight w:val="none"/>
        </w:rPr>
      </w:pPr>
      <w:bookmarkStart w:id="5" w:name="_Toc351203484"/>
      <w:r>
        <w:rPr>
          <w:rFonts w:hint="eastAsia" w:ascii="宋体" w:hAnsi="宋体" w:cs="宋体"/>
          <w:b/>
          <w:bCs/>
          <w:spacing w:val="-8"/>
          <w:sz w:val="21"/>
          <w:szCs w:val="21"/>
          <w:highlight w:val="none"/>
        </w:rPr>
        <w:t>质量标准</w:t>
      </w:r>
      <w:r>
        <w:rPr>
          <w:rFonts w:ascii="宋体" w:hAnsi="宋体" w:cs="宋体"/>
          <w:b/>
          <w:bCs/>
          <w:spacing w:val="-8"/>
          <w:sz w:val="21"/>
          <w:szCs w:val="21"/>
          <w:highlight w:val="none"/>
        </w:rPr>
        <w:t>:</w:t>
      </w:r>
      <w:r>
        <w:rPr>
          <w:rFonts w:hint="eastAsia" w:ascii="宋体" w:hAnsi="宋体" w:cs="宋体"/>
          <w:b/>
          <w:bCs/>
          <w:spacing w:val="-8"/>
          <w:sz w:val="21"/>
          <w:szCs w:val="21"/>
          <w:highlight w:val="none"/>
        </w:rPr>
        <w:t>达到最终消防及其他施工验收标准，同时符合国家、行业、采购人验收合格标准；</w:t>
      </w:r>
    </w:p>
    <w:p w14:paraId="01D12E29">
      <w:pPr>
        <w:spacing w:line="360" w:lineRule="auto"/>
        <w:ind w:firstLine="420" w:firstLineChars="200"/>
        <w:jc w:val="left"/>
        <w:rPr>
          <w:rFonts w:ascii="宋体" w:hAnsi="宋体" w:cs="宋体"/>
          <w:b/>
          <w:bCs/>
          <w:sz w:val="21"/>
          <w:szCs w:val="21"/>
          <w:highlight w:val="none"/>
          <w:u w:val="single"/>
        </w:rPr>
      </w:pPr>
      <w:r>
        <w:rPr>
          <w:rFonts w:hint="eastAsia"/>
          <w:sz w:val="21"/>
          <w:szCs w:val="21"/>
          <w:highlight w:val="none"/>
        </w:rPr>
        <w:t>其他要求：1.</w:t>
      </w:r>
      <w:r>
        <w:rPr>
          <w:rFonts w:hint="eastAsia" w:ascii="宋体" w:hAnsi="宋体" w:cs="宋体"/>
          <w:b/>
          <w:bCs/>
          <w:sz w:val="21"/>
          <w:szCs w:val="21"/>
          <w:highlight w:val="none"/>
          <w:u w:val="single"/>
        </w:rPr>
        <w:t>属地住建部门指导函明确的消防相关规范；</w:t>
      </w:r>
    </w:p>
    <w:p w14:paraId="191D7608">
      <w:pPr>
        <w:spacing w:line="360" w:lineRule="auto"/>
        <w:ind w:firstLine="1470" w:firstLineChars="700"/>
        <w:jc w:val="left"/>
        <w:rPr>
          <w:rFonts w:ascii="宋体" w:hAnsi="宋体" w:cs="宋体"/>
          <w:b/>
          <w:bCs/>
          <w:sz w:val="21"/>
          <w:szCs w:val="21"/>
          <w:highlight w:val="none"/>
        </w:rPr>
      </w:pPr>
      <w:r>
        <w:rPr>
          <w:rFonts w:ascii="宋体" w:hAnsi="宋体" w:cs="宋体"/>
          <w:b/>
          <w:bCs/>
          <w:sz w:val="21"/>
          <w:szCs w:val="21"/>
          <w:highlight w:val="none"/>
          <w:u w:val="single"/>
        </w:rPr>
        <w:t>2.改造建筑投入时期执行的消防规范</w:t>
      </w:r>
      <w:r>
        <w:rPr>
          <w:rFonts w:hint="eastAsia" w:ascii="宋体" w:hAnsi="宋体" w:cs="宋体"/>
          <w:b/>
          <w:bCs/>
          <w:spacing w:val="-3"/>
          <w:sz w:val="21"/>
          <w:szCs w:val="21"/>
          <w:highlight w:val="none"/>
        </w:rPr>
        <w:t>。</w:t>
      </w:r>
    </w:p>
    <w:p w14:paraId="348B4C82">
      <w:pPr>
        <w:spacing w:line="360" w:lineRule="auto"/>
        <w:ind w:firstLine="420" w:firstLineChars="200"/>
        <w:rPr>
          <w:rFonts w:ascii="宋体" w:hAnsi="宋体" w:cs="宋体"/>
          <w:b/>
          <w:bCs/>
          <w:sz w:val="21"/>
          <w:szCs w:val="21"/>
          <w:highlight w:val="none"/>
        </w:rPr>
      </w:pPr>
      <w:r>
        <w:rPr>
          <w:rFonts w:hint="eastAsia" w:ascii="宋体" w:hAnsi="宋体" w:cs="宋体"/>
          <w:b/>
          <w:bCs/>
          <w:color w:val="000000"/>
          <w:sz w:val="21"/>
          <w:szCs w:val="21"/>
          <w:highlight w:val="none"/>
          <w:lang w:val="en-US" w:eastAsia="zh-CN"/>
        </w:rPr>
        <w:t>项目验收：按竞争性磋商文件第三章 磋商项目技术、服务、商务及其他要求的验收要求为准，且全部完工后，承包人提出验收申请，由发包人联系属地住建等相关部门参加，由住建部门负责选定专家参与验收，所产生的验收费用及其他相关费用均由承包人承担。</w:t>
      </w:r>
    </w:p>
    <w:p w14:paraId="0D774988">
      <w:pPr>
        <w:spacing w:line="360" w:lineRule="auto"/>
        <w:ind w:firstLine="420" w:firstLineChars="200"/>
        <w:rPr>
          <w:rFonts w:ascii="宋体" w:hAnsi="宋体" w:cs="宋体"/>
          <w:color w:val="000000"/>
          <w:sz w:val="21"/>
          <w:szCs w:val="21"/>
          <w:highlight w:val="none"/>
        </w:rPr>
      </w:pPr>
      <w:r>
        <w:rPr>
          <w:rFonts w:hint="eastAsia" w:ascii="宋体" w:hAnsi="宋体" w:cs="宋体"/>
          <w:b/>
          <w:bCs/>
          <w:color w:val="000000"/>
          <w:sz w:val="21"/>
          <w:szCs w:val="21"/>
          <w:highlight w:val="none"/>
        </w:rPr>
        <w:t>四、签约合同价与合同价格形式</w:t>
      </w:r>
      <w:bookmarkEnd w:id="5"/>
    </w:p>
    <w:p w14:paraId="5E84934B">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1.签约合同价为</w:t>
      </w:r>
      <w:r>
        <w:rPr>
          <w:rFonts w:hint="eastAsia" w:ascii="宋体" w:hAnsi="宋体" w:cs="宋体"/>
          <w:color w:val="000000"/>
          <w:sz w:val="21"/>
          <w:szCs w:val="21"/>
          <w:highlight w:val="none"/>
          <w:lang w:eastAsia="zh-CN"/>
        </w:rPr>
        <w:t>（含税）</w:t>
      </w:r>
      <w:r>
        <w:rPr>
          <w:rFonts w:hint="eastAsia" w:ascii="宋体" w:hAnsi="宋体" w:cs="宋体"/>
          <w:color w:val="000000"/>
          <w:sz w:val="21"/>
          <w:szCs w:val="21"/>
          <w:highlight w:val="none"/>
        </w:rPr>
        <w:t>：</w:t>
      </w:r>
    </w:p>
    <w:p w14:paraId="6144FE62">
      <w:pPr>
        <w:spacing w:line="360" w:lineRule="auto"/>
        <w:ind w:firstLine="348" w:firstLineChars="200"/>
        <w:rPr>
          <w:rFonts w:ascii="宋体" w:hAnsi="宋体" w:cs="宋体"/>
          <w:sz w:val="21"/>
          <w:szCs w:val="21"/>
          <w:highlight w:val="none"/>
        </w:rPr>
      </w:pPr>
      <w:bookmarkStart w:id="6" w:name="_Toc351203485"/>
      <w:r>
        <w:rPr>
          <w:rFonts w:hint="eastAsia" w:ascii="宋体" w:hAnsi="宋体" w:cs="宋体"/>
          <w:spacing w:val="-18"/>
          <w:position w:val="16"/>
          <w:sz w:val="21"/>
          <w:szCs w:val="21"/>
          <w:highlight w:val="none"/>
        </w:rPr>
        <w:t>人民币（大写）</w:t>
      </w:r>
      <w:r>
        <w:rPr>
          <w:rFonts w:hint="eastAsia" w:ascii="宋体" w:hAnsi="宋体" w:cs="宋体"/>
          <w:spacing w:val="7"/>
          <w:position w:val="16"/>
          <w:sz w:val="21"/>
          <w:szCs w:val="21"/>
          <w:highlight w:val="none"/>
          <w:u w:val="single"/>
        </w:rPr>
        <w:t xml:space="preserve"> </w:t>
      </w:r>
      <w:r>
        <w:rPr>
          <w:rFonts w:hint="eastAsia" w:ascii="宋体" w:hAnsi="宋体" w:cs="宋体"/>
          <w:spacing w:val="1"/>
          <w:position w:val="16"/>
          <w:sz w:val="21"/>
          <w:szCs w:val="21"/>
          <w:highlight w:val="none"/>
          <w:u w:val="single"/>
        </w:rPr>
        <w:t xml:space="preserve">        </w:t>
      </w:r>
      <w:r>
        <w:rPr>
          <w:rFonts w:hint="eastAsia" w:ascii="宋体" w:hAnsi="宋体" w:cs="宋体"/>
          <w:spacing w:val="7"/>
          <w:position w:val="16"/>
          <w:sz w:val="21"/>
          <w:szCs w:val="21"/>
          <w:highlight w:val="none"/>
          <w:u w:val="single"/>
        </w:rPr>
        <w:t xml:space="preserve"> </w:t>
      </w:r>
      <w:r>
        <w:rPr>
          <w:rFonts w:hint="eastAsia" w:ascii="宋体" w:hAnsi="宋体" w:cs="宋体"/>
          <w:spacing w:val="-18"/>
          <w:position w:val="16"/>
          <w:sz w:val="21"/>
          <w:szCs w:val="21"/>
          <w:highlight w:val="none"/>
        </w:rPr>
        <w:t>(¥</w:t>
      </w:r>
      <w:r>
        <w:rPr>
          <w:rFonts w:hint="eastAsia" w:ascii="宋体" w:hAnsi="宋体" w:cs="宋体"/>
          <w:spacing w:val="1"/>
          <w:position w:val="16"/>
          <w:sz w:val="21"/>
          <w:szCs w:val="21"/>
          <w:highlight w:val="none"/>
          <w:u w:val="single"/>
        </w:rPr>
        <w:t xml:space="preserve"> </w:t>
      </w:r>
      <w:r>
        <w:rPr>
          <w:rFonts w:hint="eastAsia" w:ascii="宋体" w:hAnsi="宋体" w:cs="宋体"/>
          <w:spacing w:val="7"/>
          <w:position w:val="16"/>
          <w:sz w:val="21"/>
          <w:szCs w:val="21"/>
          <w:highlight w:val="none"/>
          <w:u w:val="single"/>
        </w:rPr>
        <w:t xml:space="preserve">   元</w:t>
      </w:r>
      <w:r>
        <w:rPr>
          <w:rFonts w:hint="eastAsia" w:ascii="宋体" w:hAnsi="宋体" w:cs="宋体"/>
          <w:spacing w:val="-18"/>
          <w:position w:val="16"/>
          <w:sz w:val="21"/>
          <w:szCs w:val="21"/>
          <w:highlight w:val="none"/>
        </w:rPr>
        <w:t>)；</w:t>
      </w:r>
    </w:p>
    <w:p w14:paraId="205DBCBF">
      <w:pPr>
        <w:spacing w:line="360" w:lineRule="auto"/>
        <w:ind w:firstLine="416" w:firstLineChars="200"/>
        <w:rPr>
          <w:rFonts w:ascii="宋体" w:hAnsi="宋体" w:cs="宋体"/>
          <w:color w:val="000000"/>
          <w:sz w:val="21"/>
          <w:szCs w:val="21"/>
          <w:highlight w:val="none"/>
        </w:rPr>
      </w:pPr>
      <w:r>
        <w:rPr>
          <w:rFonts w:hint="eastAsia" w:ascii="宋体" w:hAnsi="宋体" w:cs="宋体"/>
          <w:spacing w:val="-1"/>
          <w:sz w:val="21"/>
          <w:szCs w:val="21"/>
          <w:highlight w:val="none"/>
        </w:rPr>
        <w:t>2.合同价格形式：</w:t>
      </w:r>
      <w:r>
        <w:rPr>
          <w:rFonts w:hint="eastAsia" w:ascii="宋体" w:hAnsi="宋体" w:cs="宋体"/>
          <w:b/>
          <w:bCs/>
          <w:spacing w:val="-1"/>
          <w:sz w:val="21"/>
          <w:szCs w:val="21"/>
          <w:highlight w:val="none"/>
          <w:u w:val="single"/>
          <w:lang w:val="en-US" w:eastAsia="zh-CN"/>
        </w:rPr>
        <w:t>本项目签订</w:t>
      </w:r>
      <w:r>
        <w:rPr>
          <w:rFonts w:hint="eastAsia" w:ascii="宋体" w:hAnsi="宋体" w:cs="宋体"/>
          <w:b/>
          <w:bCs/>
          <w:i w:val="0"/>
          <w:iCs w:val="0"/>
          <w:spacing w:val="-1"/>
          <w:sz w:val="21"/>
          <w:szCs w:val="21"/>
          <w:highlight w:val="none"/>
          <w:u w:val="single"/>
          <w:lang w:val="en-US" w:eastAsia="zh-CN"/>
        </w:rPr>
        <w:t>固定</w:t>
      </w:r>
      <w:r>
        <w:rPr>
          <w:rFonts w:hint="eastAsia" w:ascii="宋体" w:hAnsi="宋体" w:cs="宋体"/>
          <w:b/>
          <w:bCs/>
          <w:i w:val="0"/>
          <w:iCs w:val="0"/>
          <w:sz w:val="21"/>
          <w:szCs w:val="21"/>
          <w:highlight w:val="none"/>
          <w:u w:val="single"/>
          <w:lang w:val="en-US" w:eastAsia="zh-CN"/>
        </w:rPr>
        <w:t>总价</w:t>
      </w:r>
      <w:r>
        <w:rPr>
          <w:rFonts w:hint="eastAsia" w:ascii="宋体" w:hAnsi="宋体" w:cs="宋体"/>
          <w:b/>
          <w:bCs/>
          <w:i w:val="0"/>
          <w:iCs w:val="0"/>
          <w:sz w:val="21"/>
          <w:szCs w:val="21"/>
          <w:highlight w:val="none"/>
          <w:u w:val="single"/>
        </w:rPr>
        <w:t>合同</w:t>
      </w:r>
      <w:r>
        <w:rPr>
          <w:rFonts w:hint="eastAsia" w:ascii="宋体" w:hAnsi="宋体" w:cs="宋体"/>
          <w:b/>
          <w:bCs/>
          <w:spacing w:val="-1"/>
          <w:sz w:val="21"/>
          <w:szCs w:val="21"/>
          <w:highlight w:val="none"/>
        </w:rPr>
        <w:t>。</w:t>
      </w:r>
    </w:p>
    <w:p w14:paraId="2CA1DAC3">
      <w:pPr>
        <w:spacing w:line="360" w:lineRule="auto"/>
        <w:ind w:firstLine="420" w:firstLineChars="200"/>
        <w:rPr>
          <w:rFonts w:ascii="宋体" w:hAnsi="宋体" w:cs="宋体"/>
          <w:color w:val="000000"/>
          <w:sz w:val="21"/>
          <w:szCs w:val="21"/>
          <w:highlight w:val="none"/>
        </w:rPr>
      </w:pPr>
      <w:r>
        <w:rPr>
          <w:rFonts w:hint="eastAsia" w:ascii="宋体" w:hAnsi="宋体" w:cs="宋体"/>
          <w:b/>
          <w:bCs/>
          <w:color w:val="000000"/>
          <w:sz w:val="21"/>
          <w:szCs w:val="21"/>
          <w:highlight w:val="none"/>
        </w:rPr>
        <w:t>五、</w:t>
      </w:r>
      <w:bookmarkEnd w:id="6"/>
      <w:r>
        <w:rPr>
          <w:rFonts w:hint="eastAsia" w:ascii="宋体" w:hAnsi="宋体" w:cs="宋体"/>
          <w:b/>
          <w:bCs/>
          <w:color w:val="000000"/>
          <w:sz w:val="21"/>
          <w:szCs w:val="21"/>
          <w:highlight w:val="none"/>
        </w:rPr>
        <w:t>项目经理</w:t>
      </w:r>
    </w:p>
    <w:p w14:paraId="67C08373">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承包人项目经理：</w:t>
      </w:r>
      <w:r>
        <w:rPr>
          <w:rFonts w:hint="eastAsia" w:ascii="宋体" w:hAnsi="宋体" w:cs="宋体"/>
          <w:color w:val="000000"/>
          <w:sz w:val="21"/>
          <w:szCs w:val="21"/>
          <w:highlight w:val="none"/>
          <w:u w:val="single"/>
        </w:rPr>
        <w:t xml:space="preserve">        </w:t>
      </w:r>
      <w:bookmarkStart w:id="7" w:name="_Toc351203486"/>
      <w:r>
        <w:rPr>
          <w:rFonts w:hint="eastAsia" w:ascii="宋体" w:hAnsi="宋体" w:cs="宋体"/>
          <w:color w:val="000000"/>
          <w:sz w:val="21"/>
          <w:szCs w:val="21"/>
          <w:highlight w:val="none"/>
        </w:rPr>
        <w:t>，联系方式：</w:t>
      </w:r>
      <w:r>
        <w:rPr>
          <w:rFonts w:hint="eastAsia" w:ascii="宋体" w:hAnsi="宋体" w:cs="宋体"/>
          <w:color w:val="000000"/>
          <w:sz w:val="21"/>
          <w:szCs w:val="21"/>
          <w:highlight w:val="none"/>
          <w:u w:val="single"/>
        </w:rPr>
        <w:t xml:space="preserve">               </w:t>
      </w:r>
    </w:p>
    <w:p w14:paraId="3E934C00">
      <w:pPr>
        <w:spacing w:line="360" w:lineRule="auto"/>
        <w:ind w:firstLine="420" w:firstLineChars="200"/>
        <w:rPr>
          <w:rFonts w:ascii="宋体" w:hAnsi="宋体" w:cs="宋体"/>
          <w:color w:val="000000"/>
          <w:sz w:val="21"/>
          <w:szCs w:val="21"/>
          <w:highlight w:val="none"/>
        </w:rPr>
      </w:pPr>
      <w:r>
        <w:rPr>
          <w:rFonts w:hint="eastAsia" w:ascii="宋体" w:hAnsi="宋体" w:cs="宋体"/>
          <w:b/>
          <w:bCs/>
          <w:color w:val="000000"/>
          <w:sz w:val="21"/>
          <w:szCs w:val="21"/>
          <w:highlight w:val="none"/>
        </w:rPr>
        <w:t>六、合同文件构成</w:t>
      </w:r>
      <w:bookmarkEnd w:id="7"/>
    </w:p>
    <w:p w14:paraId="6821DEA4">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本协议书与下列文件一起构成合同文件：</w:t>
      </w:r>
    </w:p>
    <w:p w14:paraId="31EB4CC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（1）中标通知书；</w:t>
      </w:r>
    </w:p>
    <w:p w14:paraId="1862644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 xml:space="preserve">（2）投标函及其附录； </w:t>
      </w:r>
    </w:p>
    <w:p w14:paraId="36322DB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（3）专用合同条款及其附件；</w:t>
      </w:r>
    </w:p>
    <w:p w14:paraId="6A843EA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（4）通用合同条款；</w:t>
      </w:r>
    </w:p>
    <w:p w14:paraId="45AF2E6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（5）技术标准和要求；</w:t>
      </w:r>
    </w:p>
    <w:p w14:paraId="576D2CB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（6）图纸；</w:t>
      </w:r>
    </w:p>
    <w:p w14:paraId="42A9189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（7）已标价工程量清单或预算书；</w:t>
      </w:r>
    </w:p>
    <w:p w14:paraId="590D317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（8）其他合同文件。</w:t>
      </w:r>
    </w:p>
    <w:p w14:paraId="0F8E846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在合同订立及履行过程中形成的与合同有关的文件均构成合同文件组成部分。</w:t>
      </w:r>
    </w:p>
    <w:p w14:paraId="34FEDA0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上述各项合同文件包括合同当事人就该项合同文件所作出的补充和修改，属于同一类内容的文件，应以最新签署的为准。专用合同条款及其附件须经合同当事人签字或盖章。</w:t>
      </w:r>
      <w:bookmarkStart w:id="8" w:name="_Toc351203487"/>
    </w:p>
    <w:p w14:paraId="2BEE7E6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b/>
          <w:color w:val="000000"/>
          <w:sz w:val="21"/>
          <w:szCs w:val="21"/>
          <w:highlight w:val="none"/>
        </w:rPr>
        <w:t>七、承诺</w:t>
      </w:r>
      <w:bookmarkEnd w:id="8"/>
    </w:p>
    <w:p w14:paraId="59F99793">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1.发包人承诺按照法律规定履行项目审批手续、筹集工程建设资金并按照合同约定的期限和方式支付合同价款。</w:t>
      </w:r>
    </w:p>
    <w:p w14:paraId="7DA1E4FA">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2.承包人承诺按照法律规定及合同约定组织完成工程施工，确保工程质量和安全，不进行转包及违法分包，并在缺陷责任期及保修期内承担相应的工程维修责任。</w:t>
      </w:r>
    </w:p>
    <w:p w14:paraId="66C5C122">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3.发包人和承包人通过招投标形式签订合同的，双方理解并承诺不再就同一工程另行签订与合同实质性内容相背离的协议。</w:t>
      </w:r>
    </w:p>
    <w:p w14:paraId="79BB8888">
      <w:pPr>
        <w:spacing w:line="360" w:lineRule="auto"/>
        <w:ind w:firstLine="420" w:firstLineChars="200"/>
        <w:rPr>
          <w:rFonts w:ascii="宋体" w:hAnsi="宋体" w:cs="宋体"/>
          <w:bCs/>
          <w:color w:val="000000"/>
          <w:sz w:val="21"/>
          <w:szCs w:val="21"/>
          <w:highlight w:val="none"/>
        </w:rPr>
      </w:pPr>
      <w:bookmarkStart w:id="9" w:name="_Toc351203488"/>
      <w:r>
        <w:rPr>
          <w:rFonts w:hint="eastAsia" w:ascii="宋体" w:hAnsi="宋体" w:cs="宋体"/>
          <w:b/>
          <w:color w:val="000000"/>
          <w:sz w:val="21"/>
          <w:szCs w:val="21"/>
          <w:highlight w:val="none"/>
        </w:rPr>
        <w:t>八、词语含义</w:t>
      </w:r>
      <w:bookmarkEnd w:id="9"/>
    </w:p>
    <w:p w14:paraId="4CF1E0FD">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本协议书中词语含义与第二部分通用合同条款中赋予的含义相同。</w:t>
      </w:r>
      <w:bookmarkStart w:id="10" w:name="_Toc351203489"/>
    </w:p>
    <w:p w14:paraId="68085A56">
      <w:pPr>
        <w:spacing w:line="360" w:lineRule="auto"/>
        <w:ind w:firstLine="420" w:firstLineChars="200"/>
        <w:rPr>
          <w:rFonts w:ascii="宋体" w:hAnsi="宋体" w:cs="宋体"/>
          <w:bCs/>
          <w:color w:val="000000"/>
          <w:sz w:val="21"/>
          <w:szCs w:val="21"/>
          <w:highlight w:val="none"/>
        </w:rPr>
      </w:pPr>
      <w:r>
        <w:rPr>
          <w:rFonts w:hint="eastAsia" w:ascii="宋体" w:hAnsi="宋体" w:cs="宋体"/>
          <w:b/>
          <w:bCs/>
          <w:color w:val="000000"/>
          <w:sz w:val="21"/>
          <w:szCs w:val="21"/>
          <w:highlight w:val="none"/>
        </w:rPr>
        <w:t>九、签订时间</w:t>
      </w:r>
      <w:bookmarkEnd w:id="10"/>
    </w:p>
    <w:p w14:paraId="05C233D3">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本合同于</w:t>
      </w:r>
      <w:r>
        <w:rPr>
          <w:rFonts w:hint="eastAsia" w:ascii="宋体" w:hAnsi="宋体" w:cs="宋体"/>
          <w:bCs/>
          <w:color w:val="000000"/>
          <w:sz w:val="21"/>
          <w:szCs w:val="21"/>
          <w:highlight w:val="none"/>
          <w:u w:val="single"/>
          <w:lang w:eastAsia="zh-CN"/>
        </w:rPr>
        <w:t>2025</w:t>
      </w:r>
      <w:r>
        <w:rPr>
          <w:rFonts w:hint="eastAsia" w:ascii="宋体" w:hAnsi="宋体" w:cs="宋体"/>
          <w:bCs/>
          <w:color w:val="000000"/>
          <w:sz w:val="21"/>
          <w:szCs w:val="21"/>
          <w:highlight w:val="none"/>
          <w:u w:val="single"/>
        </w:rPr>
        <w:t xml:space="preserve"> </w:t>
      </w:r>
      <w:r>
        <w:rPr>
          <w:rFonts w:hint="eastAsia" w:ascii="宋体" w:hAnsi="宋体" w:cs="宋体"/>
          <w:bCs/>
          <w:color w:val="000000"/>
          <w:sz w:val="21"/>
          <w:szCs w:val="21"/>
          <w:highlight w:val="none"/>
        </w:rPr>
        <w:t>年</w:t>
      </w:r>
      <w:r>
        <w:rPr>
          <w:rFonts w:hint="eastAsia" w:ascii="宋体" w:hAnsi="宋体" w:cs="宋体"/>
          <w:bCs/>
          <w:color w:val="000000"/>
          <w:sz w:val="21"/>
          <w:szCs w:val="21"/>
          <w:highlight w:val="none"/>
          <w:u w:val="single"/>
        </w:rPr>
        <w:t xml:space="preserve">  </w:t>
      </w:r>
      <w:r>
        <w:rPr>
          <w:rFonts w:hint="eastAsia" w:ascii="宋体" w:hAnsi="宋体" w:cs="宋体"/>
          <w:bCs/>
          <w:color w:val="000000"/>
          <w:sz w:val="21"/>
          <w:szCs w:val="21"/>
          <w:highlight w:val="none"/>
        </w:rPr>
        <w:t>月</w:t>
      </w:r>
      <w:r>
        <w:rPr>
          <w:rFonts w:hint="eastAsia" w:ascii="宋体" w:hAnsi="宋体" w:cs="宋体"/>
          <w:bCs/>
          <w:color w:val="000000"/>
          <w:sz w:val="21"/>
          <w:szCs w:val="21"/>
          <w:highlight w:val="none"/>
          <w:u w:val="single"/>
        </w:rPr>
        <w:t xml:space="preserve">  </w:t>
      </w:r>
      <w:r>
        <w:rPr>
          <w:rFonts w:hint="eastAsia" w:ascii="宋体" w:hAnsi="宋体" w:cs="宋体"/>
          <w:bCs/>
          <w:color w:val="000000"/>
          <w:sz w:val="21"/>
          <w:szCs w:val="21"/>
          <w:highlight w:val="none"/>
        </w:rPr>
        <w:t>日签订。</w:t>
      </w:r>
      <w:bookmarkStart w:id="11" w:name="_Toc351203490"/>
    </w:p>
    <w:p w14:paraId="5307930F">
      <w:pPr>
        <w:spacing w:line="360" w:lineRule="auto"/>
        <w:ind w:firstLine="420" w:firstLineChars="200"/>
        <w:rPr>
          <w:rFonts w:ascii="宋体" w:hAnsi="宋体" w:cs="宋体"/>
          <w:bCs/>
          <w:color w:val="000000"/>
          <w:sz w:val="21"/>
          <w:szCs w:val="21"/>
          <w:highlight w:val="none"/>
        </w:rPr>
      </w:pPr>
      <w:r>
        <w:rPr>
          <w:rFonts w:hint="eastAsia" w:ascii="宋体" w:hAnsi="宋体" w:cs="宋体"/>
          <w:b/>
          <w:bCs/>
          <w:color w:val="000000"/>
          <w:sz w:val="21"/>
          <w:szCs w:val="21"/>
          <w:highlight w:val="none"/>
        </w:rPr>
        <w:t>十、签订地点</w:t>
      </w:r>
      <w:bookmarkEnd w:id="11"/>
    </w:p>
    <w:p w14:paraId="04AC808B">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本合同</w:t>
      </w:r>
      <w:r>
        <w:rPr>
          <w:rFonts w:hint="eastAsia" w:ascii="宋体" w:hAnsi="宋体" w:cs="宋体"/>
          <w:bCs/>
          <w:color w:val="000000"/>
          <w:sz w:val="21"/>
          <w:szCs w:val="21"/>
          <w:highlight w:val="none"/>
          <w:u w:val="single"/>
        </w:rPr>
        <w:t>在</w:t>
      </w:r>
      <w:r>
        <w:rPr>
          <w:rFonts w:hint="eastAsia" w:ascii="宋体" w:hAnsi="宋体" w:cs="宋体"/>
          <w:bCs/>
          <w:color w:val="000000"/>
          <w:sz w:val="21"/>
          <w:szCs w:val="21"/>
          <w:highlight w:val="none"/>
          <w:u w:val="single"/>
          <w:lang w:eastAsia="zh-CN"/>
        </w:rPr>
        <w:t>西安市第一社会福利院</w:t>
      </w:r>
      <w:r>
        <w:rPr>
          <w:rFonts w:hint="eastAsia" w:ascii="宋体" w:hAnsi="宋体" w:cs="宋体"/>
          <w:bCs/>
          <w:color w:val="000000"/>
          <w:sz w:val="21"/>
          <w:szCs w:val="21"/>
          <w:highlight w:val="none"/>
        </w:rPr>
        <w:t>签订。</w:t>
      </w:r>
      <w:bookmarkStart w:id="12" w:name="_Toc351203491"/>
    </w:p>
    <w:p w14:paraId="4F7485B4">
      <w:pPr>
        <w:spacing w:line="360" w:lineRule="auto"/>
        <w:ind w:firstLine="420" w:firstLineChars="200"/>
        <w:rPr>
          <w:rFonts w:ascii="宋体" w:hAnsi="宋体" w:cs="宋体"/>
          <w:bCs/>
          <w:color w:val="000000"/>
          <w:sz w:val="21"/>
          <w:szCs w:val="21"/>
          <w:highlight w:val="none"/>
        </w:rPr>
      </w:pPr>
      <w:r>
        <w:rPr>
          <w:rFonts w:hint="eastAsia" w:ascii="宋体" w:hAnsi="宋体" w:cs="宋体"/>
          <w:b/>
          <w:bCs/>
          <w:color w:val="000000"/>
          <w:sz w:val="21"/>
          <w:szCs w:val="21"/>
          <w:highlight w:val="none"/>
        </w:rPr>
        <w:t>十一、补充协议</w:t>
      </w:r>
      <w:bookmarkEnd w:id="12"/>
    </w:p>
    <w:p w14:paraId="3D95DF0C">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合同未尽事宜，合同当事人另行签订补充协议，补充协议是合同的组成部分。</w:t>
      </w:r>
      <w:bookmarkStart w:id="13" w:name="_Toc351203492"/>
    </w:p>
    <w:p w14:paraId="2212CDC6">
      <w:pPr>
        <w:spacing w:line="360" w:lineRule="auto"/>
        <w:ind w:firstLine="420" w:firstLineChars="200"/>
        <w:rPr>
          <w:rFonts w:ascii="宋体" w:hAnsi="宋体" w:cs="宋体"/>
          <w:b/>
          <w:bCs/>
          <w:color w:val="000000"/>
          <w:sz w:val="21"/>
          <w:szCs w:val="21"/>
          <w:highlight w:val="none"/>
        </w:rPr>
      </w:pPr>
      <w:r>
        <w:rPr>
          <w:rFonts w:hint="eastAsia" w:ascii="宋体" w:hAnsi="宋体" w:cs="宋体"/>
          <w:b/>
          <w:bCs/>
          <w:color w:val="000000"/>
          <w:sz w:val="21"/>
          <w:szCs w:val="21"/>
          <w:highlight w:val="none"/>
        </w:rPr>
        <w:t>十二、合同生效</w:t>
      </w:r>
      <w:bookmarkEnd w:id="13"/>
    </w:p>
    <w:p w14:paraId="7776F941">
      <w:pPr>
        <w:spacing w:line="360" w:lineRule="auto"/>
        <w:ind w:firstLine="420" w:firstLineChars="200"/>
        <w:rPr>
          <w:rFonts w:ascii="宋体" w:hAnsi="宋体" w:cs="宋体"/>
          <w:sz w:val="21"/>
          <w:szCs w:val="21"/>
          <w:highlight w:val="none"/>
        </w:rPr>
      </w:pPr>
      <w:bookmarkStart w:id="14" w:name="_Toc351203493"/>
      <w:r>
        <w:rPr>
          <w:rFonts w:hint="eastAsia" w:ascii="宋体" w:hAnsi="宋体" w:cs="宋体"/>
          <w:bCs/>
          <w:color w:val="000000"/>
          <w:sz w:val="21"/>
          <w:szCs w:val="21"/>
          <w:highlight w:val="none"/>
        </w:rPr>
        <w:t>本合同自</w:t>
      </w:r>
      <w:r>
        <w:rPr>
          <w:rFonts w:hint="eastAsia" w:ascii="宋体" w:hAnsi="宋体" w:cs="宋体"/>
          <w:bCs/>
          <w:color w:val="000000"/>
          <w:sz w:val="21"/>
          <w:szCs w:val="21"/>
          <w:highlight w:val="none"/>
          <w:u w:val="single"/>
        </w:rPr>
        <w:t>双方盖章（公章或合同章） 及法定代表人或授权委托人（需有授权委托 书）签字或盖章之日起生效。</w:t>
      </w:r>
    </w:p>
    <w:p w14:paraId="4D5BF6C4">
      <w:pPr>
        <w:spacing w:line="360" w:lineRule="auto"/>
        <w:ind w:firstLine="420" w:firstLineChars="200"/>
        <w:rPr>
          <w:rFonts w:ascii="宋体" w:hAnsi="宋体" w:cs="宋体"/>
          <w:b/>
          <w:bCs/>
          <w:color w:val="000000"/>
          <w:sz w:val="21"/>
          <w:szCs w:val="21"/>
          <w:highlight w:val="none"/>
        </w:rPr>
      </w:pPr>
      <w:r>
        <w:rPr>
          <w:rFonts w:hint="eastAsia" w:ascii="宋体" w:hAnsi="宋体" w:cs="宋体"/>
          <w:b/>
          <w:bCs/>
          <w:color w:val="000000"/>
          <w:sz w:val="21"/>
          <w:szCs w:val="21"/>
          <w:highlight w:val="none"/>
        </w:rPr>
        <w:t>十三、合同份数</w:t>
      </w:r>
      <w:bookmarkEnd w:id="14"/>
    </w:p>
    <w:p w14:paraId="2855F0D6">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本合同一式</w:t>
      </w:r>
      <w:r>
        <w:rPr>
          <w:rFonts w:hint="eastAsia" w:ascii="宋体" w:hAnsi="宋体" w:cs="宋体"/>
          <w:bCs/>
          <w:color w:val="000000"/>
          <w:sz w:val="21"/>
          <w:szCs w:val="21"/>
          <w:highlight w:val="none"/>
          <w:u w:val="single"/>
        </w:rPr>
        <w:t>壹拾</w:t>
      </w:r>
      <w:r>
        <w:rPr>
          <w:rFonts w:hint="eastAsia" w:ascii="宋体" w:hAnsi="宋体" w:cs="宋体"/>
          <w:bCs/>
          <w:color w:val="000000"/>
          <w:sz w:val="21"/>
          <w:szCs w:val="21"/>
          <w:highlight w:val="none"/>
        </w:rPr>
        <w:t>份，均具有同等法律效力，发包人执</w:t>
      </w:r>
      <w:r>
        <w:rPr>
          <w:rFonts w:hint="eastAsia" w:ascii="宋体" w:hAnsi="宋体" w:cs="宋体"/>
          <w:bCs/>
          <w:color w:val="000000"/>
          <w:sz w:val="21"/>
          <w:szCs w:val="21"/>
          <w:highlight w:val="none"/>
          <w:u w:val="single"/>
        </w:rPr>
        <w:t>陆</w:t>
      </w:r>
      <w:r>
        <w:rPr>
          <w:rFonts w:hint="eastAsia" w:ascii="宋体" w:hAnsi="宋体" w:cs="宋体"/>
          <w:bCs/>
          <w:color w:val="000000"/>
          <w:sz w:val="21"/>
          <w:szCs w:val="21"/>
          <w:highlight w:val="none"/>
        </w:rPr>
        <w:t>份（</w:t>
      </w:r>
      <w:r>
        <w:rPr>
          <w:rFonts w:hint="eastAsia" w:ascii="宋体" w:hAnsi="宋体" w:cs="宋体"/>
          <w:bCs/>
          <w:color w:val="000000"/>
          <w:sz w:val="21"/>
          <w:szCs w:val="21"/>
          <w:highlight w:val="none"/>
          <w:u w:val="single"/>
        </w:rPr>
        <w:t>壹</w:t>
      </w:r>
      <w:r>
        <w:rPr>
          <w:rFonts w:hint="eastAsia" w:ascii="宋体" w:hAnsi="宋体" w:cs="宋体"/>
          <w:bCs/>
          <w:color w:val="000000"/>
          <w:sz w:val="21"/>
          <w:szCs w:val="21"/>
          <w:highlight w:val="none"/>
        </w:rPr>
        <w:t>正</w:t>
      </w:r>
      <w:r>
        <w:rPr>
          <w:rFonts w:hint="eastAsia" w:ascii="宋体" w:hAnsi="宋体" w:cs="宋体"/>
          <w:bCs/>
          <w:color w:val="000000"/>
          <w:sz w:val="21"/>
          <w:szCs w:val="21"/>
          <w:highlight w:val="none"/>
          <w:u w:val="single"/>
        </w:rPr>
        <w:t>伍</w:t>
      </w:r>
      <w:r>
        <w:rPr>
          <w:rFonts w:hint="eastAsia" w:ascii="宋体" w:hAnsi="宋体" w:cs="宋体"/>
          <w:bCs/>
          <w:color w:val="000000"/>
          <w:sz w:val="21"/>
          <w:szCs w:val="21"/>
          <w:highlight w:val="none"/>
        </w:rPr>
        <w:t>副） ，承包人执</w:t>
      </w:r>
      <w:r>
        <w:rPr>
          <w:rFonts w:hint="eastAsia" w:ascii="宋体" w:hAnsi="宋体" w:cs="宋体"/>
          <w:bCs/>
          <w:color w:val="000000"/>
          <w:sz w:val="21"/>
          <w:szCs w:val="21"/>
          <w:highlight w:val="none"/>
          <w:u w:val="single"/>
        </w:rPr>
        <w:t>肆</w:t>
      </w:r>
      <w:r>
        <w:rPr>
          <w:rFonts w:hint="eastAsia" w:ascii="宋体" w:hAnsi="宋体" w:cs="宋体"/>
          <w:bCs/>
          <w:color w:val="000000"/>
          <w:sz w:val="21"/>
          <w:szCs w:val="21"/>
          <w:highlight w:val="none"/>
        </w:rPr>
        <w:t>份（</w:t>
      </w:r>
      <w:r>
        <w:rPr>
          <w:rFonts w:hint="eastAsia" w:ascii="宋体" w:hAnsi="宋体" w:cs="宋体"/>
          <w:bCs/>
          <w:color w:val="000000"/>
          <w:sz w:val="21"/>
          <w:szCs w:val="21"/>
          <w:highlight w:val="none"/>
          <w:u w:val="single"/>
        </w:rPr>
        <w:t>壹</w:t>
      </w:r>
      <w:r>
        <w:rPr>
          <w:rFonts w:hint="eastAsia" w:ascii="宋体" w:hAnsi="宋体" w:cs="宋体"/>
          <w:bCs/>
          <w:color w:val="000000"/>
          <w:sz w:val="21"/>
          <w:szCs w:val="21"/>
          <w:highlight w:val="none"/>
        </w:rPr>
        <w:t>正</w:t>
      </w:r>
      <w:r>
        <w:rPr>
          <w:rFonts w:hint="eastAsia" w:ascii="宋体" w:hAnsi="宋体" w:cs="宋体"/>
          <w:bCs/>
          <w:color w:val="000000"/>
          <w:sz w:val="21"/>
          <w:szCs w:val="21"/>
          <w:highlight w:val="none"/>
          <w:u w:val="single"/>
        </w:rPr>
        <w:t>叁</w:t>
      </w:r>
      <w:r>
        <w:rPr>
          <w:rFonts w:hint="eastAsia" w:ascii="宋体" w:hAnsi="宋体" w:cs="宋体"/>
          <w:bCs/>
          <w:color w:val="000000"/>
          <w:sz w:val="21"/>
          <w:szCs w:val="21"/>
          <w:highlight w:val="none"/>
        </w:rPr>
        <w:t>副），正副本不一致的，以正本为准。</w:t>
      </w:r>
    </w:p>
    <w:p w14:paraId="190A3BCF">
      <w:pPr>
        <w:spacing w:line="360" w:lineRule="auto"/>
        <w:rPr>
          <w:rFonts w:ascii="宋体" w:hAnsi="宋体" w:cs="宋体"/>
          <w:color w:val="000000"/>
          <w:sz w:val="21"/>
          <w:szCs w:val="21"/>
          <w:highlight w:val="none"/>
        </w:rPr>
      </w:pPr>
      <w:r>
        <w:rPr>
          <w:rFonts w:hint="eastAsia" w:ascii="宋体" w:hAnsi="宋体" w:cs="宋体"/>
          <w:color w:val="000000"/>
          <w:sz w:val="21"/>
          <w:szCs w:val="21"/>
          <w:highlight w:val="none"/>
        </w:rPr>
        <w:t>本页为签署页，无正文。</w:t>
      </w:r>
    </w:p>
    <w:p w14:paraId="66A630F9">
      <w:pPr>
        <w:spacing w:line="360" w:lineRule="auto"/>
        <w:rPr>
          <w:rFonts w:ascii="宋体" w:hAnsi="宋体" w:cs="宋体"/>
          <w:color w:val="000000"/>
          <w:sz w:val="21"/>
          <w:szCs w:val="21"/>
          <w:highlight w:val="none"/>
        </w:rPr>
      </w:pPr>
      <w:r>
        <w:rPr>
          <w:rFonts w:hint="eastAsia" w:ascii="宋体" w:hAnsi="宋体" w:cs="宋体"/>
          <w:color w:val="000000"/>
          <w:sz w:val="21"/>
          <w:szCs w:val="21"/>
          <w:highlight w:val="none"/>
        </w:rPr>
        <w:t>发包人：（公章）                         承包人：（公章）</w:t>
      </w:r>
    </w:p>
    <w:p w14:paraId="48083EBA">
      <w:pPr>
        <w:spacing w:line="360" w:lineRule="auto"/>
        <w:ind w:firstLine="210" w:firstLineChars="100"/>
        <w:rPr>
          <w:rFonts w:ascii="宋体" w:hAnsi="宋体" w:cs="宋体"/>
          <w:color w:val="000000"/>
          <w:sz w:val="21"/>
          <w:szCs w:val="21"/>
          <w:highlight w:val="none"/>
        </w:rPr>
      </w:pPr>
      <w:r>
        <w:rPr>
          <w:rFonts w:hint="eastAsia" w:ascii="宋体" w:hAnsi="宋体" w:cs="宋体"/>
          <w:color w:val="000000"/>
          <w:sz w:val="21"/>
          <w:szCs w:val="21"/>
          <w:highlight w:val="none"/>
        </w:rPr>
        <w:t xml:space="preserve">                           </w:t>
      </w:r>
    </w:p>
    <w:p w14:paraId="4EAF97C1">
      <w:pPr>
        <w:spacing w:line="360" w:lineRule="auto"/>
        <w:rPr>
          <w:rFonts w:ascii="宋体" w:hAnsi="宋体" w:cs="宋体"/>
          <w:color w:val="000000"/>
          <w:sz w:val="21"/>
          <w:szCs w:val="21"/>
          <w:highlight w:val="none"/>
        </w:rPr>
      </w:pPr>
      <w:r>
        <w:rPr>
          <w:rFonts w:hint="eastAsia" w:ascii="宋体" w:hAnsi="宋体" w:cs="宋体"/>
          <w:color w:val="000000"/>
          <w:sz w:val="21"/>
          <w:szCs w:val="21"/>
          <w:highlight w:val="none"/>
        </w:rPr>
        <w:t xml:space="preserve">法定代表人或其授权代表：（签字）         法定代表人或其授权代表：（签字）    </w:t>
      </w:r>
    </w:p>
    <w:p w14:paraId="76E09D31">
      <w:pPr>
        <w:spacing w:line="360" w:lineRule="auto"/>
        <w:rPr>
          <w:rFonts w:ascii="宋体" w:hAnsi="宋体" w:cs="宋体"/>
          <w:color w:val="000000"/>
          <w:sz w:val="21"/>
          <w:szCs w:val="21"/>
          <w:highlight w:val="none"/>
        </w:rPr>
      </w:pPr>
      <w:r>
        <w:rPr>
          <w:rFonts w:hint="eastAsia" w:ascii="宋体" w:hAnsi="宋体" w:cs="宋体"/>
          <w:color w:val="000000"/>
          <w:sz w:val="21"/>
          <w:szCs w:val="21"/>
          <w:highlight w:val="none"/>
        </w:rPr>
        <w:t xml:space="preserve">                      </w:t>
      </w:r>
    </w:p>
    <w:p w14:paraId="52374F91">
      <w:pPr>
        <w:spacing w:line="360" w:lineRule="auto"/>
        <w:ind w:left="5760" w:hanging="5040" w:hangingChars="2400"/>
        <w:rPr>
          <w:rFonts w:ascii="宋体" w:hAnsi="宋体" w:cs="宋体"/>
          <w:color w:val="000000"/>
          <w:sz w:val="21"/>
          <w:szCs w:val="21"/>
          <w:highlight w:val="none"/>
        </w:rPr>
      </w:pPr>
      <w:r>
        <w:rPr>
          <w:rFonts w:hint="eastAsia" w:ascii="宋体" w:hAnsi="宋体" w:cs="宋体"/>
          <w:color w:val="000000"/>
          <w:sz w:val="21"/>
          <w:szCs w:val="21"/>
          <w:highlight w:val="none"/>
        </w:rPr>
        <w:t xml:space="preserve">地址：西安市长安区五星街道         </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rPr>
        <w:t>地址：</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p>
    <w:p w14:paraId="6A48BDB9">
      <w:pPr>
        <w:spacing w:line="360" w:lineRule="auto"/>
        <w:jc w:val="left"/>
        <w:rPr>
          <w:rFonts w:ascii="宋体" w:hAnsi="宋体" w:cs="宋体"/>
          <w:color w:val="000000"/>
          <w:sz w:val="21"/>
          <w:szCs w:val="21"/>
          <w:highlight w:val="none"/>
        </w:rPr>
      </w:pPr>
      <w:r>
        <w:rPr>
          <w:rFonts w:hint="eastAsia" w:ascii="宋体" w:hAnsi="宋体" w:cs="宋体"/>
          <w:color w:val="000000"/>
          <w:sz w:val="21"/>
          <w:szCs w:val="21"/>
          <w:highlight w:val="none"/>
        </w:rPr>
        <w:t>纳税人识别号：</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rPr>
        <w:t xml:space="preserve"> 纳税人识别号：</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p>
    <w:p w14:paraId="74BCEC69">
      <w:pPr>
        <w:spacing w:line="360" w:lineRule="auto"/>
        <w:rPr>
          <w:rFonts w:ascii="宋体" w:hAnsi="宋体" w:cs="宋体"/>
          <w:color w:val="000000"/>
          <w:sz w:val="21"/>
          <w:szCs w:val="21"/>
          <w:highlight w:val="none"/>
          <w:u w:val="single"/>
        </w:rPr>
      </w:pPr>
      <w:r>
        <w:rPr>
          <w:rFonts w:hint="eastAsia" w:ascii="宋体" w:hAnsi="宋体" w:cs="宋体"/>
          <w:color w:val="000000"/>
          <w:sz w:val="21"/>
          <w:szCs w:val="21"/>
          <w:highlight w:val="none"/>
        </w:rPr>
        <w:t>邮政编码：</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邮政编码：</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p>
    <w:p w14:paraId="5311EA24">
      <w:pPr>
        <w:spacing w:line="360" w:lineRule="auto"/>
        <w:rPr>
          <w:rFonts w:ascii="宋体" w:hAnsi="宋体" w:cs="宋体"/>
          <w:color w:val="000000"/>
          <w:sz w:val="21"/>
          <w:szCs w:val="21"/>
          <w:highlight w:val="none"/>
          <w:u w:val="single"/>
        </w:rPr>
      </w:pPr>
      <w:r>
        <w:rPr>
          <w:rFonts w:hint="eastAsia" w:ascii="宋体" w:hAnsi="宋体" w:cs="宋体"/>
          <w:color w:val="000000"/>
          <w:sz w:val="21"/>
          <w:szCs w:val="21"/>
          <w:highlight w:val="none"/>
        </w:rPr>
        <w:t>电　　话：</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电    话：</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p>
    <w:p w14:paraId="5D8A8CEF">
      <w:pPr>
        <w:spacing w:line="360" w:lineRule="auto"/>
        <w:ind w:left="6240" w:hanging="5460" w:hangingChars="2600"/>
        <w:rPr>
          <w:rFonts w:ascii="宋体" w:hAnsi="宋体" w:cs="宋体"/>
          <w:color w:val="000000"/>
          <w:sz w:val="21"/>
          <w:szCs w:val="21"/>
          <w:highlight w:val="none"/>
          <w:u w:val="single"/>
        </w:rPr>
      </w:pPr>
      <w:r>
        <w:rPr>
          <w:rFonts w:hint="eastAsia" w:ascii="宋体" w:hAnsi="宋体" w:cs="宋体"/>
          <w:color w:val="000000"/>
          <w:sz w:val="21"/>
          <w:szCs w:val="21"/>
          <w:highlight w:val="none"/>
        </w:rPr>
        <w:t xml:space="preserve">开户银行: </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rPr>
        <w:t>开户银行：</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p>
    <w:p w14:paraId="13E8C57B">
      <w:pPr>
        <w:spacing w:line="360" w:lineRule="auto"/>
        <w:rPr>
          <w:rFonts w:ascii="宋体" w:hAnsi="宋体" w:cs="宋体"/>
          <w:b/>
          <w:bCs/>
          <w:color w:val="000000"/>
          <w:kern w:val="36"/>
          <w:sz w:val="21"/>
          <w:szCs w:val="21"/>
          <w:highlight w:val="none"/>
        </w:rPr>
      </w:pPr>
      <w:r>
        <w:rPr>
          <w:rFonts w:hint="eastAsia" w:ascii="宋体" w:hAnsi="宋体" w:cs="宋体"/>
          <w:color w:val="000000"/>
          <w:sz w:val="21"/>
          <w:szCs w:val="21"/>
          <w:highlight w:val="none"/>
        </w:rPr>
        <w:t>账    号</w:t>
      </w:r>
      <w:r>
        <w:rPr>
          <w:rFonts w:hint="eastAsia" w:ascii="宋体" w:hAnsi="宋体" w:cs="宋体"/>
          <w:color w:val="000000"/>
          <w:sz w:val="21"/>
          <w:szCs w:val="21"/>
          <w:highlight w:val="none"/>
          <w:u w:val="none"/>
          <w:lang w:eastAsia="zh-CN"/>
        </w:rPr>
        <w:t>：</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rPr>
        <w:t>账    号：</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bookmarkStart w:id="15" w:name="_Toc351203494"/>
      <w:bookmarkStart w:id="16" w:name="_Toc485024886"/>
      <w:bookmarkStart w:id="17" w:name="_Toc501974580"/>
    </w:p>
    <w:p w14:paraId="5EA92BD1">
      <w:pPr>
        <w:spacing w:line="360" w:lineRule="auto"/>
        <w:jc w:val="center"/>
        <w:rPr>
          <w:rFonts w:ascii="宋体" w:hAnsi="宋体" w:cs="宋体"/>
          <w:b/>
          <w:bCs/>
          <w:color w:val="000000"/>
          <w:kern w:val="36"/>
          <w:sz w:val="21"/>
          <w:szCs w:val="21"/>
          <w:highlight w:val="none"/>
        </w:rPr>
      </w:pPr>
    </w:p>
    <w:p w14:paraId="77ED6DA3">
      <w:pPr>
        <w:spacing w:line="360" w:lineRule="auto"/>
        <w:jc w:val="center"/>
        <w:rPr>
          <w:rFonts w:ascii="宋体" w:hAnsi="宋体" w:cs="宋体"/>
          <w:b/>
          <w:bCs/>
          <w:color w:val="000000"/>
          <w:kern w:val="36"/>
          <w:sz w:val="21"/>
          <w:szCs w:val="21"/>
          <w:highlight w:val="none"/>
        </w:rPr>
      </w:pPr>
    </w:p>
    <w:p w14:paraId="3FF9A708">
      <w:pPr>
        <w:spacing w:line="360" w:lineRule="auto"/>
        <w:jc w:val="center"/>
        <w:rPr>
          <w:rFonts w:ascii="宋体" w:hAnsi="宋体" w:cs="宋体"/>
          <w:b/>
          <w:bCs/>
          <w:color w:val="000000"/>
          <w:kern w:val="36"/>
          <w:sz w:val="21"/>
          <w:szCs w:val="21"/>
          <w:highlight w:val="none"/>
        </w:rPr>
      </w:pPr>
    </w:p>
    <w:p w14:paraId="35B1078D">
      <w:pPr>
        <w:spacing w:line="360" w:lineRule="auto"/>
        <w:jc w:val="center"/>
        <w:rPr>
          <w:rFonts w:ascii="宋体" w:hAnsi="宋体" w:cs="宋体"/>
          <w:b/>
          <w:bCs/>
          <w:color w:val="000000"/>
          <w:kern w:val="36"/>
          <w:sz w:val="21"/>
          <w:szCs w:val="21"/>
          <w:highlight w:val="none"/>
        </w:rPr>
      </w:pPr>
    </w:p>
    <w:p w14:paraId="2F8DBAB3">
      <w:pPr>
        <w:spacing w:line="360" w:lineRule="auto"/>
        <w:jc w:val="center"/>
        <w:rPr>
          <w:rFonts w:ascii="宋体" w:hAnsi="宋体" w:cs="宋体"/>
          <w:b/>
          <w:bCs/>
          <w:color w:val="000000"/>
          <w:kern w:val="36"/>
          <w:sz w:val="21"/>
          <w:szCs w:val="21"/>
          <w:highlight w:val="none"/>
        </w:rPr>
      </w:pPr>
    </w:p>
    <w:p w14:paraId="17C50B88">
      <w:pPr>
        <w:spacing w:line="360" w:lineRule="auto"/>
        <w:jc w:val="center"/>
        <w:rPr>
          <w:rFonts w:ascii="宋体" w:hAnsi="宋体" w:cs="宋体"/>
          <w:b/>
          <w:bCs/>
          <w:color w:val="000000"/>
          <w:kern w:val="36"/>
          <w:sz w:val="21"/>
          <w:szCs w:val="21"/>
          <w:highlight w:val="none"/>
        </w:rPr>
      </w:pPr>
    </w:p>
    <w:p w14:paraId="6C949FC9">
      <w:pPr>
        <w:spacing w:line="360" w:lineRule="auto"/>
        <w:jc w:val="center"/>
        <w:rPr>
          <w:rFonts w:ascii="宋体" w:hAnsi="宋体" w:cs="宋体"/>
          <w:b/>
          <w:bCs/>
          <w:color w:val="000000"/>
          <w:kern w:val="36"/>
          <w:sz w:val="21"/>
          <w:szCs w:val="21"/>
          <w:highlight w:val="none"/>
        </w:rPr>
      </w:pPr>
    </w:p>
    <w:p w14:paraId="63C3156C">
      <w:pPr>
        <w:autoSpaceDE w:val="0"/>
        <w:autoSpaceDN w:val="0"/>
        <w:spacing w:line="360" w:lineRule="auto"/>
        <w:ind w:firstLine="420" w:firstLineChars="200"/>
        <w:jc w:val="left"/>
        <w:rPr>
          <w:rFonts w:ascii="宋体" w:hAnsi="宋体" w:cs="宋体"/>
          <w:b/>
          <w:bCs/>
          <w:color w:val="000000"/>
          <w:kern w:val="36"/>
          <w:sz w:val="21"/>
          <w:szCs w:val="21"/>
          <w:highlight w:val="none"/>
        </w:rPr>
      </w:pPr>
    </w:p>
    <w:p w14:paraId="4E8EF9F4">
      <w:pPr>
        <w:spacing w:line="360" w:lineRule="auto"/>
        <w:jc w:val="center"/>
        <w:rPr>
          <w:rFonts w:ascii="宋体" w:hAnsi="宋体" w:cs="宋体"/>
          <w:b/>
          <w:bCs/>
          <w:color w:val="000000"/>
          <w:kern w:val="36"/>
          <w:sz w:val="21"/>
          <w:szCs w:val="21"/>
          <w:highlight w:val="none"/>
        </w:rPr>
      </w:pPr>
    </w:p>
    <w:p w14:paraId="56890401">
      <w:pPr>
        <w:spacing w:line="360" w:lineRule="auto"/>
        <w:jc w:val="center"/>
        <w:rPr>
          <w:rFonts w:ascii="宋体" w:hAnsi="宋体" w:cs="宋体"/>
          <w:b/>
          <w:bCs/>
          <w:color w:val="000000"/>
          <w:kern w:val="36"/>
          <w:sz w:val="21"/>
          <w:szCs w:val="21"/>
          <w:highlight w:val="none"/>
        </w:rPr>
      </w:pPr>
    </w:p>
    <w:p w14:paraId="0105DEC1">
      <w:pPr>
        <w:spacing w:line="360" w:lineRule="auto"/>
        <w:jc w:val="center"/>
        <w:rPr>
          <w:rFonts w:ascii="宋体" w:hAnsi="宋体" w:cs="宋体"/>
          <w:b/>
          <w:bCs/>
          <w:color w:val="000000"/>
          <w:kern w:val="36"/>
          <w:sz w:val="21"/>
          <w:szCs w:val="21"/>
          <w:highlight w:val="none"/>
        </w:rPr>
      </w:pPr>
    </w:p>
    <w:p w14:paraId="74A49068">
      <w:pPr>
        <w:spacing w:line="360" w:lineRule="auto"/>
        <w:jc w:val="center"/>
        <w:rPr>
          <w:rFonts w:ascii="宋体" w:hAnsi="宋体" w:cs="宋体"/>
          <w:b/>
          <w:bCs/>
          <w:color w:val="000000"/>
          <w:kern w:val="36"/>
          <w:sz w:val="21"/>
          <w:szCs w:val="21"/>
          <w:highlight w:val="none"/>
        </w:rPr>
      </w:pPr>
    </w:p>
    <w:p w14:paraId="331F84EC">
      <w:pPr>
        <w:spacing w:line="360" w:lineRule="auto"/>
        <w:jc w:val="center"/>
        <w:rPr>
          <w:rFonts w:ascii="宋体" w:hAnsi="宋体" w:cs="宋体"/>
          <w:b/>
          <w:bCs/>
          <w:color w:val="000000"/>
          <w:kern w:val="36"/>
          <w:sz w:val="21"/>
          <w:szCs w:val="21"/>
          <w:highlight w:val="none"/>
        </w:rPr>
      </w:pPr>
    </w:p>
    <w:p w14:paraId="2117674F">
      <w:pPr>
        <w:spacing w:line="360" w:lineRule="auto"/>
        <w:jc w:val="center"/>
        <w:rPr>
          <w:rFonts w:ascii="宋体" w:hAnsi="宋体" w:cs="宋体"/>
          <w:b/>
          <w:bCs/>
          <w:color w:val="000000"/>
          <w:kern w:val="36"/>
          <w:sz w:val="21"/>
          <w:szCs w:val="21"/>
          <w:highlight w:val="none"/>
        </w:rPr>
      </w:pPr>
    </w:p>
    <w:p w14:paraId="1F607856">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p>
    <w:p w14:paraId="1CE41F8C">
      <w:pPr>
        <w:rPr>
          <w:rFonts w:hint="eastAsia" w:ascii="宋体" w:hAnsi="宋体" w:cs="宋体"/>
          <w:b/>
          <w:bCs/>
          <w:color w:val="000000"/>
          <w:kern w:val="36"/>
          <w:sz w:val="21"/>
          <w:szCs w:val="21"/>
          <w:highlight w:val="none"/>
        </w:rPr>
      </w:pPr>
      <w:r>
        <w:rPr>
          <w:rFonts w:hint="eastAsia" w:ascii="宋体" w:hAnsi="宋体" w:cs="宋体"/>
          <w:b/>
          <w:bCs/>
          <w:color w:val="000000"/>
          <w:kern w:val="36"/>
          <w:sz w:val="21"/>
          <w:szCs w:val="21"/>
          <w:highlight w:val="none"/>
        </w:rPr>
        <w:br w:type="page"/>
      </w:r>
    </w:p>
    <w:p w14:paraId="61CBBA90">
      <w:pPr>
        <w:spacing w:line="360" w:lineRule="auto"/>
        <w:jc w:val="center"/>
        <w:rPr>
          <w:rFonts w:ascii="宋体" w:hAnsi="宋体" w:cs="宋体"/>
          <w:b/>
          <w:bCs/>
          <w:color w:val="000000"/>
          <w:kern w:val="36"/>
          <w:sz w:val="21"/>
          <w:szCs w:val="21"/>
          <w:highlight w:val="none"/>
        </w:rPr>
      </w:pPr>
      <w:r>
        <w:rPr>
          <w:rFonts w:hint="eastAsia" w:ascii="宋体" w:hAnsi="宋体" w:cs="宋体"/>
          <w:b/>
          <w:bCs/>
          <w:color w:val="000000"/>
          <w:kern w:val="36"/>
          <w:sz w:val="21"/>
          <w:szCs w:val="21"/>
          <w:highlight w:val="none"/>
        </w:rPr>
        <w:t>第二部分 通用合同条款</w:t>
      </w:r>
      <w:bookmarkEnd w:id="15"/>
    </w:p>
    <w:bookmarkEnd w:id="16"/>
    <w:bookmarkEnd w:id="17"/>
    <w:p w14:paraId="175E8FE7">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8" w:name="_Toc351203495"/>
      <w:bookmarkStart w:id="19" w:name="_Toc484508598"/>
      <w:bookmarkStart w:id="20" w:name="_Toc351203632"/>
      <w:bookmarkStart w:id="21" w:name="_Toc501974581"/>
      <w:r>
        <w:rPr>
          <w:rFonts w:hint="eastAsia" w:ascii="宋体" w:hAnsi="宋体" w:eastAsia="宋体" w:cs="宋体"/>
          <w:b/>
          <w:bCs/>
          <w:color w:val="000000"/>
          <w:sz w:val="21"/>
          <w:szCs w:val="21"/>
          <w:highlight w:val="none"/>
        </w:rPr>
        <w:t>1.</w:t>
      </w:r>
      <w:bookmarkStart w:id="22" w:name="_Toc303538975"/>
      <w:bookmarkEnd w:id="22"/>
      <w:bookmarkStart w:id="23" w:name="_Toc303538974"/>
      <w:bookmarkEnd w:id="23"/>
      <w:bookmarkStart w:id="24" w:name="_Toc303538973"/>
      <w:bookmarkEnd w:id="24"/>
      <w:bookmarkStart w:id="25" w:name="_Toc303538972"/>
      <w:bookmarkEnd w:id="25"/>
      <w:bookmarkStart w:id="26" w:name="_Toc303538976"/>
      <w:bookmarkEnd w:id="26"/>
      <w:bookmarkStart w:id="27" w:name="_Toc296346528"/>
      <w:bookmarkStart w:id="28" w:name="_Toc296503027"/>
      <w:r>
        <w:rPr>
          <w:rFonts w:hint="eastAsia" w:ascii="宋体" w:hAnsi="宋体" w:eastAsia="宋体" w:cs="宋体"/>
          <w:b/>
          <w:bCs/>
          <w:color w:val="000000"/>
          <w:sz w:val="21"/>
          <w:szCs w:val="21"/>
          <w:highlight w:val="none"/>
        </w:rPr>
        <w:t xml:space="preserve"> 一般约定</w:t>
      </w:r>
      <w:bookmarkEnd w:id="18"/>
      <w:bookmarkEnd w:id="27"/>
      <w:bookmarkEnd w:id="28"/>
    </w:p>
    <w:p w14:paraId="60AFB693">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29" w:name="_Toc337558728"/>
      <w:bookmarkStart w:id="30" w:name="_Toc296503028"/>
      <w:bookmarkStart w:id="31" w:name="_Toc296346529"/>
      <w:bookmarkStart w:id="32" w:name="_Toc351203496"/>
      <w:r>
        <w:rPr>
          <w:rFonts w:hint="eastAsia" w:ascii="宋体" w:hAnsi="宋体" w:eastAsia="宋体" w:cs="宋体"/>
          <w:b/>
          <w:bCs/>
          <w:color w:val="000000"/>
          <w:sz w:val="21"/>
          <w:szCs w:val="21"/>
          <w:highlight w:val="none"/>
        </w:rPr>
        <w:t>1.1词语定义</w:t>
      </w:r>
      <w:bookmarkEnd w:id="29"/>
      <w:bookmarkEnd w:id="30"/>
      <w:bookmarkEnd w:id="31"/>
      <w:r>
        <w:rPr>
          <w:rFonts w:hint="eastAsia" w:ascii="宋体" w:hAnsi="宋体" w:eastAsia="宋体" w:cs="宋体"/>
          <w:b/>
          <w:bCs/>
          <w:color w:val="000000"/>
          <w:sz w:val="21"/>
          <w:szCs w:val="21"/>
          <w:highlight w:val="none"/>
        </w:rPr>
        <w:t>与解释</w:t>
      </w:r>
      <w:bookmarkEnd w:id="32"/>
    </w:p>
    <w:p w14:paraId="068803B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合同协议书、通用合同条款、专用合同条款中的下列词语具有本款所赋予的含义：</w:t>
      </w:r>
    </w:p>
    <w:p w14:paraId="017474A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 合同</w:t>
      </w:r>
    </w:p>
    <w:p w14:paraId="472EAA6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1.1.1.1 合同：是指根据法律规定和合同当事人约定具有约束力的文件，构成合同的文件包括合同协议书、中标通知书（如果有）、投标函及其附录（如果有）、专用合同条款及其附件、通用合同条款、技术标准和要求、已标价工程量清单或预算书以及其他合同文件。</w:t>
      </w:r>
    </w:p>
    <w:p w14:paraId="4EEB40F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1.1.1.2 合同协议书：是指构成合同的由发包人和承包人共同签署的称为“合同协议书”的书面文件。</w:t>
      </w:r>
    </w:p>
    <w:p w14:paraId="7E7D39B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1.1.1.3 中标通知书：是指构成合同的由发包人通知承包人中标的书面文件。</w:t>
      </w:r>
    </w:p>
    <w:p w14:paraId="4908A13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1.1.1.4 投标函：是指构成合同的由承包人填写并签署的用于投标的称为“投标函”的文件。</w:t>
      </w:r>
    </w:p>
    <w:p w14:paraId="25F4C41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1.1.1.5 投标函附录：是指构成合同的附在投标函后的称为“投标函附录”的文件。</w:t>
      </w:r>
    </w:p>
    <w:p w14:paraId="1DBE265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1.1.1.6 技术标准和要求：是指构成合同的施工应当遵守的或指导施工的国家、行业或地方的技术标准和要求，以及合同约定的技术标准和要求。</w:t>
      </w:r>
    </w:p>
    <w:p w14:paraId="5427D0A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70BEE0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1.1.1.8 已标价工程量清单：是指构成合同的由承包人按照规定的格式和要求填写并标明价格的工程量清单，包括说明和表格。</w:t>
      </w:r>
    </w:p>
    <w:p w14:paraId="2666798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1.1.1.9 预算书：是指构成合同的由承包人按照发包人规定的格式和要求编制的工程预算文件。</w:t>
      </w:r>
    </w:p>
    <w:p w14:paraId="7B64DA1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1.1.1.10 其他合同文件：是指经合同当事人约定的与工程施工有关的具有合同约束力的文件或书面协议。合同当事人可以在专用合同条款中进行约定。</w:t>
      </w:r>
    </w:p>
    <w:p w14:paraId="2CE414A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 合同当事人及其他相关方</w:t>
      </w:r>
    </w:p>
    <w:p w14:paraId="6D122FB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1.1.2.1 合同当事人：是指发包人和（或）承包人。</w:t>
      </w:r>
    </w:p>
    <w:p w14:paraId="3347DE2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1.1.2.2 发包人：是指与承包人签订合同协议书的当事人及取得该当事人资格的合法继承人。</w:t>
      </w:r>
    </w:p>
    <w:p w14:paraId="7702BBD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1.1.2.3 承包人：是指与发包人签订合同协议书的，具有相应工程施工承包资质的当事人及取得该当事人资格的合法继承人。</w:t>
      </w:r>
    </w:p>
    <w:p w14:paraId="3616D72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1.1.2.4 监理人：是指在专用合同条款中指明的，受发包人委托按照法律规定进行工程监督管理的法人或其他组织。</w:t>
      </w:r>
    </w:p>
    <w:p w14:paraId="272631F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1.1.2.5 设计人：是指在专用合同条款中指明的，受发包人委托负责工程设计并具备相应工程设计资质的法人或其他组织。</w:t>
      </w:r>
    </w:p>
    <w:p w14:paraId="2E1A98E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1.1.2.6 分包人：</w:t>
      </w:r>
      <w:bookmarkStart w:id="33" w:name="BM_go5"/>
      <w:bookmarkEnd w:id="33"/>
      <w:r>
        <w:rPr>
          <w:rFonts w:hint="eastAsia" w:ascii="宋体" w:hAnsi="宋体" w:cs="宋体"/>
          <w:color w:val="000000"/>
          <w:sz w:val="21"/>
          <w:szCs w:val="21"/>
          <w:highlight w:val="none"/>
        </w:rPr>
        <w:t>是指按照法律规定和合同约定，分包部分工程或工作，并与承包人签订分包合同的具有相应资质的法人。</w:t>
      </w:r>
    </w:p>
    <w:p w14:paraId="21D0A0E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1.1.2.7 发包人代表：是指由发包人任命并派驻施工现场在发包人授权范围内行使发包人权利的人。</w:t>
      </w:r>
    </w:p>
    <w:p w14:paraId="1A5BAE7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1.1.2.8 项目经理：是指由承包人任命并派驻施工现场，在承包人授权范围内负责合同履行，且按照法律规定具有相应资格的项目负责人。</w:t>
      </w:r>
    </w:p>
    <w:p w14:paraId="6A308D2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1.1.2.9 总监理工程师：是指由监理人任命并派驻施工现场进行工程监理的总负责人。</w:t>
      </w:r>
    </w:p>
    <w:p w14:paraId="359EEF0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 工程和设备</w:t>
      </w:r>
    </w:p>
    <w:p w14:paraId="7762380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1.1.3.1 工程：是指与合同协议书中工程承包范围对应的永久工程和（或）临时工程。</w:t>
      </w:r>
    </w:p>
    <w:p w14:paraId="7E9EFB2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1.1.3.2 永久工程：是指按合同约定建造并移交给发包人的工程，包括工程设备。</w:t>
      </w:r>
    </w:p>
    <w:p w14:paraId="165E783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1.1.3.3 临时工程：是指为完成合同约定的永久工程所修建的各类临时性工程，不包括施工设备。</w:t>
      </w:r>
    </w:p>
    <w:p w14:paraId="46F7564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1.1.3.4 单位工程：是指在合同协议书中指明的，具备独立施工条件并能形成独立使用功能的永久工程。</w:t>
      </w:r>
    </w:p>
    <w:p w14:paraId="1DD95AC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1.1.3.5 工程设备：是指构成永久工程的机电设备、金属结构设备、仪器及其他类似的设备和装置。</w:t>
      </w:r>
    </w:p>
    <w:p w14:paraId="0D522E5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1.1.3.6 施工设备：是指为完成合同约定的各项工作所需的设备、器具和其他物品，但不包括工程设备、临时工程和材料。</w:t>
      </w:r>
    </w:p>
    <w:p w14:paraId="7A25467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1.1.3.7 施工现场：是指用于工程施工的场所，以及在专用合同条款中指明作为施工场所组成部分的其他场所，包括永久占地和临时占地。</w:t>
      </w:r>
    </w:p>
    <w:p w14:paraId="7992681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1.1.3.8临时设施：是指为完成合同约定的各项工作所服务的临时性生产和生活设施。</w:t>
      </w:r>
    </w:p>
    <w:p w14:paraId="01938FE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1.1.3.9 永久占地：是指专用合同条款中指明为实施工程需永久占用的土地。</w:t>
      </w:r>
    </w:p>
    <w:p w14:paraId="6361DAC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1.1.3.10 临时占地：是指专用合同条款中指明为实施工程需要临时占用的土地。</w:t>
      </w:r>
    </w:p>
    <w:p w14:paraId="26AAF70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1.1.4 日期和期限</w:t>
      </w:r>
    </w:p>
    <w:p w14:paraId="589EE2E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1D86121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 xml:space="preserve">1.1.4.2 竣工日期：包括计划竣工日期和实际竣工日期。计划竣工日期是指合同协议书约定的竣工日期；实际竣工日期按照第13.2.3项〔竣工日期〕的约定确定。 </w:t>
      </w:r>
    </w:p>
    <w:p w14:paraId="6074D5F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1.1.4.3 工期：是指在合同协议书约定的承包人完成工程所需的期限，包括按照合同约定所作的期限变更。</w:t>
      </w:r>
    </w:p>
    <w:p w14:paraId="3B53917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1.1.4.4 缺陷责任期：是指承包人按照合同约定承担缺陷修复义务，且发包人预留质量保证金的期限，自工程实际竣工日期起计算。</w:t>
      </w:r>
    </w:p>
    <w:p w14:paraId="4B5F71F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1.1.4.5 保修期：是指承包人按照合同约定对工程承担保修责任的期限，从工程竣工验收合格之日起计算。</w:t>
      </w:r>
    </w:p>
    <w:p w14:paraId="4AC9FFC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1.1.4.6 基准日期：招标发包的工程以投标截止日前28天的日期为基准日期，直接发包的工程以合同签订日前28天的日期为基准日期。</w:t>
      </w:r>
    </w:p>
    <w:p w14:paraId="38C9C89C">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1.1.4.7 天：除特别指明外，均指日历天。合同中按天计算时间的，开始当天不计入，从次日开始计算，期限最后一天的截止时间为当天24:00时。</w:t>
      </w:r>
    </w:p>
    <w:p w14:paraId="20BD36C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1.1.5 合同价格和费用</w:t>
      </w:r>
    </w:p>
    <w:p w14:paraId="5B8B680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1.1.5.1 签约合同价：是指发包人和承包人在合同协议书中确定的总金额。</w:t>
      </w:r>
    </w:p>
    <w:p w14:paraId="217972B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1.1.5.2 合同价格：是指发包人用于支付承包人按照合同约定完成承包范围内全部工作的金额，包括合同履行过程中按合同约定发生的价格变化。</w:t>
      </w:r>
    </w:p>
    <w:p w14:paraId="4E7FB3A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1.1.5.3 费用：是指为履行合同所发生的或将要发生的所有必需的开支，包括管理费和应分摊的其他费用，但不包括利润。</w:t>
      </w:r>
    </w:p>
    <w:p w14:paraId="05458FE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1.1.5.4 暂估价：是指发包人在工程量清单或预算书中提供的用于支付必然发生但暂时不能确定价格的材料、工程设备的单价、专业工程以及服务工作的金额。</w:t>
      </w:r>
    </w:p>
    <w:p w14:paraId="61D48CA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88D64A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1.1.5.6 计日工：是指合同履行过程中，承包人完成发包人提出的零星工作或需要采用计日工计价的变更工作时，按合同中约定的单价计价的一种方式。</w:t>
      </w:r>
    </w:p>
    <w:p w14:paraId="44BB703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1.1.5.7 质量保证金</w:t>
      </w:r>
      <w:bookmarkStart w:id="34" w:name="BM_go2"/>
      <w:bookmarkEnd w:id="34"/>
      <w:r>
        <w:rPr>
          <w:rFonts w:hint="eastAsia" w:ascii="宋体" w:hAnsi="宋体" w:eastAsia="宋体" w:cs="宋体"/>
          <w:color w:val="000000"/>
          <w:sz w:val="21"/>
          <w:szCs w:val="21"/>
          <w:highlight w:val="none"/>
        </w:rPr>
        <w:t>：是指按照第15.3款〔质量保证金〕约定承包人用于保证其在缺陷责任期内履行缺陷修补义务的担保。</w:t>
      </w:r>
    </w:p>
    <w:p w14:paraId="505B1AA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1.1.5.8 总价项目：是指在现行国家、行业以及地方的计量规则中无工程量计算规则，在已标价工程量清单或预算书中以总价或以费率形式计算的项目。</w:t>
      </w:r>
    </w:p>
    <w:p w14:paraId="533F8D2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 其他</w:t>
      </w:r>
    </w:p>
    <w:p w14:paraId="4688B00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1.1.6.1 书面形式：是指合同文件、信函、电报、传真等可以有形地表现所载内容的形式。</w:t>
      </w:r>
    </w:p>
    <w:p w14:paraId="1689EA9B">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35" w:name="_Toc337558729"/>
      <w:bookmarkStart w:id="36" w:name="_Toc296503029"/>
      <w:bookmarkStart w:id="37" w:name="_Toc296346530"/>
      <w:bookmarkStart w:id="38" w:name="_Toc351203497"/>
      <w:r>
        <w:rPr>
          <w:rFonts w:hint="eastAsia" w:ascii="宋体" w:hAnsi="宋体" w:eastAsia="宋体" w:cs="宋体"/>
          <w:color w:val="000000"/>
          <w:sz w:val="21"/>
          <w:szCs w:val="21"/>
          <w:highlight w:val="none"/>
        </w:rPr>
        <w:t>1.2语言文字</w:t>
      </w:r>
      <w:bookmarkEnd w:id="35"/>
      <w:bookmarkEnd w:id="36"/>
      <w:bookmarkEnd w:id="37"/>
      <w:bookmarkEnd w:id="38"/>
    </w:p>
    <w:p w14:paraId="677235A3">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合同以中国的汉语简体文字编写、解释和说明。合同当事人在专用合同条款中约定使用两种以上语言时，汉语为优先解释和说明合同的语言。</w:t>
      </w:r>
    </w:p>
    <w:p w14:paraId="1967D45D">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39" w:name="_Toc337558730"/>
      <w:bookmarkStart w:id="40" w:name="_Toc296503030"/>
      <w:bookmarkStart w:id="41" w:name="_Toc351203498"/>
      <w:bookmarkStart w:id="42" w:name="_Toc296346531"/>
      <w:r>
        <w:rPr>
          <w:rFonts w:hint="eastAsia" w:ascii="宋体" w:hAnsi="宋体" w:eastAsia="宋体" w:cs="宋体"/>
          <w:color w:val="000000"/>
          <w:sz w:val="21"/>
          <w:szCs w:val="21"/>
          <w:highlight w:val="none"/>
        </w:rPr>
        <w:t>1.3法律</w:t>
      </w:r>
      <w:bookmarkEnd w:id="39"/>
      <w:bookmarkEnd w:id="40"/>
      <w:bookmarkEnd w:id="41"/>
      <w:bookmarkEnd w:id="42"/>
    </w:p>
    <w:p w14:paraId="33C4761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合同所称法律是指中华人民共和国法律、行政法规、部门规章，以及工程所在地的地方性法规、自治条例、单行条例和地方政府规章等。</w:t>
      </w:r>
    </w:p>
    <w:p w14:paraId="4D2523A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合同当事人可以在专用合同条款中约定合同适用的其他规范性文件。</w:t>
      </w:r>
    </w:p>
    <w:p w14:paraId="794CF1C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43" w:name="_Toc351203499"/>
      <w:r>
        <w:rPr>
          <w:rFonts w:hint="eastAsia" w:ascii="宋体" w:hAnsi="宋体" w:eastAsia="宋体" w:cs="宋体"/>
          <w:color w:val="000000"/>
          <w:sz w:val="21"/>
          <w:szCs w:val="21"/>
          <w:highlight w:val="none"/>
        </w:rPr>
        <w:t>1.4 标准和规范</w:t>
      </w:r>
      <w:bookmarkEnd w:id="43"/>
    </w:p>
    <w:p w14:paraId="30471B4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 适用于工程的国家标准、行业标准、工程所在地的地方性标准，以及相应的规范、规程等，合同当事人有特别要求的，应在专用合同条款中约定。</w:t>
      </w:r>
    </w:p>
    <w:p w14:paraId="13E99C5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1.4.2 发包人要求使用国外标准、规范的，发包人负责提供原文版本和中文译本，并在专用合同条款中约定提供标准规范的名称、份数和时间。</w:t>
      </w:r>
    </w:p>
    <w:p w14:paraId="099DE9B3">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0EAC7BE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44" w:name="_Toc351203500"/>
      <w:r>
        <w:rPr>
          <w:rFonts w:hint="eastAsia" w:ascii="宋体" w:hAnsi="宋体" w:eastAsia="宋体" w:cs="宋体"/>
          <w:color w:val="000000"/>
          <w:sz w:val="21"/>
          <w:szCs w:val="21"/>
          <w:highlight w:val="none"/>
        </w:rPr>
        <w:t>1</w:t>
      </w:r>
      <w:bookmarkStart w:id="45" w:name="_Toc296346532"/>
      <w:bookmarkStart w:id="46" w:name="_Toc337558731"/>
      <w:bookmarkStart w:id="47" w:name="_Toc296503031"/>
      <w:r>
        <w:rPr>
          <w:rFonts w:hint="eastAsia" w:ascii="宋体" w:hAnsi="宋体" w:eastAsia="宋体" w:cs="宋体"/>
          <w:color w:val="000000"/>
          <w:sz w:val="21"/>
          <w:szCs w:val="21"/>
          <w:highlight w:val="none"/>
        </w:rPr>
        <w:t>.5 合同文件的优先顺序</w:t>
      </w:r>
      <w:bookmarkEnd w:id="44"/>
    </w:p>
    <w:bookmarkEnd w:id="45"/>
    <w:bookmarkEnd w:id="46"/>
    <w:bookmarkEnd w:id="47"/>
    <w:p w14:paraId="4B909CB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组成合同的各项文件应互相解释，互为说明。除专用合同条款另有约定外，解释合同文件的优先顺序如下：</w:t>
      </w:r>
    </w:p>
    <w:p w14:paraId="3BDDFD1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（1）合同协议书；</w:t>
      </w:r>
    </w:p>
    <w:p w14:paraId="613277F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（2）中标通知书；</w:t>
      </w:r>
    </w:p>
    <w:p w14:paraId="5455036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（3）投标函及其附录（如果有）；</w:t>
      </w:r>
    </w:p>
    <w:p w14:paraId="7767BAB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（4）专用合同条款及其附件；</w:t>
      </w:r>
    </w:p>
    <w:p w14:paraId="7B9CC5D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（5）通用合同条款；</w:t>
      </w:r>
    </w:p>
    <w:p w14:paraId="325D36C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（6）技术标准和要求；</w:t>
      </w:r>
    </w:p>
    <w:p w14:paraId="1D240C4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（7）图纸（无）；</w:t>
      </w:r>
    </w:p>
    <w:p w14:paraId="383B370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（8）已标价工程量清单或预算书；</w:t>
      </w:r>
    </w:p>
    <w:p w14:paraId="0159298F">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（9）</w:t>
      </w:r>
      <w:r>
        <w:rPr>
          <w:rFonts w:hint="eastAsia" w:ascii="宋体" w:hAnsi="宋体" w:eastAsia="宋体" w:cs="宋体"/>
          <w:color w:val="000000"/>
          <w:sz w:val="21"/>
          <w:szCs w:val="21"/>
          <w:highlight w:val="none"/>
        </w:rPr>
        <w:t>其他合同文件。</w:t>
      </w:r>
    </w:p>
    <w:p w14:paraId="0C85C8C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w:t>
      </w:r>
    </w:p>
    <w:p w14:paraId="77A0BC4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在合同订立及履行过程中形成的与合同有关的文件均构成合同文件组成部分，并根据其性质确定优先解释顺序。</w:t>
      </w:r>
    </w:p>
    <w:p w14:paraId="7329971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48" w:name="_Toc351203501"/>
      <w:r>
        <w:rPr>
          <w:rFonts w:hint="eastAsia" w:ascii="宋体" w:hAnsi="宋体" w:eastAsia="宋体" w:cs="宋体"/>
          <w:color w:val="000000"/>
          <w:sz w:val="21"/>
          <w:szCs w:val="21"/>
          <w:highlight w:val="none"/>
        </w:rPr>
        <w:t>1</w:t>
      </w:r>
      <w:bookmarkStart w:id="49" w:name="_Toc296503032"/>
      <w:bookmarkStart w:id="50" w:name="_Toc296346533"/>
      <w:bookmarkStart w:id="51" w:name="_Toc337558732"/>
      <w:r>
        <w:rPr>
          <w:rFonts w:hint="eastAsia" w:ascii="宋体" w:hAnsi="宋体" w:eastAsia="宋体" w:cs="宋体"/>
          <w:color w:val="000000"/>
          <w:sz w:val="21"/>
          <w:szCs w:val="21"/>
          <w:highlight w:val="none"/>
        </w:rPr>
        <w:t>.6图纸和承包人文件</w:t>
      </w:r>
      <w:bookmarkEnd w:id="48"/>
    </w:p>
    <w:bookmarkEnd w:id="49"/>
    <w:bookmarkEnd w:id="50"/>
    <w:bookmarkEnd w:id="51"/>
    <w:p w14:paraId="3A0EA47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 图纸的提供和交底</w:t>
      </w:r>
    </w:p>
    <w:p w14:paraId="3D0EE4C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发包人应按照专用合同条</w:t>
      </w:r>
      <w:r>
        <w:rPr>
          <w:rFonts w:hint="eastAsia" w:ascii="宋体" w:hAnsi="宋体" w:cs="宋体"/>
          <w:color w:val="000000"/>
          <w:sz w:val="21"/>
          <w:szCs w:val="21"/>
          <w:highlight w:val="none"/>
        </w:rPr>
        <w:t>款约定的期限、数量和内容向承包人免费提供图纸，并组织承包人、监理人和设计人进行图纸会审和设计交底。发包人至迟不得晚于第7.3.2项〔开工通知〕载明的开工日期前14天向承包人提供图纸。</w:t>
      </w:r>
    </w:p>
    <w:p w14:paraId="50530B8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因发包人未按合同约定提供图纸导致承包人费用增加和（或）工期延误的，按照第7.5.1项〔因发包人原因导致工期延误〕约定办理。</w:t>
      </w:r>
    </w:p>
    <w:p w14:paraId="49CEBC6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1.6.2 图纸的错误</w:t>
      </w:r>
    </w:p>
    <w:p w14:paraId="291F315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6C5A847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1.6.3 图纸的修改和补充</w:t>
      </w:r>
    </w:p>
    <w:p w14:paraId="2BAA385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6AEB594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1.6.4 承包人文件</w:t>
      </w:r>
    </w:p>
    <w:p w14:paraId="67845CC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承包人应按照专用合同条款的约定提供应当由其编制的与工程施工有关的文件，并按照专用合同条款约定的期限、数量和形式提交监理人，并由监理人报送发包人。</w:t>
      </w:r>
    </w:p>
    <w:p w14:paraId="6F9206E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C885212">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1.</w:t>
      </w:r>
      <w:r>
        <w:rPr>
          <w:rFonts w:hint="eastAsia" w:ascii="宋体" w:hAnsi="宋体" w:eastAsia="宋体" w:cs="宋体"/>
          <w:color w:val="000000"/>
          <w:sz w:val="21"/>
          <w:szCs w:val="21"/>
          <w:highlight w:val="none"/>
        </w:rPr>
        <w:t>6.5 图纸和承包人文件的保管</w:t>
      </w:r>
    </w:p>
    <w:p w14:paraId="446D224D">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除专用合同条款另有约定外，承包人应在施工现场另外保存一套完整的图纸和承包人文件，供发包人、监理人及有关人员进行工程检查时使用。</w:t>
      </w:r>
    </w:p>
    <w:p w14:paraId="45B1EE0A">
      <w:pPr>
        <w:spacing w:line="360" w:lineRule="auto"/>
        <w:ind w:firstLine="420" w:firstLineChars="200"/>
        <w:jc w:val="left"/>
        <w:rPr>
          <w:rFonts w:hint="eastAsia" w:ascii="宋体" w:hAnsi="宋体" w:eastAsia="宋体" w:cs="宋体"/>
          <w:color w:val="000000"/>
          <w:sz w:val="21"/>
          <w:szCs w:val="21"/>
          <w:highlight w:val="none"/>
        </w:rPr>
      </w:pPr>
      <w:bookmarkStart w:id="52" w:name="_Toc351203502"/>
      <w:r>
        <w:rPr>
          <w:rFonts w:hint="eastAsia" w:ascii="宋体" w:hAnsi="宋体" w:eastAsia="宋体" w:cs="宋体"/>
          <w:color w:val="000000"/>
          <w:sz w:val="21"/>
          <w:szCs w:val="21"/>
          <w:highlight w:val="none"/>
        </w:rPr>
        <w:t>1</w:t>
      </w:r>
      <w:bookmarkStart w:id="53" w:name="_Toc296503033"/>
      <w:bookmarkStart w:id="54" w:name="_Toc337558733"/>
      <w:bookmarkStart w:id="55" w:name="_Toc296346534"/>
      <w:r>
        <w:rPr>
          <w:rFonts w:hint="eastAsia" w:ascii="宋体" w:hAnsi="宋体" w:eastAsia="宋体" w:cs="宋体"/>
          <w:color w:val="000000"/>
          <w:sz w:val="21"/>
          <w:szCs w:val="21"/>
          <w:highlight w:val="none"/>
        </w:rPr>
        <w:t>.7联络</w:t>
      </w:r>
      <w:bookmarkEnd w:id="52"/>
    </w:p>
    <w:bookmarkEnd w:id="53"/>
    <w:bookmarkEnd w:id="54"/>
    <w:bookmarkEnd w:id="55"/>
    <w:p w14:paraId="2382EB4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1.7.1 与合同有关的通知、批准、证明、证书、指示、指令、要求、请求、同意、意见、确定和决定等，均应采用书面形式，并应在合同约定的期限内送达接收人和送达地点。</w:t>
      </w:r>
    </w:p>
    <w:p w14:paraId="28682987">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1.7.2 发包人和承</w:t>
      </w:r>
      <w:r>
        <w:rPr>
          <w:rFonts w:hint="eastAsia" w:ascii="宋体" w:hAnsi="宋体" w:cs="宋体"/>
          <w:color w:val="000000"/>
          <w:sz w:val="21"/>
          <w:szCs w:val="21"/>
          <w:highlight w:val="none"/>
        </w:rPr>
        <w:t>包人应在专用合同条款中约定各自的送达接收人和送达地点。任何一方合同当事人指定的接收人或送达地点发生变动的，应提前3天以书面形式通知对方。</w:t>
      </w:r>
    </w:p>
    <w:p w14:paraId="295FE1D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1.7.3 发包人和承包人应当及时签收另一方送达至送达地点和指定接收人的来往信函。</w:t>
      </w:r>
      <w:r>
        <w:rPr>
          <w:rFonts w:hint="eastAsia" w:ascii="宋体" w:hAnsi="宋体" w:eastAsia="宋体" w:cs="宋体"/>
          <w:color w:val="000000"/>
          <w:sz w:val="21"/>
          <w:szCs w:val="21"/>
          <w:highlight w:val="none"/>
        </w:rPr>
        <w:t>拒不签收的，由此增加的费用和（或）延误的工期由拒绝接收一方承担。</w:t>
      </w:r>
    </w:p>
    <w:p w14:paraId="62016A2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56" w:name="_Toc351203503"/>
      <w:r>
        <w:rPr>
          <w:rFonts w:hint="eastAsia" w:ascii="宋体" w:hAnsi="宋体" w:eastAsia="宋体" w:cs="宋体"/>
          <w:color w:val="000000"/>
          <w:sz w:val="21"/>
          <w:szCs w:val="21"/>
          <w:highlight w:val="none"/>
        </w:rPr>
        <w:t>1</w:t>
      </w:r>
      <w:bookmarkStart w:id="57" w:name="_Toc337558734"/>
      <w:bookmarkStart w:id="58" w:name="_Toc296503035"/>
      <w:bookmarkStart w:id="59" w:name="_Toc296346536"/>
      <w:r>
        <w:rPr>
          <w:rFonts w:hint="eastAsia" w:ascii="宋体" w:hAnsi="宋体" w:eastAsia="宋体" w:cs="宋体"/>
          <w:color w:val="000000"/>
          <w:sz w:val="21"/>
          <w:szCs w:val="21"/>
          <w:highlight w:val="none"/>
        </w:rPr>
        <w:t>.8严禁贿赂</w:t>
      </w:r>
      <w:bookmarkEnd w:id="56"/>
    </w:p>
    <w:bookmarkEnd w:id="57"/>
    <w:bookmarkEnd w:id="58"/>
    <w:bookmarkEnd w:id="59"/>
    <w:p w14:paraId="5C5C0110">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合同当事人不得以贿赂或变相贿赂的方式，谋取非法利益或损害对方权益。因一方合同当事人的贿赂造成对方损失的，应赔偿损失，并承担相应的法律责任。</w:t>
      </w:r>
    </w:p>
    <w:p w14:paraId="2139199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04459F0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60" w:name="_Toc351203504"/>
      <w:r>
        <w:rPr>
          <w:rFonts w:hint="eastAsia" w:ascii="宋体" w:hAnsi="宋体" w:eastAsia="宋体" w:cs="宋体"/>
          <w:color w:val="000000"/>
          <w:sz w:val="21"/>
          <w:szCs w:val="21"/>
          <w:highlight w:val="none"/>
        </w:rPr>
        <w:t>1</w:t>
      </w:r>
      <w:bookmarkStart w:id="61" w:name="_Toc296503036"/>
      <w:bookmarkStart w:id="62" w:name="_Toc296346537"/>
      <w:bookmarkStart w:id="63" w:name="_Toc337558735"/>
      <w:r>
        <w:rPr>
          <w:rFonts w:hint="eastAsia" w:ascii="宋体" w:hAnsi="宋体" w:eastAsia="宋体" w:cs="宋体"/>
          <w:color w:val="000000"/>
          <w:sz w:val="21"/>
          <w:szCs w:val="21"/>
          <w:highlight w:val="none"/>
        </w:rPr>
        <w:t>.9化石、文物</w:t>
      </w:r>
      <w:bookmarkEnd w:id="60"/>
    </w:p>
    <w:bookmarkEnd w:id="61"/>
    <w:bookmarkEnd w:id="62"/>
    <w:bookmarkEnd w:id="63"/>
    <w:p w14:paraId="11CB032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w:t>
      </w:r>
      <w:r>
        <w:rPr>
          <w:rFonts w:hint="eastAsia" w:ascii="宋体" w:hAnsi="宋体" w:cs="宋体"/>
          <w:color w:val="000000"/>
          <w:sz w:val="21"/>
          <w:szCs w:val="21"/>
          <w:highlight w:val="none"/>
        </w:rPr>
        <w:t>述物品，并立即报告有关政府行政管理部门，同时通知监理人。</w:t>
      </w:r>
    </w:p>
    <w:p w14:paraId="231DD0E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发包人、监理人和承包人应按有关政府行政管理部门要求采取妥善的保护措施，由此增加的费用和（或）延误的工期由发包人承担。</w:t>
      </w:r>
    </w:p>
    <w:p w14:paraId="6F2340B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承包人发现文物后不及时报告或隐瞒不报，致使文物丢失或损坏的，应赔偿损失，并承担相应的法律责任。</w:t>
      </w:r>
      <w:bookmarkStart w:id="64" w:name="_Toc351203505"/>
    </w:p>
    <w:p w14:paraId="48FE542E">
      <w:pPr>
        <w:autoSpaceDE w:val="0"/>
        <w:autoSpaceDN w:val="0"/>
        <w:spacing w:line="360" w:lineRule="auto"/>
        <w:ind w:firstLine="420" w:firstLineChars="200"/>
        <w:jc w:val="left"/>
        <w:rPr>
          <w:rFonts w:ascii="宋体" w:hAnsi="宋体" w:cs="宋体"/>
          <w:b/>
          <w:color w:val="000000"/>
          <w:sz w:val="21"/>
          <w:szCs w:val="21"/>
          <w:highlight w:val="none"/>
        </w:rPr>
      </w:pPr>
      <w:r>
        <w:rPr>
          <w:rFonts w:hint="eastAsia" w:ascii="宋体" w:hAnsi="宋体" w:cs="宋体"/>
          <w:color w:val="000000"/>
          <w:sz w:val="21"/>
          <w:szCs w:val="21"/>
          <w:highlight w:val="none"/>
        </w:rPr>
        <w:t>1</w:t>
      </w:r>
      <w:bookmarkStart w:id="65" w:name="_Toc337558736"/>
      <w:r>
        <w:rPr>
          <w:rFonts w:hint="eastAsia" w:ascii="宋体" w:hAnsi="宋体" w:cs="宋体"/>
          <w:color w:val="000000"/>
          <w:sz w:val="21"/>
          <w:szCs w:val="21"/>
          <w:highlight w:val="none"/>
        </w:rPr>
        <w:t>.10交通运输</w:t>
      </w:r>
      <w:bookmarkEnd w:id="64"/>
    </w:p>
    <w:bookmarkEnd w:id="65"/>
    <w:p w14:paraId="1B46CC4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1.10.1出入现场的权利</w:t>
      </w:r>
    </w:p>
    <w:p w14:paraId="26B5C20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921D46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47FACF8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1.10.2场外交通</w:t>
      </w:r>
    </w:p>
    <w:p w14:paraId="3F94470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AA81FF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1.10.3场内交通</w:t>
      </w:r>
    </w:p>
    <w:p w14:paraId="1DBB19A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76D67F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838BD9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场外交通和场内交通的边界由合同当事人在专用合同条款中约定。</w:t>
      </w:r>
    </w:p>
    <w:p w14:paraId="6C6E0A6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1.10.4超大件和超重件的运输</w:t>
      </w:r>
    </w:p>
    <w:p w14:paraId="76A0A9E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A0BA34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1.10.5道路和桥梁的损坏责任</w:t>
      </w:r>
    </w:p>
    <w:p w14:paraId="3C0A47F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因承包人运输造成施工场地内外公共道路和桥梁损坏的，由承包人承担修复损坏的全部费用和可能引起的赔偿。</w:t>
      </w:r>
    </w:p>
    <w:p w14:paraId="7A41B9B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1.10.6水路和航空运输</w:t>
      </w:r>
    </w:p>
    <w:p w14:paraId="08259C0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bookmarkStart w:id="66" w:name="_Toc351203506"/>
    </w:p>
    <w:p w14:paraId="0CDA8797">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color w:val="000000"/>
          <w:sz w:val="21"/>
          <w:szCs w:val="21"/>
          <w:highlight w:val="none"/>
        </w:rPr>
        <w:t>1</w:t>
      </w:r>
      <w:bookmarkStart w:id="67" w:name="_Toc337558737"/>
      <w:bookmarkStart w:id="68" w:name="_Toc296346538"/>
      <w:bookmarkStart w:id="69" w:name="_Toc296503037"/>
      <w:r>
        <w:rPr>
          <w:rFonts w:hint="eastAsia" w:ascii="宋体" w:hAnsi="宋体" w:cs="宋体"/>
          <w:color w:val="000000"/>
          <w:sz w:val="21"/>
          <w:szCs w:val="21"/>
          <w:highlight w:val="none"/>
        </w:rPr>
        <w:t>.11知识产权</w:t>
      </w:r>
      <w:bookmarkEnd w:id="66"/>
      <w:bookmarkEnd w:id="67"/>
    </w:p>
    <w:bookmarkEnd w:id="68"/>
    <w:bookmarkEnd w:id="69"/>
    <w:p w14:paraId="74B20A7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5C3694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9692A0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1.11.3 合同当事人保证在履行合同过程中不侵犯对方及第三方的知识产权。承包人在使用材料、施工设备、工程设备或采用施工工艺时，因侵犯他人的专利权或其他知</w:t>
      </w:r>
      <w:r>
        <w:rPr>
          <w:rFonts w:hint="eastAsia" w:ascii="宋体" w:hAnsi="宋体" w:eastAsia="宋体" w:cs="宋体"/>
          <w:color w:val="000000"/>
          <w:sz w:val="21"/>
          <w:szCs w:val="21"/>
          <w:highlight w:val="none"/>
        </w:rPr>
        <w:t>识产权所引起的责任，由承包人承担；因发包人提供的材料、施工设备、工程设备或施工工艺导致侵权的，由发包人承担责任。</w:t>
      </w:r>
    </w:p>
    <w:p w14:paraId="141BC93C">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1.11.4 除专用合同条款另有约定外，承包人在合同签订前和签订时已确定采用的专利、专有技术、技术秘密的使用费已包含在签约合同价中。</w:t>
      </w:r>
    </w:p>
    <w:p w14:paraId="25F73AB0">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70" w:name="_Toc351203507"/>
      <w:r>
        <w:rPr>
          <w:rFonts w:hint="eastAsia" w:ascii="宋体" w:hAnsi="宋体" w:eastAsia="宋体" w:cs="宋体"/>
          <w:color w:val="000000"/>
          <w:sz w:val="21"/>
          <w:szCs w:val="21"/>
          <w:highlight w:val="none"/>
        </w:rPr>
        <w:t>1</w:t>
      </w:r>
      <w:bookmarkStart w:id="71" w:name="_Toc337558738"/>
      <w:r>
        <w:rPr>
          <w:rFonts w:hint="eastAsia" w:ascii="宋体" w:hAnsi="宋体" w:eastAsia="宋体" w:cs="宋体"/>
          <w:color w:val="000000"/>
          <w:sz w:val="21"/>
          <w:szCs w:val="21"/>
          <w:highlight w:val="none"/>
        </w:rPr>
        <w:t>.12保密</w:t>
      </w:r>
      <w:bookmarkEnd w:id="70"/>
    </w:p>
    <w:bookmarkEnd w:id="71"/>
    <w:p w14:paraId="0C4A9CB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除法律规定或合同另有约定外，未经发包人同意，承包人不得将发包人提供的图纸、文件以及声明需要保密的资料信息等商业秘密泄露给第三方。</w:t>
      </w:r>
    </w:p>
    <w:p w14:paraId="17FDB41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除法律规定或合</w:t>
      </w:r>
      <w:r>
        <w:rPr>
          <w:rFonts w:hint="eastAsia" w:ascii="宋体" w:hAnsi="宋体" w:cs="宋体"/>
          <w:color w:val="000000"/>
          <w:sz w:val="21"/>
          <w:szCs w:val="21"/>
          <w:highlight w:val="none"/>
        </w:rPr>
        <w:t>同另有约定外，未经承包人同意，发包人不得将承包人提供的技术秘密及声明需要保密的资料信息等商业秘密泄露给第三方。</w:t>
      </w:r>
    </w:p>
    <w:p w14:paraId="6E6A3FC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72" w:name="_Toc351203508"/>
      <w:r>
        <w:rPr>
          <w:rFonts w:hint="eastAsia" w:ascii="宋体" w:hAnsi="宋体" w:eastAsia="宋体" w:cs="宋体"/>
          <w:color w:val="000000"/>
          <w:sz w:val="21"/>
          <w:szCs w:val="21"/>
          <w:highlight w:val="none"/>
        </w:rPr>
        <w:t>1.13工程量清单错误的修正</w:t>
      </w:r>
      <w:bookmarkEnd w:id="72"/>
    </w:p>
    <w:p w14:paraId="230B2DDC">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除专用合同条款另有约定外，发包人提供的工程量清单，应被认为是准确的和完整的。出现下列情形之一时，发包人应予以修正，并相应调整合同价格：</w:t>
      </w:r>
    </w:p>
    <w:p w14:paraId="6B8F722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（1）工程量清单存在缺项、漏项的；</w:t>
      </w:r>
    </w:p>
    <w:p w14:paraId="147D73A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（2）工程量清单偏差超出专用合同条款约定的工程量偏差范围的；</w:t>
      </w:r>
    </w:p>
    <w:p w14:paraId="6724F35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（3）未按照国家现行计量规范强制性规定计量的。</w:t>
      </w:r>
      <w:bookmarkStart w:id="73" w:name="_Toc351203509"/>
    </w:p>
    <w:p w14:paraId="318038CE">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2</w:t>
      </w:r>
      <w:bookmarkStart w:id="74" w:name="_Toc337558739"/>
      <w:bookmarkStart w:id="75" w:name="_Toc296503038"/>
      <w:bookmarkStart w:id="76" w:name="_Toc296346539"/>
      <w:bookmarkStart w:id="77" w:name="OLE_LINK2"/>
      <w:r>
        <w:rPr>
          <w:rFonts w:hint="eastAsia" w:ascii="宋体" w:hAnsi="宋体" w:eastAsia="宋体" w:cs="宋体"/>
          <w:b/>
          <w:bCs/>
          <w:color w:val="000000"/>
          <w:sz w:val="21"/>
          <w:szCs w:val="21"/>
          <w:highlight w:val="none"/>
        </w:rPr>
        <w:t>. 发包人</w:t>
      </w:r>
      <w:bookmarkEnd w:id="73"/>
    </w:p>
    <w:bookmarkEnd w:id="74"/>
    <w:bookmarkEnd w:id="75"/>
    <w:bookmarkEnd w:id="76"/>
    <w:p w14:paraId="26A1887C">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78" w:name="_Toc351203510"/>
      <w:r>
        <w:rPr>
          <w:rFonts w:hint="eastAsia" w:ascii="宋体" w:hAnsi="宋体" w:eastAsia="宋体" w:cs="宋体"/>
          <w:b/>
          <w:bCs/>
          <w:color w:val="000000"/>
          <w:sz w:val="21"/>
          <w:szCs w:val="21"/>
          <w:highlight w:val="none"/>
        </w:rPr>
        <w:t>2</w:t>
      </w:r>
      <w:bookmarkStart w:id="79" w:name="_Toc337558740"/>
      <w:bookmarkStart w:id="80" w:name="_Toc296346540"/>
      <w:bookmarkStart w:id="81" w:name="_Toc296503039"/>
      <w:r>
        <w:rPr>
          <w:rFonts w:hint="eastAsia" w:ascii="宋体" w:hAnsi="宋体" w:eastAsia="宋体" w:cs="宋体"/>
          <w:b/>
          <w:bCs/>
          <w:color w:val="000000"/>
          <w:sz w:val="21"/>
          <w:szCs w:val="21"/>
          <w:highlight w:val="none"/>
        </w:rPr>
        <w:t>.1 许可或批准</w:t>
      </w:r>
      <w:bookmarkEnd w:id="78"/>
    </w:p>
    <w:p w14:paraId="2238D11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发包人应遵守法律，并办</w:t>
      </w:r>
      <w:r>
        <w:rPr>
          <w:rFonts w:hint="eastAsia" w:ascii="宋体" w:hAnsi="宋体" w:cs="宋体"/>
          <w:color w:val="000000"/>
          <w:sz w:val="21"/>
          <w:szCs w:val="21"/>
          <w:highlight w:val="none"/>
        </w:rPr>
        <w:t>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w:t>
      </w:r>
      <w:r>
        <w:rPr>
          <w:rFonts w:hint="eastAsia" w:ascii="宋体" w:hAnsi="宋体" w:eastAsia="宋体" w:cs="宋体"/>
          <w:color w:val="000000"/>
          <w:sz w:val="21"/>
          <w:szCs w:val="21"/>
          <w:highlight w:val="none"/>
        </w:rPr>
        <w:t>定的有关施工证件和批件。</w:t>
      </w:r>
    </w:p>
    <w:p w14:paraId="275FEEC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因发包人原因未能及时办理完毕前述许可、批准或备案，由发包人承担由此增加的费用和（或）延误的工期，并支付承包人合理的利润。</w:t>
      </w:r>
    </w:p>
    <w:p w14:paraId="244588AB">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82" w:name="_Toc351203511"/>
      <w:r>
        <w:rPr>
          <w:rFonts w:hint="eastAsia" w:ascii="宋体" w:hAnsi="宋体" w:eastAsia="宋体" w:cs="宋体"/>
          <w:b/>
          <w:bCs/>
          <w:color w:val="000000"/>
          <w:sz w:val="21"/>
          <w:szCs w:val="21"/>
          <w:highlight w:val="none"/>
        </w:rPr>
        <w:t>2.2 发包人代表</w:t>
      </w:r>
      <w:bookmarkEnd w:id="82"/>
    </w:p>
    <w:p w14:paraId="675D951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w:t>
      </w:r>
      <w:r>
        <w:rPr>
          <w:rFonts w:hint="eastAsia" w:ascii="宋体" w:hAnsi="宋体" w:cs="宋体"/>
          <w:color w:val="000000"/>
          <w:sz w:val="21"/>
          <w:szCs w:val="21"/>
          <w:highlight w:val="none"/>
        </w:rPr>
        <w:t>体事宜。发包人代表在授权范围内的行为由发包人承担法律责任。发包人更换发包人代表的，应提前7天书面通知承包人。</w:t>
      </w:r>
    </w:p>
    <w:p w14:paraId="7BE734BD">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发包人代</w:t>
      </w:r>
      <w:r>
        <w:rPr>
          <w:rFonts w:hint="eastAsia" w:ascii="宋体" w:hAnsi="宋体" w:eastAsia="宋体" w:cs="宋体"/>
          <w:color w:val="000000"/>
          <w:sz w:val="21"/>
          <w:szCs w:val="21"/>
          <w:highlight w:val="none"/>
        </w:rPr>
        <w:t>表不能按照合同约定履行其职责及义务，并导致合同无法继续正常履行的，承包人可以要求发包人撤换发包人代表。</w:t>
      </w:r>
    </w:p>
    <w:p w14:paraId="6EF44A9D">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不属于法定必须监理的工程，监理人的职权可以由发包人代表或发包人指定的其他人员行使。</w:t>
      </w:r>
    </w:p>
    <w:p w14:paraId="772671E0">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83" w:name="_Toc351203512"/>
      <w:r>
        <w:rPr>
          <w:rFonts w:hint="eastAsia" w:ascii="宋体" w:hAnsi="宋体" w:eastAsia="宋体" w:cs="宋体"/>
          <w:b/>
          <w:bCs/>
          <w:color w:val="000000"/>
          <w:sz w:val="21"/>
          <w:szCs w:val="21"/>
          <w:highlight w:val="none"/>
        </w:rPr>
        <w:t>2.3 发包人人员</w:t>
      </w:r>
      <w:bookmarkEnd w:id="83"/>
    </w:p>
    <w:p w14:paraId="3322B5F1">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7FDE673B">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发包人人员包括发包人代表及其他由发包人派驻施工现场的人员。</w:t>
      </w:r>
      <w:bookmarkEnd w:id="79"/>
      <w:bookmarkEnd w:id="80"/>
      <w:bookmarkEnd w:id="81"/>
    </w:p>
    <w:p w14:paraId="0713D4E8">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84" w:name="_Toc351203513"/>
      <w:r>
        <w:rPr>
          <w:rFonts w:hint="eastAsia" w:ascii="宋体" w:hAnsi="宋体" w:eastAsia="宋体" w:cs="宋体"/>
          <w:b/>
          <w:bCs/>
          <w:color w:val="000000"/>
          <w:sz w:val="21"/>
          <w:szCs w:val="21"/>
          <w:highlight w:val="none"/>
        </w:rPr>
        <w:t>2</w:t>
      </w:r>
      <w:bookmarkStart w:id="85" w:name="_Toc296346541"/>
      <w:bookmarkStart w:id="86" w:name="_Toc296503040"/>
      <w:bookmarkStart w:id="87" w:name="_Toc337558741"/>
      <w:r>
        <w:rPr>
          <w:rFonts w:hint="eastAsia" w:ascii="宋体" w:hAnsi="宋体" w:eastAsia="宋体" w:cs="宋体"/>
          <w:b/>
          <w:bCs/>
          <w:color w:val="000000"/>
          <w:sz w:val="21"/>
          <w:szCs w:val="21"/>
          <w:highlight w:val="none"/>
        </w:rPr>
        <w:t>.4 施工现场、施工条件和基础资料的提供</w:t>
      </w:r>
      <w:bookmarkEnd w:id="84"/>
      <w:bookmarkEnd w:id="85"/>
      <w:bookmarkEnd w:id="86"/>
      <w:bookmarkEnd w:id="87"/>
    </w:p>
    <w:p w14:paraId="38E8B351">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color w:val="000000"/>
          <w:sz w:val="21"/>
          <w:szCs w:val="21"/>
          <w:highlight w:val="none"/>
        </w:rPr>
        <w:t>2.4.1 提供施工现场</w:t>
      </w:r>
    </w:p>
    <w:p w14:paraId="55431DA5">
      <w:pPr>
        <w:spacing w:line="360" w:lineRule="auto"/>
        <w:ind w:firstLine="420" w:firstLineChars="200"/>
        <w:rPr>
          <w:rFonts w:ascii="宋体" w:hAnsi="宋体" w:cs="宋体"/>
          <w:color w:val="000000"/>
          <w:sz w:val="21"/>
          <w:szCs w:val="21"/>
          <w:highlight w:val="none"/>
        </w:rPr>
      </w:pPr>
      <w:r>
        <w:rPr>
          <w:rFonts w:hint="eastAsia" w:ascii="宋体" w:hAnsi="宋体" w:eastAsia="宋体" w:cs="宋体"/>
          <w:color w:val="000000"/>
          <w:sz w:val="21"/>
          <w:szCs w:val="21"/>
          <w:highlight w:val="none"/>
        </w:rPr>
        <w:t>除</w:t>
      </w:r>
      <w:bookmarkEnd w:id="77"/>
      <w:r>
        <w:rPr>
          <w:rFonts w:hint="eastAsia" w:ascii="宋体" w:hAnsi="宋体" w:eastAsia="宋体" w:cs="宋体"/>
          <w:color w:val="000000"/>
          <w:sz w:val="21"/>
          <w:szCs w:val="21"/>
          <w:highlight w:val="none"/>
        </w:rPr>
        <w:t>专用合同条款另有约定外，发包</w:t>
      </w:r>
      <w:r>
        <w:rPr>
          <w:rFonts w:hint="eastAsia" w:ascii="宋体" w:hAnsi="宋体" w:cs="宋体"/>
          <w:color w:val="000000"/>
          <w:sz w:val="21"/>
          <w:szCs w:val="21"/>
          <w:highlight w:val="none"/>
        </w:rPr>
        <w:t>人应最迟于开工日期7天前向承包人移交施工现场。</w:t>
      </w:r>
    </w:p>
    <w:p w14:paraId="1E0A324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2.4.2 提供施工条件</w:t>
      </w:r>
    </w:p>
    <w:p w14:paraId="1EA5587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除专用合同条款另有约定外，发包人应负责提供施工所需要的条件，包括：</w:t>
      </w:r>
    </w:p>
    <w:p w14:paraId="72656E8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（1）将施工用水、电力、通讯线路等施工所必需的条件接至施工现场内；</w:t>
      </w:r>
    </w:p>
    <w:p w14:paraId="306C845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（2）保证向承包人提供正常施工所需要的进入施工现场的交通条件；</w:t>
      </w:r>
    </w:p>
    <w:p w14:paraId="776A4B4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（3）协调处理施工现场周围地下管线和邻近建筑物、构筑物、古树名木的保护工作，并承担相关费用；</w:t>
      </w:r>
    </w:p>
    <w:p w14:paraId="18ED4E1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（4）按照专用合同条款约定应提供的其他设施和条件。</w:t>
      </w:r>
    </w:p>
    <w:p w14:paraId="793648D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2.4.3 提供基础资料</w:t>
      </w:r>
    </w:p>
    <w:p w14:paraId="2378D5D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62A043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按照</w:t>
      </w:r>
      <w:r>
        <w:rPr>
          <w:rFonts w:hint="eastAsia" w:ascii="宋体" w:hAnsi="宋体" w:eastAsia="宋体" w:cs="宋体"/>
          <w:color w:val="000000"/>
          <w:sz w:val="21"/>
          <w:szCs w:val="21"/>
          <w:highlight w:val="none"/>
        </w:rPr>
        <w:t>法律规定确需在开工后方能提供的基础资料，发包人应尽其努力及时地在相应工程施工前的合理期限内提供，合理期限应以不影响承包人的正常施工为限。</w:t>
      </w:r>
    </w:p>
    <w:p w14:paraId="15A5D8E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2.4.4 逾期提供的责任</w:t>
      </w:r>
    </w:p>
    <w:p w14:paraId="02EE8C2F">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因发包人原因未能按合同约定及时向承包人提供施工现场、施工条件、基础资料的，由发包人承担由此增加的费用和（或）延误的工期。</w:t>
      </w:r>
    </w:p>
    <w:p w14:paraId="3C2596CE">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88" w:name="_Toc351203514"/>
      <w:r>
        <w:rPr>
          <w:rFonts w:hint="eastAsia" w:ascii="宋体" w:hAnsi="宋体" w:eastAsia="宋体" w:cs="宋体"/>
          <w:b/>
          <w:bCs/>
          <w:color w:val="000000"/>
          <w:sz w:val="21"/>
          <w:szCs w:val="21"/>
          <w:highlight w:val="none"/>
        </w:rPr>
        <w:t>2</w:t>
      </w:r>
      <w:bookmarkStart w:id="89" w:name="_Toc296503042"/>
      <w:bookmarkStart w:id="90" w:name="_Toc337558745"/>
      <w:bookmarkStart w:id="91" w:name="_Toc296346543"/>
      <w:r>
        <w:rPr>
          <w:rFonts w:hint="eastAsia" w:ascii="宋体" w:hAnsi="宋体" w:eastAsia="宋体" w:cs="宋体"/>
          <w:b/>
          <w:bCs/>
          <w:color w:val="000000"/>
          <w:sz w:val="21"/>
          <w:szCs w:val="21"/>
          <w:highlight w:val="none"/>
        </w:rPr>
        <w:t>.5 资</w:t>
      </w:r>
      <w:bookmarkEnd w:id="89"/>
      <w:bookmarkEnd w:id="90"/>
      <w:bookmarkEnd w:id="91"/>
      <w:r>
        <w:rPr>
          <w:rFonts w:hint="eastAsia" w:ascii="宋体" w:hAnsi="宋体" w:eastAsia="宋体" w:cs="宋体"/>
          <w:b/>
          <w:bCs/>
          <w:color w:val="000000"/>
          <w:sz w:val="21"/>
          <w:szCs w:val="21"/>
          <w:highlight w:val="none"/>
        </w:rPr>
        <w:t>金来源证明及支付担保</w:t>
      </w:r>
      <w:bookmarkEnd w:id="88"/>
    </w:p>
    <w:p w14:paraId="1C52291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2709C52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1D0E726F">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92" w:name="_Toc351203515"/>
      <w:r>
        <w:rPr>
          <w:rFonts w:hint="eastAsia" w:ascii="宋体" w:hAnsi="宋体" w:eastAsia="宋体" w:cs="宋体"/>
          <w:b/>
          <w:bCs/>
          <w:color w:val="000000"/>
          <w:sz w:val="21"/>
          <w:szCs w:val="21"/>
          <w:highlight w:val="none"/>
        </w:rPr>
        <w:t>2.6 支付合同价款</w:t>
      </w:r>
      <w:bookmarkEnd w:id="92"/>
    </w:p>
    <w:p w14:paraId="078B537D">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发包人应按合同约定向承包人及时支付合同价款。</w:t>
      </w:r>
    </w:p>
    <w:p w14:paraId="4DA1BE34">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93" w:name="_Toc351203516"/>
      <w:r>
        <w:rPr>
          <w:rFonts w:hint="eastAsia" w:ascii="宋体" w:hAnsi="宋体" w:eastAsia="宋体" w:cs="宋体"/>
          <w:b/>
          <w:bCs/>
          <w:color w:val="000000"/>
          <w:sz w:val="21"/>
          <w:szCs w:val="21"/>
          <w:highlight w:val="none"/>
        </w:rPr>
        <w:t>2.7 组织竣工验收</w:t>
      </w:r>
      <w:bookmarkEnd w:id="93"/>
    </w:p>
    <w:p w14:paraId="44DD8EA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发包人应按合同约定及时组织竣工验收。</w:t>
      </w:r>
    </w:p>
    <w:p w14:paraId="0C26B872">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94" w:name="_Toc351203517"/>
      <w:r>
        <w:rPr>
          <w:rFonts w:hint="eastAsia" w:ascii="宋体" w:hAnsi="宋体" w:eastAsia="宋体" w:cs="宋体"/>
          <w:b/>
          <w:bCs/>
          <w:color w:val="000000"/>
          <w:sz w:val="21"/>
          <w:szCs w:val="21"/>
          <w:highlight w:val="none"/>
        </w:rPr>
        <w:t>2.8 现场统一管理协议</w:t>
      </w:r>
      <w:bookmarkEnd w:id="94"/>
    </w:p>
    <w:p w14:paraId="5BFD7AD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发包人应与承包人、由发包人直接发包的专业工程的承包人签订施工现场统一管理协议，明确各方的权利义务。施工现场统一管理协议作为专用合同条款的附件。</w:t>
      </w:r>
    </w:p>
    <w:p w14:paraId="2EF1C351">
      <w:pPr>
        <w:autoSpaceDE w:val="0"/>
        <w:autoSpaceDN w:val="0"/>
        <w:spacing w:line="360" w:lineRule="auto"/>
        <w:ind w:firstLine="420" w:firstLineChars="200"/>
        <w:jc w:val="left"/>
        <w:rPr>
          <w:rFonts w:hint="default" w:ascii="宋体" w:hAnsi="宋体" w:eastAsia="宋体" w:cs="宋体"/>
          <w:b/>
          <w:bCs/>
          <w:color w:val="000000"/>
          <w:sz w:val="21"/>
          <w:szCs w:val="21"/>
          <w:highlight w:val="none"/>
        </w:rPr>
      </w:pPr>
      <w:bookmarkStart w:id="95" w:name="_Toc351203518"/>
      <w:r>
        <w:rPr>
          <w:rFonts w:hint="eastAsia" w:ascii="宋体" w:hAnsi="宋体" w:eastAsia="宋体" w:cs="宋体"/>
          <w:b/>
          <w:bCs/>
          <w:color w:val="000000"/>
          <w:sz w:val="21"/>
          <w:szCs w:val="21"/>
          <w:highlight w:val="none"/>
        </w:rPr>
        <w:t>3</w:t>
      </w:r>
      <w:bookmarkStart w:id="96" w:name="_Toc296503045"/>
      <w:bookmarkStart w:id="97" w:name="_Toc296346546"/>
      <w:bookmarkStart w:id="98" w:name="_Toc337558746"/>
      <w:r>
        <w:rPr>
          <w:rFonts w:hint="eastAsia" w:ascii="宋体" w:hAnsi="宋体" w:eastAsia="宋体" w:cs="宋体"/>
          <w:b/>
          <w:bCs/>
          <w:color w:val="000000"/>
          <w:sz w:val="21"/>
          <w:szCs w:val="21"/>
          <w:highlight w:val="none"/>
        </w:rPr>
        <w:t>. 承包人</w:t>
      </w:r>
      <w:bookmarkEnd w:id="95"/>
    </w:p>
    <w:bookmarkEnd w:id="96"/>
    <w:bookmarkEnd w:id="97"/>
    <w:bookmarkEnd w:id="98"/>
    <w:p w14:paraId="36B500C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99" w:name="_Toc351203519"/>
      <w:r>
        <w:rPr>
          <w:rFonts w:hint="eastAsia" w:ascii="宋体" w:hAnsi="宋体" w:eastAsia="宋体" w:cs="宋体"/>
          <w:color w:val="000000"/>
          <w:sz w:val="21"/>
          <w:szCs w:val="21"/>
          <w:highlight w:val="none"/>
        </w:rPr>
        <w:t>3</w:t>
      </w:r>
      <w:bookmarkStart w:id="100" w:name="_Toc337558747"/>
      <w:bookmarkStart w:id="101" w:name="_Toc296503046"/>
      <w:bookmarkStart w:id="102" w:name="_Toc296346547"/>
      <w:r>
        <w:rPr>
          <w:rFonts w:hint="eastAsia" w:ascii="宋体" w:hAnsi="宋体" w:eastAsia="宋体" w:cs="宋体"/>
          <w:color w:val="000000"/>
          <w:sz w:val="21"/>
          <w:szCs w:val="21"/>
          <w:highlight w:val="none"/>
        </w:rPr>
        <w:t>.1 承包人的一般义务</w:t>
      </w:r>
      <w:bookmarkEnd w:id="99"/>
    </w:p>
    <w:bookmarkEnd w:id="100"/>
    <w:bookmarkEnd w:id="101"/>
    <w:bookmarkEnd w:id="102"/>
    <w:p w14:paraId="67129D40">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承包人在履行合同过程中应遵守法律和工程建设标准规范，并履行以下义务：</w:t>
      </w:r>
    </w:p>
    <w:p w14:paraId="2FD775F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办理法律规定应由承包人办理的许可和批准，并将办理结果书面报送发包人留存；</w:t>
      </w:r>
    </w:p>
    <w:p w14:paraId="32031ACF">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（2）按法律规定和合同约定完成工程，并在保修期内承担保修义务；</w:t>
      </w:r>
    </w:p>
    <w:p w14:paraId="706CDCB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（3）按法律规定和</w:t>
      </w:r>
      <w:r>
        <w:rPr>
          <w:rFonts w:hint="eastAsia" w:ascii="宋体" w:hAnsi="宋体" w:cs="宋体"/>
          <w:color w:val="000000"/>
          <w:sz w:val="21"/>
          <w:szCs w:val="21"/>
          <w:highlight w:val="none"/>
        </w:rPr>
        <w:t>合同约定采取施工安全和环境保护措施，办理工伤保险，确保工程及人员、材料、设备和设施的安全；</w:t>
      </w:r>
    </w:p>
    <w:p w14:paraId="38E78AE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（4）按合同约定的工作内容和施工进度要求，编制施工组织设计和施工措施计划，并对所有施工作业和施工方法的完备性和安全可靠性负责；</w:t>
      </w:r>
    </w:p>
    <w:p w14:paraId="14C5DA4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DDA740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（6）按照第6.3款〔环境保护〕约定负责施工场地及其周边环境与生态的保护工作；</w:t>
      </w:r>
    </w:p>
    <w:p w14:paraId="4D9AED3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（7）按第6.1款〔安全文明施工〕约定采取施工安全措施，确保工程及其人员、材料、设备和设施的安全，防止因工程施工造成的人身伤害和财产损失；</w:t>
      </w:r>
    </w:p>
    <w:p w14:paraId="173F243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（8）将发包人按合同约定支付的各项价款专用于合同工程，且应及时支付其雇用人员工资，并</w:t>
      </w:r>
      <w:r>
        <w:rPr>
          <w:rFonts w:hint="eastAsia" w:ascii="宋体" w:hAnsi="宋体" w:eastAsia="宋体" w:cs="宋体"/>
          <w:color w:val="000000"/>
          <w:sz w:val="21"/>
          <w:szCs w:val="21"/>
          <w:highlight w:val="none"/>
        </w:rPr>
        <w:t>及时向分包人支付合同价款；</w:t>
      </w:r>
    </w:p>
    <w:p w14:paraId="06B1056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（9）按照法律规定和合同约定编制竣工资料，完成竣工资料立卷及归档，并按专用合同条款约定的竣工资料的套数、内容、时间等要求移交发包人；</w:t>
      </w:r>
    </w:p>
    <w:p w14:paraId="419B9F2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（10）应履行的其他义务。</w:t>
      </w:r>
    </w:p>
    <w:p w14:paraId="66D2BBA6">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03" w:name="_Toc351203520"/>
      <w:r>
        <w:rPr>
          <w:rFonts w:hint="eastAsia" w:ascii="宋体" w:hAnsi="宋体" w:eastAsia="宋体" w:cs="宋体"/>
          <w:b/>
          <w:bCs/>
          <w:color w:val="000000"/>
          <w:sz w:val="21"/>
          <w:szCs w:val="21"/>
          <w:highlight w:val="none"/>
        </w:rPr>
        <w:t>3</w:t>
      </w:r>
      <w:bookmarkStart w:id="104" w:name="_Toc296503047"/>
      <w:bookmarkStart w:id="105" w:name="_Toc337558748"/>
      <w:bookmarkStart w:id="106" w:name="_Toc296346548"/>
      <w:r>
        <w:rPr>
          <w:rFonts w:hint="eastAsia" w:ascii="宋体" w:hAnsi="宋体" w:eastAsia="宋体" w:cs="宋体"/>
          <w:b/>
          <w:bCs/>
          <w:color w:val="000000"/>
          <w:sz w:val="21"/>
          <w:szCs w:val="21"/>
          <w:highlight w:val="none"/>
        </w:rPr>
        <w:t xml:space="preserve">.2 </w:t>
      </w:r>
      <w:bookmarkEnd w:id="103"/>
      <w:r>
        <w:rPr>
          <w:rFonts w:hint="eastAsia" w:ascii="宋体" w:hAnsi="宋体" w:eastAsia="宋体" w:cs="宋体"/>
          <w:b/>
          <w:bCs/>
          <w:color w:val="000000"/>
          <w:sz w:val="21"/>
          <w:szCs w:val="21"/>
          <w:highlight w:val="none"/>
        </w:rPr>
        <w:t>项目经理</w:t>
      </w:r>
    </w:p>
    <w:bookmarkEnd w:id="104"/>
    <w:bookmarkEnd w:id="105"/>
    <w:bookmarkEnd w:id="106"/>
    <w:p w14:paraId="7867533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3.2.1 项目经理应为合同当事人所确认的人选，并在专用合同条款中明确项目经理的姓名、职称、注册执</w:t>
      </w:r>
      <w:r>
        <w:rPr>
          <w:rFonts w:hint="eastAsia" w:ascii="宋体" w:hAnsi="宋体" w:cs="宋体"/>
          <w:color w:val="000000"/>
          <w:sz w:val="21"/>
          <w:szCs w:val="21"/>
          <w:highlight w:val="none"/>
        </w:rPr>
        <w:t>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64A6B0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1A501D1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承包人违反上述约定的，应按照专用合同条款的约定，承担违约责任。</w:t>
      </w:r>
    </w:p>
    <w:p w14:paraId="1CC0C6F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FD9C07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F377B8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14245E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3.2.5 项目经理因特殊情况授权其下属人员履行其某项工作职责的，该下属人员应具备履行相应职</w:t>
      </w:r>
      <w:r>
        <w:rPr>
          <w:rFonts w:hint="eastAsia" w:ascii="宋体" w:hAnsi="宋体" w:eastAsia="宋体" w:cs="宋体"/>
          <w:color w:val="000000"/>
          <w:sz w:val="21"/>
          <w:szCs w:val="21"/>
          <w:highlight w:val="none"/>
        </w:rPr>
        <w:t>责的能力，并应提前7天将上述人员的姓名和授权范围书面通知监理人，并征得发包人书面同意。</w:t>
      </w:r>
    </w:p>
    <w:p w14:paraId="343E1C0D">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107" w:name="_Toc351203521"/>
      <w:r>
        <w:rPr>
          <w:rFonts w:hint="eastAsia" w:ascii="宋体" w:hAnsi="宋体" w:eastAsia="宋体" w:cs="宋体"/>
          <w:color w:val="000000"/>
          <w:sz w:val="21"/>
          <w:szCs w:val="21"/>
          <w:highlight w:val="none"/>
        </w:rPr>
        <w:t>3</w:t>
      </w:r>
      <w:bookmarkStart w:id="108" w:name="_Toc296346549"/>
      <w:bookmarkStart w:id="109" w:name="_Toc296503048"/>
      <w:bookmarkStart w:id="110" w:name="_Toc337558749"/>
      <w:r>
        <w:rPr>
          <w:rFonts w:hint="eastAsia" w:ascii="宋体" w:hAnsi="宋体" w:eastAsia="宋体" w:cs="宋体"/>
          <w:color w:val="000000"/>
          <w:sz w:val="21"/>
          <w:szCs w:val="21"/>
          <w:highlight w:val="none"/>
        </w:rPr>
        <w:t xml:space="preserve">.3 </w:t>
      </w:r>
      <w:bookmarkEnd w:id="108"/>
      <w:bookmarkEnd w:id="109"/>
      <w:r>
        <w:rPr>
          <w:rFonts w:hint="eastAsia" w:ascii="宋体" w:hAnsi="宋体" w:eastAsia="宋体" w:cs="宋体"/>
          <w:color w:val="000000"/>
          <w:sz w:val="21"/>
          <w:szCs w:val="21"/>
          <w:highlight w:val="none"/>
        </w:rPr>
        <w:t>承包人人员</w:t>
      </w:r>
      <w:bookmarkEnd w:id="107"/>
    </w:p>
    <w:bookmarkEnd w:id="110"/>
    <w:p w14:paraId="4127915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w:t>
      </w:r>
      <w:r>
        <w:rPr>
          <w:rFonts w:hint="eastAsia" w:ascii="宋体" w:hAnsi="宋体" w:cs="宋体"/>
          <w:color w:val="000000"/>
          <w:sz w:val="21"/>
          <w:szCs w:val="21"/>
          <w:highlight w:val="none"/>
        </w:rPr>
        <w:t>安排情况，并同时提交主要施工管理人员与承包人之间的劳动关系证明和缴纳社会保险的有效证明。</w:t>
      </w:r>
    </w:p>
    <w:p w14:paraId="058EB2B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0EB7CD3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特殊工种作业人员均应持有相应的资格证明，监理人可以随时检查。</w:t>
      </w:r>
    </w:p>
    <w:p w14:paraId="256C61F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8EE6B0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0F6B1BE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3.3.5 承包人擅自更换主要施工管理人员，或前述人员未经监理人或发包人同意擅自离开施工现场的，应按照专用合同条款约定承担违约责任。</w:t>
      </w:r>
    </w:p>
    <w:p w14:paraId="46F825BD">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111" w:name="_Toc351203522"/>
      <w:r>
        <w:rPr>
          <w:rFonts w:hint="eastAsia" w:ascii="宋体" w:hAnsi="宋体" w:eastAsia="宋体" w:cs="宋体"/>
          <w:color w:val="000000"/>
          <w:sz w:val="21"/>
          <w:szCs w:val="21"/>
          <w:highlight w:val="none"/>
        </w:rPr>
        <w:t>3</w:t>
      </w:r>
      <w:bookmarkStart w:id="112" w:name="_Toc296503050"/>
      <w:bookmarkStart w:id="113" w:name="_Toc296346551"/>
      <w:bookmarkStart w:id="114" w:name="_Toc337558750"/>
      <w:r>
        <w:rPr>
          <w:rFonts w:hint="eastAsia" w:ascii="宋体" w:hAnsi="宋体" w:eastAsia="宋体" w:cs="宋体"/>
          <w:color w:val="000000"/>
          <w:sz w:val="21"/>
          <w:szCs w:val="21"/>
          <w:highlight w:val="none"/>
        </w:rPr>
        <w:t>.4 承包人现场查勘</w:t>
      </w:r>
      <w:bookmarkEnd w:id="111"/>
    </w:p>
    <w:bookmarkEnd w:id="112"/>
    <w:bookmarkEnd w:id="113"/>
    <w:bookmarkEnd w:id="114"/>
    <w:p w14:paraId="791E151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承包人应对基于发包人按照第2.4.3项〔提供基础资料〕提交的基础资料所做出的解释和推断负责，但因基础资料存</w:t>
      </w:r>
      <w:r>
        <w:rPr>
          <w:rFonts w:hint="eastAsia" w:ascii="宋体" w:hAnsi="宋体" w:cs="宋体"/>
          <w:color w:val="000000"/>
          <w:sz w:val="21"/>
          <w:szCs w:val="21"/>
          <w:highlight w:val="none"/>
        </w:rPr>
        <w:t>在错误、遗漏导致承包人解释或推断失实的，由发包人承担责任。</w:t>
      </w:r>
    </w:p>
    <w:p w14:paraId="5C04C60B">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承包人应对施工现场和施工条件进行查勘，并充分了解工程所在地的气象条件、交通条件、风俗</w:t>
      </w:r>
      <w:r>
        <w:rPr>
          <w:rFonts w:hint="eastAsia" w:ascii="宋体" w:hAnsi="宋体" w:eastAsia="宋体" w:cs="宋体"/>
          <w:color w:val="000000"/>
          <w:sz w:val="21"/>
          <w:szCs w:val="21"/>
          <w:highlight w:val="none"/>
        </w:rPr>
        <w:t>习惯以及其他与完成合同工作有关的其他资料。因承包人未能充分查勘、了解前述情况或未能充分估计前述情况所可能产生后果的，承包人承担由此增加的费用和（或）延误的工期。</w:t>
      </w:r>
    </w:p>
    <w:p w14:paraId="4C4F05B2">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15" w:name="_Toc351203523"/>
      <w:r>
        <w:rPr>
          <w:rFonts w:hint="eastAsia" w:ascii="宋体" w:hAnsi="宋体" w:eastAsia="宋体" w:cs="宋体"/>
          <w:b/>
          <w:bCs/>
          <w:color w:val="000000"/>
          <w:sz w:val="21"/>
          <w:szCs w:val="21"/>
          <w:highlight w:val="none"/>
        </w:rPr>
        <w:t>3</w:t>
      </w:r>
      <w:bookmarkStart w:id="116" w:name="_Toc296503051"/>
      <w:bookmarkStart w:id="117" w:name="_Toc337558751"/>
      <w:bookmarkStart w:id="118" w:name="_Toc296346552"/>
      <w:r>
        <w:rPr>
          <w:rFonts w:hint="eastAsia" w:ascii="宋体" w:hAnsi="宋体" w:eastAsia="宋体" w:cs="宋体"/>
          <w:b/>
          <w:bCs/>
          <w:color w:val="000000"/>
          <w:sz w:val="21"/>
          <w:szCs w:val="21"/>
          <w:highlight w:val="none"/>
        </w:rPr>
        <w:t>.5 分包</w:t>
      </w:r>
      <w:bookmarkEnd w:id="115"/>
    </w:p>
    <w:bookmarkEnd w:id="116"/>
    <w:bookmarkEnd w:id="117"/>
    <w:bookmarkEnd w:id="118"/>
    <w:p w14:paraId="3C2ED49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3.5.1 分包的一般约定</w:t>
      </w:r>
    </w:p>
    <w:p w14:paraId="31F86C4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w:t>
      </w:r>
      <w:r>
        <w:rPr>
          <w:rFonts w:hint="eastAsia" w:ascii="宋体" w:hAnsi="宋体" w:cs="宋体"/>
          <w:color w:val="000000"/>
          <w:sz w:val="21"/>
          <w:szCs w:val="21"/>
          <w:highlight w:val="none"/>
        </w:rPr>
        <w:t>中予以明确。</w:t>
      </w:r>
    </w:p>
    <w:p w14:paraId="209B2F9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承包人不得以劳务分包的名义转包或违法分包工程。</w:t>
      </w:r>
    </w:p>
    <w:p w14:paraId="6A1E988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3.5.2 分包的确定</w:t>
      </w:r>
    </w:p>
    <w:p w14:paraId="62580E7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62F0B65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3.5.3 分包管理</w:t>
      </w:r>
    </w:p>
    <w:p w14:paraId="761BA86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承包人应向监理人提交分包人的主要施工管理人员表，并对分包人的施工人员进行实名制管理，包括但不限于进出场管理、登记造册以及各种证照的办理。</w:t>
      </w:r>
    </w:p>
    <w:p w14:paraId="1CFE30A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3.5.4 分包合同价款</w:t>
      </w:r>
    </w:p>
    <w:p w14:paraId="533B612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（1）除本项第（2）目约定的情况或专用合同条款另有约定外，分包合同价款由承包人与分包人结算，未经承包人同意，发包人不得向分包人支付分包工程价款；</w:t>
      </w:r>
    </w:p>
    <w:p w14:paraId="446DDD2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（2）生效法律文书要求发包人向分包人支付分包合同价款的，发包人有权从应付承包人工程款中扣除该部分款项。</w:t>
      </w:r>
    </w:p>
    <w:p w14:paraId="374C5A7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3.5.5 分包合同权益的转让</w:t>
      </w:r>
    </w:p>
    <w:p w14:paraId="15EF16F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分包人在分包合同项下</w:t>
      </w:r>
      <w:r>
        <w:rPr>
          <w:rFonts w:hint="eastAsia" w:ascii="宋体" w:hAnsi="宋体" w:eastAsia="宋体" w:cs="宋体"/>
          <w:color w:val="000000"/>
          <w:sz w:val="21"/>
          <w:szCs w:val="21"/>
          <w:highlight w:val="none"/>
        </w:rPr>
        <w:t>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9" w:name="_Toc351203524"/>
    </w:p>
    <w:p w14:paraId="69521725">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3.6 工程照管与成品、半成品保护</w:t>
      </w:r>
      <w:bookmarkEnd w:id="119"/>
    </w:p>
    <w:p w14:paraId="7A3EBE7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（1）除专用合同条款另有约定外，自发包人向承包人移交施工现场之日起，承包人应负责照管工程及工程相关的材料、工程设备，直到颁发工程接收证书之日止。</w:t>
      </w:r>
    </w:p>
    <w:p w14:paraId="209F5BE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（2）在承包人负责照管期间，因承包人原因造成工程、材料、工程设备损坏的，由承包人负责修复或更换，并承担由此增加的费用和（或）延误的工期。</w:t>
      </w:r>
    </w:p>
    <w:p w14:paraId="656E559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53A62AF4">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20" w:name="_Toc351203525"/>
      <w:r>
        <w:rPr>
          <w:rFonts w:hint="eastAsia" w:ascii="宋体" w:hAnsi="宋体" w:eastAsia="宋体" w:cs="宋体"/>
          <w:b/>
          <w:bCs/>
          <w:color w:val="000000"/>
          <w:sz w:val="21"/>
          <w:szCs w:val="21"/>
          <w:highlight w:val="none"/>
        </w:rPr>
        <w:t>3</w:t>
      </w:r>
      <w:bookmarkStart w:id="121" w:name="_Toc296503052"/>
      <w:bookmarkStart w:id="122" w:name="_Toc296346553"/>
      <w:bookmarkStart w:id="123" w:name="_Toc337558752"/>
      <w:r>
        <w:rPr>
          <w:rFonts w:hint="eastAsia" w:ascii="宋体" w:hAnsi="宋体" w:eastAsia="宋体" w:cs="宋体"/>
          <w:b/>
          <w:bCs/>
          <w:color w:val="000000"/>
          <w:sz w:val="21"/>
          <w:szCs w:val="21"/>
          <w:highlight w:val="none"/>
        </w:rPr>
        <w:t>.7 履约担保</w:t>
      </w:r>
      <w:bookmarkEnd w:id="120"/>
    </w:p>
    <w:bookmarkEnd w:id="121"/>
    <w:bookmarkEnd w:id="122"/>
    <w:bookmarkEnd w:id="123"/>
    <w:p w14:paraId="7C8FBB5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5B265E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因承包人原因导致工期延长的，继续提供履约担保所增加的费用由承包人承担；非因承包人原因导致工期延长的，继续提供履约担保所增加的费用由发包人承担。</w:t>
      </w:r>
    </w:p>
    <w:p w14:paraId="3743D722">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24" w:name="_Toc351203526"/>
      <w:r>
        <w:rPr>
          <w:rFonts w:hint="eastAsia" w:ascii="宋体" w:hAnsi="宋体" w:eastAsia="宋体" w:cs="宋体"/>
          <w:b/>
          <w:bCs/>
          <w:color w:val="000000"/>
          <w:sz w:val="21"/>
          <w:szCs w:val="21"/>
          <w:highlight w:val="none"/>
        </w:rPr>
        <w:t>3.8 联合体</w:t>
      </w:r>
      <w:bookmarkEnd w:id="124"/>
    </w:p>
    <w:p w14:paraId="3C2EF29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3.8.1 联合体各方应共同与发包人签订合同协议书。联合体各方应为履行合同向发包人承担连带责任。</w:t>
      </w:r>
    </w:p>
    <w:p w14:paraId="44373CD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3.8.2 联合体协议经发包人确认后作为合同附件。在履行合同过程中，未经发包人同意，不得修改联合体协议</w:t>
      </w:r>
      <w:r>
        <w:rPr>
          <w:rFonts w:hint="eastAsia" w:ascii="宋体" w:hAnsi="宋体" w:cs="宋体"/>
          <w:color w:val="000000"/>
          <w:sz w:val="21"/>
          <w:szCs w:val="21"/>
          <w:highlight w:val="none"/>
        </w:rPr>
        <w:t>。</w:t>
      </w:r>
    </w:p>
    <w:p w14:paraId="4652426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3.8.3 联合体牵头人负责与发包人和监理人联系，并接受指示，负责组织联合体各成员全面履行合同。</w:t>
      </w:r>
      <w:bookmarkStart w:id="125" w:name="_Toc351203527"/>
    </w:p>
    <w:p w14:paraId="7C90BFDA">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4</w:t>
      </w:r>
      <w:bookmarkStart w:id="126" w:name="_Toc296503053"/>
      <w:bookmarkStart w:id="127" w:name="_Toc296346554"/>
      <w:bookmarkStart w:id="128" w:name="_Toc337558753"/>
      <w:r>
        <w:rPr>
          <w:rFonts w:hint="eastAsia" w:ascii="宋体" w:hAnsi="宋体" w:eastAsia="宋体" w:cs="宋体"/>
          <w:b/>
          <w:bCs/>
          <w:color w:val="000000"/>
          <w:sz w:val="21"/>
          <w:szCs w:val="21"/>
          <w:highlight w:val="none"/>
        </w:rPr>
        <w:t>. 监</w:t>
      </w:r>
      <w:bookmarkEnd w:id="126"/>
      <w:bookmarkEnd w:id="127"/>
      <w:r>
        <w:rPr>
          <w:rFonts w:hint="eastAsia" w:ascii="宋体" w:hAnsi="宋体" w:eastAsia="宋体" w:cs="宋体"/>
          <w:b/>
          <w:bCs/>
          <w:color w:val="000000"/>
          <w:sz w:val="21"/>
          <w:szCs w:val="21"/>
          <w:highlight w:val="none"/>
        </w:rPr>
        <w:t>理人</w:t>
      </w:r>
      <w:bookmarkEnd w:id="125"/>
      <w:bookmarkEnd w:id="128"/>
      <w:bookmarkStart w:id="129" w:name="_Toc351203528"/>
    </w:p>
    <w:p w14:paraId="0118EB51">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4</w:t>
      </w:r>
      <w:bookmarkStart w:id="130" w:name="_Toc296503054"/>
      <w:bookmarkStart w:id="131" w:name="_Toc296346555"/>
      <w:bookmarkStart w:id="132" w:name="_Toc337558754"/>
      <w:r>
        <w:rPr>
          <w:rFonts w:hint="eastAsia" w:ascii="宋体" w:hAnsi="宋体" w:eastAsia="宋体" w:cs="宋体"/>
          <w:b/>
          <w:bCs/>
          <w:color w:val="000000"/>
          <w:sz w:val="21"/>
          <w:szCs w:val="21"/>
          <w:highlight w:val="none"/>
        </w:rPr>
        <w:t>.1监理人的一般规定</w:t>
      </w:r>
      <w:bookmarkEnd w:id="129"/>
    </w:p>
    <w:bookmarkEnd w:id="130"/>
    <w:bookmarkEnd w:id="131"/>
    <w:bookmarkEnd w:id="132"/>
    <w:p w14:paraId="17F68E1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17F44FF">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除专用合同条款另</w:t>
      </w:r>
      <w:r>
        <w:rPr>
          <w:rFonts w:hint="eastAsia" w:ascii="宋体" w:hAnsi="宋体" w:eastAsia="宋体" w:cs="宋体"/>
          <w:color w:val="000000"/>
          <w:sz w:val="21"/>
          <w:szCs w:val="21"/>
          <w:highlight w:val="none"/>
        </w:rPr>
        <w:t>有约定外，监理人在施工现场的办公场所、生活场所由承包人提供，所发生的费用由发包人承担。</w:t>
      </w:r>
    </w:p>
    <w:p w14:paraId="1B52D26D">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33" w:name="_Toc351203529"/>
      <w:r>
        <w:rPr>
          <w:rFonts w:hint="eastAsia" w:ascii="宋体" w:hAnsi="宋体" w:eastAsia="宋体" w:cs="宋体"/>
          <w:b/>
          <w:bCs/>
          <w:color w:val="000000"/>
          <w:sz w:val="21"/>
          <w:szCs w:val="21"/>
          <w:highlight w:val="none"/>
        </w:rPr>
        <w:t>4</w:t>
      </w:r>
      <w:bookmarkStart w:id="134" w:name="_Toc337558755"/>
      <w:r>
        <w:rPr>
          <w:rFonts w:hint="eastAsia" w:ascii="宋体" w:hAnsi="宋体" w:eastAsia="宋体" w:cs="宋体"/>
          <w:b/>
          <w:bCs/>
          <w:color w:val="000000"/>
          <w:sz w:val="21"/>
          <w:szCs w:val="21"/>
          <w:highlight w:val="none"/>
        </w:rPr>
        <w:t>.2监理人员</w:t>
      </w:r>
      <w:bookmarkEnd w:id="133"/>
    </w:p>
    <w:bookmarkEnd w:id="134"/>
    <w:p w14:paraId="528E575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6E91209A">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35" w:name="_Toc351203530"/>
      <w:r>
        <w:rPr>
          <w:rFonts w:hint="eastAsia" w:ascii="宋体" w:hAnsi="宋体" w:eastAsia="宋体" w:cs="宋体"/>
          <w:b/>
          <w:bCs/>
          <w:color w:val="000000"/>
          <w:sz w:val="21"/>
          <w:szCs w:val="21"/>
          <w:highlight w:val="none"/>
        </w:rPr>
        <w:t>4</w:t>
      </w:r>
      <w:bookmarkStart w:id="136" w:name="_Toc296503055"/>
      <w:bookmarkStart w:id="137" w:name="_Toc296346556"/>
      <w:bookmarkStart w:id="138" w:name="_Toc337558756"/>
      <w:r>
        <w:rPr>
          <w:rFonts w:hint="eastAsia" w:ascii="宋体" w:hAnsi="宋体" w:eastAsia="宋体" w:cs="宋体"/>
          <w:b/>
          <w:bCs/>
          <w:color w:val="000000"/>
          <w:sz w:val="21"/>
          <w:szCs w:val="21"/>
          <w:highlight w:val="none"/>
        </w:rPr>
        <w:t>.3</w:t>
      </w:r>
      <w:bookmarkEnd w:id="136"/>
      <w:bookmarkEnd w:id="137"/>
      <w:r>
        <w:rPr>
          <w:rFonts w:hint="eastAsia" w:ascii="宋体" w:hAnsi="宋体" w:eastAsia="宋体" w:cs="宋体"/>
          <w:b/>
          <w:bCs/>
          <w:color w:val="000000"/>
          <w:sz w:val="21"/>
          <w:szCs w:val="21"/>
          <w:highlight w:val="none"/>
        </w:rPr>
        <w:t>监理人的指</w:t>
      </w:r>
      <w:bookmarkEnd w:id="138"/>
      <w:r>
        <w:rPr>
          <w:rFonts w:hint="eastAsia" w:ascii="宋体" w:hAnsi="宋体" w:eastAsia="宋体" w:cs="宋体"/>
          <w:b/>
          <w:bCs/>
          <w:color w:val="000000"/>
          <w:sz w:val="21"/>
          <w:szCs w:val="21"/>
          <w:highlight w:val="none"/>
        </w:rPr>
        <w:t>示</w:t>
      </w:r>
      <w:bookmarkEnd w:id="135"/>
    </w:p>
    <w:p w14:paraId="56876AF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18A11A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监理人发出的指示应送达承包人项目经理或经项目经理授权接收的人员。因监理人未能按合同约定发出指示、指示</w:t>
      </w:r>
      <w:r>
        <w:rPr>
          <w:rFonts w:hint="eastAsia" w:ascii="宋体" w:hAnsi="宋体" w:cs="宋体"/>
          <w:color w:val="000000"/>
          <w:sz w:val="21"/>
          <w:szCs w:val="21"/>
          <w:highlight w:val="none"/>
        </w:rPr>
        <w:t>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2A2A98C">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52C8182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77E0E8D3">
      <w:pPr>
        <w:autoSpaceDE w:val="0"/>
        <w:autoSpaceDN w:val="0"/>
        <w:spacing w:line="360" w:lineRule="auto"/>
        <w:ind w:firstLine="420" w:firstLineChars="200"/>
        <w:jc w:val="left"/>
        <w:rPr>
          <w:rFonts w:hint="default" w:ascii="宋体" w:hAnsi="宋体" w:eastAsia="宋体" w:cs="宋体"/>
          <w:color w:val="000000"/>
          <w:sz w:val="21"/>
          <w:szCs w:val="21"/>
          <w:highlight w:val="none"/>
        </w:rPr>
      </w:pPr>
      <w:bookmarkStart w:id="139" w:name="_Toc351203531"/>
      <w:r>
        <w:rPr>
          <w:rFonts w:hint="eastAsia" w:ascii="宋体" w:hAnsi="宋体" w:eastAsia="宋体" w:cs="宋体"/>
          <w:color w:val="000000"/>
          <w:sz w:val="21"/>
          <w:szCs w:val="21"/>
          <w:highlight w:val="none"/>
        </w:rPr>
        <w:t>4</w:t>
      </w:r>
      <w:bookmarkStart w:id="140" w:name="_Toc296346558"/>
      <w:bookmarkStart w:id="141" w:name="_Toc337558757"/>
      <w:bookmarkStart w:id="142" w:name="_Toc296503057"/>
      <w:r>
        <w:rPr>
          <w:rFonts w:hint="eastAsia" w:ascii="宋体" w:hAnsi="宋体" w:eastAsia="宋体" w:cs="宋体"/>
          <w:color w:val="000000"/>
          <w:sz w:val="21"/>
          <w:szCs w:val="21"/>
          <w:highlight w:val="none"/>
        </w:rPr>
        <w:t>.4 商定或确定</w:t>
      </w:r>
      <w:bookmarkEnd w:id="139"/>
    </w:p>
    <w:bookmarkEnd w:id="140"/>
    <w:bookmarkEnd w:id="141"/>
    <w:bookmarkEnd w:id="142"/>
    <w:p w14:paraId="0BCC550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合同当事人进行商定或确定时，总监理工程师应当会同合同当事人尽量通过协商达成一致，不能达成一致的，由总监理</w:t>
      </w:r>
      <w:r>
        <w:rPr>
          <w:rFonts w:hint="eastAsia" w:ascii="宋体" w:hAnsi="宋体" w:cs="宋体"/>
          <w:color w:val="000000"/>
          <w:sz w:val="21"/>
          <w:szCs w:val="21"/>
          <w:highlight w:val="none"/>
        </w:rPr>
        <w:t>工程师按照合同约定审慎做出公正的确定。</w:t>
      </w:r>
    </w:p>
    <w:p w14:paraId="54B043F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总监理工程师应将确定</w:t>
      </w:r>
      <w:r>
        <w:rPr>
          <w:rFonts w:hint="eastAsia" w:ascii="宋体" w:hAnsi="宋体" w:eastAsia="宋体" w:cs="宋体"/>
          <w:color w:val="000000"/>
          <w:sz w:val="21"/>
          <w:szCs w:val="21"/>
          <w:highlight w:val="none"/>
        </w:rPr>
        <w:t>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12951C9">
      <w:pPr>
        <w:autoSpaceDE w:val="0"/>
        <w:autoSpaceDN w:val="0"/>
        <w:spacing w:line="360" w:lineRule="auto"/>
        <w:ind w:firstLine="420" w:firstLineChars="200"/>
        <w:jc w:val="left"/>
        <w:rPr>
          <w:rFonts w:hint="default" w:ascii="宋体" w:hAnsi="宋体" w:eastAsia="宋体" w:cs="宋体"/>
          <w:b/>
          <w:bCs/>
          <w:color w:val="000000"/>
          <w:sz w:val="21"/>
          <w:szCs w:val="21"/>
          <w:highlight w:val="none"/>
        </w:rPr>
      </w:pPr>
      <w:bookmarkStart w:id="143" w:name="_Toc351203532"/>
      <w:r>
        <w:rPr>
          <w:rFonts w:hint="eastAsia" w:ascii="宋体" w:hAnsi="宋体" w:eastAsia="宋体" w:cs="宋体"/>
          <w:b/>
          <w:bCs/>
          <w:color w:val="000000"/>
          <w:sz w:val="21"/>
          <w:szCs w:val="21"/>
          <w:highlight w:val="none"/>
        </w:rPr>
        <w:t>5</w:t>
      </w:r>
      <w:bookmarkStart w:id="144" w:name="_Toc337558758"/>
      <w:r>
        <w:rPr>
          <w:rFonts w:hint="eastAsia" w:ascii="宋体" w:hAnsi="宋体" w:eastAsia="宋体" w:cs="宋体"/>
          <w:b/>
          <w:bCs/>
          <w:color w:val="000000"/>
          <w:sz w:val="21"/>
          <w:szCs w:val="21"/>
          <w:highlight w:val="none"/>
        </w:rPr>
        <w:t>. 工程质量</w:t>
      </w:r>
      <w:bookmarkEnd w:id="143"/>
    </w:p>
    <w:bookmarkEnd w:id="144"/>
    <w:p w14:paraId="004CA03B">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45" w:name="_Toc351203533"/>
      <w:r>
        <w:rPr>
          <w:rFonts w:hint="eastAsia" w:ascii="宋体" w:hAnsi="宋体" w:eastAsia="宋体" w:cs="宋体"/>
          <w:b/>
          <w:bCs/>
          <w:color w:val="000000"/>
          <w:sz w:val="21"/>
          <w:szCs w:val="21"/>
          <w:highlight w:val="none"/>
        </w:rPr>
        <w:t>5</w:t>
      </w:r>
      <w:bookmarkStart w:id="146" w:name="_Toc337558759"/>
      <w:r>
        <w:rPr>
          <w:rFonts w:hint="eastAsia" w:ascii="宋体" w:hAnsi="宋体" w:eastAsia="宋体" w:cs="宋体"/>
          <w:b/>
          <w:bCs/>
          <w:color w:val="000000"/>
          <w:sz w:val="21"/>
          <w:szCs w:val="21"/>
          <w:highlight w:val="none"/>
        </w:rPr>
        <w:t>.1质量要求</w:t>
      </w:r>
      <w:bookmarkEnd w:id="145"/>
    </w:p>
    <w:bookmarkEnd w:id="146"/>
    <w:p w14:paraId="2F6A2AED">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5.1.1 工程质量标准必须符合现行国家</w:t>
      </w:r>
      <w:r>
        <w:rPr>
          <w:rFonts w:hint="eastAsia" w:ascii="宋体" w:hAnsi="宋体" w:cs="宋体"/>
          <w:color w:val="000000"/>
          <w:sz w:val="21"/>
          <w:szCs w:val="21"/>
          <w:highlight w:val="none"/>
        </w:rPr>
        <w:t>有关工程施工质量验收规范和标准的要求。有关工程质</w:t>
      </w:r>
      <w:r>
        <w:rPr>
          <w:rFonts w:hint="eastAsia" w:ascii="宋体" w:hAnsi="宋体" w:eastAsia="宋体" w:cs="宋体"/>
          <w:color w:val="000000"/>
          <w:sz w:val="21"/>
          <w:szCs w:val="21"/>
          <w:highlight w:val="none"/>
        </w:rPr>
        <w:t>量的特殊标准或要求由合同当事人在专用合同条款中约定。</w:t>
      </w:r>
    </w:p>
    <w:p w14:paraId="65D4A3E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5.1.2 因发包人原因造成工程质量未达到合同约定标准的，由发包人承担由此增加的费用和（或）延误的工期，并支付承包人合理的利润。</w:t>
      </w:r>
    </w:p>
    <w:p w14:paraId="7442489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092689CC">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47" w:name="_Toc351203534"/>
      <w:r>
        <w:rPr>
          <w:rFonts w:hint="eastAsia" w:ascii="宋体" w:hAnsi="宋体" w:eastAsia="宋体" w:cs="宋体"/>
          <w:b/>
          <w:bCs/>
          <w:color w:val="000000"/>
          <w:sz w:val="21"/>
          <w:szCs w:val="21"/>
          <w:highlight w:val="none"/>
        </w:rPr>
        <w:t>5</w:t>
      </w:r>
      <w:bookmarkStart w:id="148" w:name="_Toc337558760"/>
      <w:r>
        <w:rPr>
          <w:rFonts w:hint="eastAsia" w:ascii="宋体" w:hAnsi="宋体" w:eastAsia="宋体" w:cs="宋体"/>
          <w:b/>
          <w:bCs/>
          <w:color w:val="000000"/>
          <w:sz w:val="21"/>
          <w:szCs w:val="21"/>
          <w:highlight w:val="none"/>
        </w:rPr>
        <w:t>.2质量保证措施</w:t>
      </w:r>
      <w:bookmarkEnd w:id="147"/>
    </w:p>
    <w:bookmarkEnd w:id="148"/>
    <w:p w14:paraId="151AAAA3">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5.2.1 发包人的质量管理</w:t>
      </w:r>
    </w:p>
    <w:p w14:paraId="5C800BEB">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发包人应按照法律规定及合同约定完成与工程质量有关的各项工作。</w:t>
      </w:r>
    </w:p>
    <w:p w14:paraId="2B8F5033">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5.2.2 承包人的质量管理</w:t>
      </w:r>
    </w:p>
    <w:p w14:paraId="4E76B43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2E2B24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承包人应对施工人员进行质量教育和技术培训，定期考核施工人员的劳动技能，严格执行施工规范和操作规程。</w:t>
      </w:r>
    </w:p>
    <w:p w14:paraId="699F93D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32334E7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5.2.3 监理人的质量检查和检验</w:t>
      </w:r>
    </w:p>
    <w:p w14:paraId="6AA3A74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16CB8C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bookmarkStart w:id="149" w:name="_Toc351203535"/>
    </w:p>
    <w:p w14:paraId="56D8CB3C">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5</w:t>
      </w:r>
      <w:bookmarkStart w:id="150" w:name="_Toc337558761"/>
      <w:r>
        <w:rPr>
          <w:rFonts w:hint="eastAsia" w:ascii="宋体" w:hAnsi="宋体" w:eastAsia="宋体" w:cs="宋体"/>
          <w:b/>
          <w:bCs/>
          <w:color w:val="000000"/>
          <w:sz w:val="21"/>
          <w:szCs w:val="21"/>
          <w:highlight w:val="none"/>
        </w:rPr>
        <w:t>.3 隐蔽工程检查</w:t>
      </w:r>
      <w:bookmarkEnd w:id="149"/>
    </w:p>
    <w:bookmarkEnd w:id="150"/>
    <w:p w14:paraId="52D57A0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5.3.1承包人自检</w:t>
      </w:r>
    </w:p>
    <w:p w14:paraId="1EFDB56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承包人应当对工程隐蔽部位进行自检，并经自检确认是否具备覆盖条件。</w:t>
      </w:r>
    </w:p>
    <w:p w14:paraId="48502AD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5.3.2检查程序</w:t>
      </w:r>
    </w:p>
    <w:p w14:paraId="3D579EE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103F2FF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5AB5627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70A26E1">
      <w:pPr>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cs="宋体"/>
          <w:color w:val="000000"/>
          <w:sz w:val="21"/>
          <w:szCs w:val="21"/>
          <w:highlight w:val="none"/>
        </w:rPr>
        <w:t>5.3.3 重新检查</w:t>
      </w:r>
    </w:p>
    <w:p w14:paraId="725535D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AB2E2A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5.3.4 承包人</w:t>
      </w:r>
      <w:r>
        <w:rPr>
          <w:rFonts w:hint="eastAsia" w:ascii="宋体" w:hAnsi="宋体" w:eastAsia="宋体" w:cs="宋体"/>
          <w:color w:val="000000"/>
          <w:sz w:val="21"/>
          <w:szCs w:val="21"/>
          <w:highlight w:val="none"/>
        </w:rPr>
        <w:t>私自覆盖</w:t>
      </w:r>
    </w:p>
    <w:p w14:paraId="4FAD83A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42BA6C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151" w:name="_Toc351203536"/>
      <w:r>
        <w:rPr>
          <w:rFonts w:hint="eastAsia" w:ascii="宋体" w:hAnsi="宋体" w:eastAsia="宋体" w:cs="宋体"/>
          <w:color w:val="000000"/>
          <w:sz w:val="21"/>
          <w:szCs w:val="21"/>
          <w:highlight w:val="none"/>
        </w:rPr>
        <w:t>5</w:t>
      </w:r>
      <w:bookmarkStart w:id="152" w:name="_Toc337558762"/>
      <w:r>
        <w:rPr>
          <w:rFonts w:hint="eastAsia" w:ascii="宋体" w:hAnsi="宋体" w:eastAsia="宋体" w:cs="宋体"/>
          <w:color w:val="000000"/>
          <w:sz w:val="21"/>
          <w:szCs w:val="21"/>
          <w:highlight w:val="none"/>
        </w:rPr>
        <w:t>.4不合格工程的处理</w:t>
      </w:r>
      <w:bookmarkEnd w:id="151"/>
    </w:p>
    <w:bookmarkEnd w:id="152"/>
    <w:p w14:paraId="5579640F">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75D3D1F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5.4.2 因发包人原因造成工程不合格的，由此增加的费用和（或）延误的工期由发包人承担，并支付承包人合理的利润。</w:t>
      </w:r>
    </w:p>
    <w:p w14:paraId="7ABAEAD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153" w:name="_Toc351203537"/>
      <w:r>
        <w:rPr>
          <w:rFonts w:hint="eastAsia" w:ascii="宋体" w:hAnsi="宋体" w:eastAsia="宋体" w:cs="宋体"/>
          <w:color w:val="000000"/>
          <w:sz w:val="21"/>
          <w:szCs w:val="21"/>
          <w:highlight w:val="none"/>
        </w:rPr>
        <w:t>5.5 质量争议检测</w:t>
      </w:r>
      <w:bookmarkEnd w:id="153"/>
    </w:p>
    <w:p w14:paraId="381669A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合同当事人对工程质量有争议的，由双方协商确定的工程质量检测机构鉴定，由此产生的费用及因此造成的损失，由责任方承担。</w:t>
      </w:r>
    </w:p>
    <w:p w14:paraId="7BE6023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合同当事人均</w:t>
      </w:r>
      <w:r>
        <w:rPr>
          <w:rFonts w:hint="eastAsia" w:ascii="宋体" w:hAnsi="宋体" w:eastAsia="宋体" w:cs="宋体"/>
          <w:color w:val="000000"/>
          <w:sz w:val="21"/>
          <w:szCs w:val="21"/>
          <w:highlight w:val="none"/>
        </w:rPr>
        <w:t>有责任的，由双方根据其责任分别承担。合同当事人无法达成一致的，按照第4.4款〔商定或确定〕执行。</w:t>
      </w:r>
    </w:p>
    <w:p w14:paraId="289EEFAF">
      <w:pPr>
        <w:autoSpaceDE w:val="0"/>
        <w:autoSpaceDN w:val="0"/>
        <w:spacing w:line="360" w:lineRule="auto"/>
        <w:ind w:firstLine="420" w:firstLineChars="200"/>
        <w:jc w:val="left"/>
        <w:rPr>
          <w:rFonts w:hint="default" w:ascii="宋体" w:hAnsi="宋体" w:eastAsia="宋体" w:cs="宋体"/>
          <w:color w:val="000000"/>
          <w:sz w:val="21"/>
          <w:szCs w:val="21"/>
          <w:highlight w:val="none"/>
        </w:rPr>
      </w:pPr>
      <w:bookmarkStart w:id="154" w:name="_Toc351203538"/>
      <w:r>
        <w:rPr>
          <w:rFonts w:hint="eastAsia" w:ascii="宋体" w:hAnsi="宋体" w:eastAsia="宋体" w:cs="宋体"/>
          <w:color w:val="000000"/>
          <w:sz w:val="21"/>
          <w:szCs w:val="21"/>
          <w:highlight w:val="none"/>
        </w:rPr>
        <w:t>6</w:t>
      </w:r>
      <w:bookmarkStart w:id="155" w:name="_Toc337558763"/>
      <w:r>
        <w:rPr>
          <w:rFonts w:hint="eastAsia" w:ascii="宋体" w:hAnsi="宋体" w:eastAsia="宋体" w:cs="宋体"/>
          <w:color w:val="000000"/>
          <w:sz w:val="21"/>
          <w:szCs w:val="21"/>
          <w:highlight w:val="none"/>
        </w:rPr>
        <w:t>. 安全文明施工与环境保护</w:t>
      </w:r>
      <w:bookmarkEnd w:id="154"/>
    </w:p>
    <w:bookmarkEnd w:id="155"/>
    <w:p w14:paraId="6C657573">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156" w:name="_Toc351203539"/>
      <w:r>
        <w:rPr>
          <w:rFonts w:hint="eastAsia" w:ascii="宋体" w:hAnsi="宋体" w:eastAsia="宋体" w:cs="宋体"/>
          <w:color w:val="000000"/>
          <w:sz w:val="21"/>
          <w:szCs w:val="21"/>
          <w:highlight w:val="none"/>
        </w:rPr>
        <w:t>6</w:t>
      </w:r>
      <w:bookmarkStart w:id="157" w:name="_Toc337558764"/>
      <w:r>
        <w:rPr>
          <w:rFonts w:hint="eastAsia" w:ascii="宋体" w:hAnsi="宋体" w:eastAsia="宋体" w:cs="宋体"/>
          <w:color w:val="000000"/>
          <w:sz w:val="21"/>
          <w:szCs w:val="21"/>
          <w:highlight w:val="none"/>
        </w:rPr>
        <w:t>.1安全文明施工</w:t>
      </w:r>
      <w:bookmarkEnd w:id="156"/>
    </w:p>
    <w:bookmarkEnd w:id="157"/>
    <w:p w14:paraId="6E2E661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6.1.1安全生产要求</w:t>
      </w:r>
    </w:p>
    <w:p w14:paraId="4DFF84B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合同履行期间，合同当事人均应当遵守国家和工程所在地有关安全生产的要求，合同当事人有特别要求的，应在</w:t>
      </w:r>
      <w:r>
        <w:rPr>
          <w:rFonts w:hint="eastAsia" w:ascii="宋体" w:hAnsi="宋体" w:cs="宋体"/>
          <w:color w:val="000000"/>
          <w:sz w:val="21"/>
          <w:szCs w:val="21"/>
          <w:highlight w:val="none"/>
        </w:rPr>
        <w:t>专用合同条款中明确施工项目安全生产标准化达标目标及相应事项。承包人有权拒绝发包人及监理人强令承包人违章作业、冒险施工的任何指示。</w:t>
      </w:r>
    </w:p>
    <w:p w14:paraId="0513198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40288F34">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因安全生产需要暂停施工的，按照第7.8款〔暂停施工〕的约定执行。</w:t>
      </w:r>
    </w:p>
    <w:p w14:paraId="157AC47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6.1.2 安全生产保证措施</w:t>
      </w:r>
    </w:p>
    <w:p w14:paraId="23ACF91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64260FC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6.1.3特别安全生产事项</w:t>
      </w:r>
    </w:p>
    <w:p w14:paraId="6885901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6391AE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74DD8904">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0E08808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需单独编制危险性较大分部分项专项工程施工方案的，及要求进行专家论证的超过一定规模的危险性较大的分部分项工程，承包人应及时编制和组织论证。</w:t>
      </w:r>
    </w:p>
    <w:p w14:paraId="7C71909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6.1.4 治安保卫</w:t>
      </w:r>
    </w:p>
    <w:p w14:paraId="3F4D842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20744470">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发包人和承包人除应协助现场治安管理机构或联防组织维护施工场地的社会治安外，还应做好包括生活区在内的各自管辖区的治安保卫工作。</w:t>
      </w:r>
    </w:p>
    <w:p w14:paraId="406E087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CCA7FA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6.1.5 文明施工</w:t>
      </w:r>
    </w:p>
    <w:p w14:paraId="36F11AD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1E15CF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9CA744B">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6.1.6 安全文明施工费</w:t>
      </w:r>
    </w:p>
    <w:p w14:paraId="74E4CAE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16890F0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4842A4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3C96AA9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9F5AC2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6.1.7 紧急情况处理</w:t>
      </w:r>
    </w:p>
    <w:p w14:paraId="3C3E871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73C113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6.1.8 事故处理</w:t>
      </w:r>
    </w:p>
    <w:p w14:paraId="273A734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7D6C50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6.1.9 安全生产责任</w:t>
      </w:r>
    </w:p>
    <w:p w14:paraId="0BA1270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6.1.9.1 发包人的安全责任</w:t>
      </w:r>
    </w:p>
    <w:p w14:paraId="3610AF4B">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发包人应负责赔偿以下各种情况造成的损失：</w:t>
      </w:r>
    </w:p>
    <w:p w14:paraId="1AF1D90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（1）工程或工程的任何部分对土地的占用所造成的第三者财产损失；</w:t>
      </w:r>
    </w:p>
    <w:p w14:paraId="316A4B47">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（2）由于发包人原因在施工场地及其毗邻地带造成的第三者人身伤亡和财产损失；</w:t>
      </w:r>
    </w:p>
    <w:p w14:paraId="0AC1459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（3）由于发包人原因对承包人、监理人造成的人员人身伤亡和财产损失；</w:t>
      </w:r>
    </w:p>
    <w:p w14:paraId="079DE460">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（4）由于发包人原因造成的发包人自身人员的人身伤害以及财产损失。</w:t>
      </w:r>
    </w:p>
    <w:p w14:paraId="5220672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6.1.9.2 承包人的安全责任</w:t>
      </w:r>
    </w:p>
    <w:p w14:paraId="23F2AAC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由于承包人原因在施工场地内及其毗邻地带造成的发包人、监理人以及第三者人员伤亡和财产损失，由承包人负责赔偿。</w:t>
      </w:r>
      <w:bookmarkStart w:id="158" w:name="_Toc351203540"/>
    </w:p>
    <w:p w14:paraId="6E44E9E6">
      <w:pPr>
        <w:spacing w:line="360" w:lineRule="auto"/>
        <w:ind w:firstLine="420" w:firstLineChars="200"/>
        <w:rPr>
          <w:rFonts w:ascii="宋体" w:hAnsi="宋体" w:cs="宋体"/>
          <w:b/>
          <w:color w:val="000000"/>
          <w:sz w:val="21"/>
          <w:szCs w:val="21"/>
          <w:highlight w:val="none"/>
        </w:rPr>
      </w:pPr>
      <w:r>
        <w:rPr>
          <w:rFonts w:hint="eastAsia" w:ascii="宋体" w:hAnsi="宋体" w:cs="宋体"/>
          <w:color w:val="000000"/>
          <w:sz w:val="21"/>
          <w:szCs w:val="21"/>
          <w:highlight w:val="none"/>
        </w:rPr>
        <w:t>6</w:t>
      </w:r>
      <w:bookmarkStart w:id="159" w:name="_Toc337558765"/>
      <w:r>
        <w:rPr>
          <w:rFonts w:hint="eastAsia" w:ascii="宋体" w:hAnsi="宋体" w:cs="宋体"/>
          <w:color w:val="000000"/>
          <w:sz w:val="21"/>
          <w:szCs w:val="21"/>
          <w:highlight w:val="none"/>
        </w:rPr>
        <w:t>.2 职业健康</w:t>
      </w:r>
      <w:bookmarkEnd w:id="158"/>
    </w:p>
    <w:bookmarkEnd w:id="159"/>
    <w:p w14:paraId="670B7B3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6.2.1 劳动保护</w:t>
      </w:r>
    </w:p>
    <w:p w14:paraId="5148167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216B1C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1B2398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5D38418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6.2.2 生活条件</w:t>
      </w:r>
    </w:p>
    <w:p w14:paraId="5C960D9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w:t>
      </w:r>
      <w:r>
        <w:rPr>
          <w:rFonts w:hint="eastAsia" w:ascii="宋体" w:hAnsi="宋体" w:eastAsia="宋体" w:cs="宋体"/>
          <w:color w:val="000000"/>
          <w:sz w:val="21"/>
          <w:szCs w:val="21"/>
          <w:highlight w:val="none"/>
        </w:rPr>
        <w:t>病防治和急救的医务人员与医疗设施。</w:t>
      </w:r>
    </w:p>
    <w:p w14:paraId="5B45A75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160" w:name="_Toc351203541"/>
      <w:r>
        <w:rPr>
          <w:rFonts w:hint="eastAsia" w:ascii="宋体" w:hAnsi="宋体" w:eastAsia="宋体" w:cs="宋体"/>
          <w:color w:val="000000"/>
          <w:sz w:val="21"/>
          <w:szCs w:val="21"/>
          <w:highlight w:val="none"/>
        </w:rPr>
        <w:t>6</w:t>
      </w:r>
      <w:bookmarkStart w:id="161" w:name="_Toc337558766"/>
      <w:r>
        <w:rPr>
          <w:rFonts w:hint="eastAsia" w:ascii="宋体" w:hAnsi="宋体" w:eastAsia="宋体" w:cs="宋体"/>
          <w:color w:val="000000"/>
          <w:sz w:val="21"/>
          <w:szCs w:val="21"/>
          <w:highlight w:val="none"/>
        </w:rPr>
        <w:t>.3 环境保护</w:t>
      </w:r>
      <w:bookmarkEnd w:id="160"/>
    </w:p>
    <w:bookmarkEnd w:id="161"/>
    <w:p w14:paraId="1CB77D7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606D0A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承包人应当承担因其原因引起的环境污染侵权损害赔偿责任，因上述环境污染引起纠纷而导致暂停施工的，由此增加的费用和（或）延误的工期由承包人承担。</w:t>
      </w:r>
    </w:p>
    <w:p w14:paraId="291DF574">
      <w:pPr>
        <w:autoSpaceDE w:val="0"/>
        <w:autoSpaceDN w:val="0"/>
        <w:spacing w:line="360" w:lineRule="auto"/>
        <w:ind w:firstLine="420" w:firstLineChars="200"/>
        <w:jc w:val="left"/>
        <w:rPr>
          <w:rFonts w:hint="default" w:ascii="宋体" w:hAnsi="宋体" w:eastAsia="宋体" w:cs="宋体"/>
          <w:color w:val="000000"/>
          <w:sz w:val="21"/>
          <w:szCs w:val="21"/>
          <w:highlight w:val="none"/>
        </w:rPr>
      </w:pPr>
      <w:bookmarkStart w:id="162" w:name="_Toc351203542"/>
      <w:bookmarkStart w:id="163" w:name="_Toc337558767"/>
      <w:r>
        <w:rPr>
          <w:rFonts w:hint="eastAsia" w:ascii="宋体" w:hAnsi="宋体" w:eastAsia="宋体" w:cs="宋体"/>
          <w:color w:val="000000"/>
          <w:sz w:val="21"/>
          <w:szCs w:val="21"/>
          <w:highlight w:val="none"/>
        </w:rPr>
        <w:t>工期和进度</w:t>
      </w:r>
      <w:bookmarkEnd w:id="162"/>
      <w:bookmarkEnd w:id="163"/>
      <w:bookmarkStart w:id="164" w:name="_Toc351203543"/>
    </w:p>
    <w:p w14:paraId="6F8D1BA2">
      <w:pPr>
        <w:autoSpaceDE w:val="0"/>
        <w:autoSpaceDN w:val="0"/>
        <w:spacing w:line="360" w:lineRule="auto"/>
        <w:ind w:firstLine="420" w:firstLineChars="200"/>
        <w:jc w:val="left"/>
        <w:rPr>
          <w:rFonts w:hint="default"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7</w:t>
      </w:r>
      <w:bookmarkStart w:id="165" w:name="_Toc337558768"/>
      <w:bookmarkStart w:id="166" w:name="_Toc296503066"/>
      <w:bookmarkStart w:id="167" w:name="_Toc296346567"/>
      <w:r>
        <w:rPr>
          <w:rFonts w:hint="eastAsia" w:ascii="宋体" w:hAnsi="宋体" w:eastAsia="宋体" w:cs="宋体"/>
          <w:b/>
          <w:bCs/>
          <w:color w:val="000000"/>
          <w:sz w:val="21"/>
          <w:szCs w:val="21"/>
          <w:highlight w:val="none"/>
        </w:rPr>
        <w:t>.1施工组织设计</w:t>
      </w:r>
      <w:bookmarkEnd w:id="164"/>
    </w:p>
    <w:bookmarkEnd w:id="165"/>
    <w:p w14:paraId="604A6E43">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7.1.1施工组织设计的内容</w:t>
      </w:r>
    </w:p>
    <w:p w14:paraId="28889443">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施工组织设计应包含以下内容：</w:t>
      </w:r>
    </w:p>
    <w:p w14:paraId="4B8968E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（1）根据供应商提供的施工整体方案，包括但不限于：①施工组织整体方案；②分部分项施工方案；③方案针对性；④施工段划分</w:t>
      </w:r>
      <w:r>
        <w:rPr>
          <w:rFonts w:hint="eastAsia" w:ascii="宋体" w:hAnsi="宋体" w:cs="宋体"/>
          <w:color w:val="000000"/>
          <w:sz w:val="21"/>
          <w:szCs w:val="21"/>
          <w:highlight w:val="none"/>
        </w:rPr>
        <w:t xml:space="preserve">； </w:t>
      </w:r>
    </w:p>
    <w:p w14:paraId="14C0A6F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（2）根据供应商提供的确保工程质量的技术组织措施，包括但不限于：①质量体系；②质量保证措施；</w:t>
      </w:r>
    </w:p>
    <w:p w14:paraId="1C4F151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 xml:space="preserve">（3）根据供应商提供的项目工期的技术组织措施，包括但不限于：①工期进度计划；②进度表；③工程工期保障措施； </w:t>
      </w:r>
    </w:p>
    <w:p w14:paraId="7458DA3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（4）根据供应商提供的安全文明施工措施及环境保护措施，包括但不限于：①安全文明施工措施；②安全文明管理体系；③环境保护措施；④环境保护体系；</w:t>
      </w:r>
    </w:p>
    <w:p w14:paraId="6884912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（5）根据供应商提供的关键施工技术、工艺及工程实施的重点、难点和解决方案，包括但不限于：①本工程的关键施工技术、工艺；②本工程的重点、难点；③重点、难点解决方案；</w:t>
      </w:r>
    </w:p>
    <w:p w14:paraId="02636A7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（6）根据供应商提供的针对本项目的机械设备和材料投入计划及保证措施，包括但不限于：①机械设备和材料投入计划；②保证措施；</w:t>
      </w:r>
    </w:p>
    <w:p w14:paraId="341236E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（7）根据供应商提供的工程验收方案，根据方案的完整性、针对性和可操作性；</w:t>
      </w:r>
    </w:p>
    <w:p w14:paraId="1B1D942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（8）根据供应商提供的突发、应急事项处理举措；</w:t>
      </w:r>
    </w:p>
    <w:p w14:paraId="55362D9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Theme="minorEastAsia" w:hAnsiTheme="minorEastAsia" w:cstheme="minorEastAsia"/>
          <w:sz w:val="21"/>
          <w:szCs w:val="21"/>
          <w:highlight w:val="none"/>
        </w:rPr>
        <w:t>（</w:t>
      </w:r>
      <w:r>
        <w:rPr>
          <w:rFonts w:hint="eastAsia" w:asciiTheme="minorEastAsia" w:hAnsiTheme="minorEastAsia" w:cstheme="minorEastAsia"/>
          <w:sz w:val="21"/>
          <w:szCs w:val="21"/>
          <w:highlight w:val="none"/>
          <w:lang w:val="en-US" w:eastAsia="zh-CN"/>
        </w:rPr>
        <w:t>9</w:t>
      </w:r>
      <w:r>
        <w:rPr>
          <w:rFonts w:hint="eastAsia" w:asciiTheme="minorEastAsia" w:hAnsiTheme="minorEastAsia" w:cstheme="minorEastAsia"/>
          <w:sz w:val="21"/>
          <w:szCs w:val="21"/>
          <w:highlight w:val="none"/>
        </w:rPr>
        <w:t>）</w:t>
      </w:r>
      <w:r>
        <w:rPr>
          <w:rFonts w:hint="eastAsia" w:ascii="宋体" w:hAnsi="宋体" w:cs="宋体"/>
          <w:color w:val="000000"/>
          <w:sz w:val="21"/>
          <w:szCs w:val="21"/>
          <w:highlight w:val="none"/>
        </w:rPr>
        <w:t>合同当事人约定的其他内容。</w:t>
      </w:r>
    </w:p>
    <w:p w14:paraId="5647599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7.1.2施工组织设计的提交和修改</w:t>
      </w:r>
    </w:p>
    <w:p w14:paraId="5C331E3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除专</w:t>
      </w:r>
      <w:r>
        <w:rPr>
          <w:rFonts w:hint="eastAsia" w:ascii="宋体" w:hAnsi="宋体" w:eastAsia="宋体" w:cs="宋体"/>
          <w:color w:val="000000"/>
          <w:sz w:val="21"/>
          <w:szCs w:val="21"/>
          <w:highlight w:val="none"/>
        </w:rPr>
        <w:t>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80B467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施工进度计划的编制和修改按照第7.2款〔施工进度计划〕执行。</w:t>
      </w:r>
    </w:p>
    <w:p w14:paraId="018187AC">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68" w:name="_Toc351203544"/>
      <w:r>
        <w:rPr>
          <w:rFonts w:hint="eastAsia" w:ascii="宋体" w:hAnsi="宋体" w:eastAsia="宋体" w:cs="宋体"/>
          <w:b/>
          <w:bCs/>
          <w:color w:val="000000"/>
          <w:sz w:val="21"/>
          <w:szCs w:val="21"/>
          <w:highlight w:val="none"/>
        </w:rPr>
        <w:t>7</w:t>
      </w:r>
      <w:bookmarkStart w:id="169" w:name="_Toc337558769"/>
      <w:r>
        <w:rPr>
          <w:rFonts w:hint="eastAsia" w:ascii="宋体" w:hAnsi="宋体" w:eastAsia="宋体" w:cs="宋体"/>
          <w:b/>
          <w:bCs/>
          <w:color w:val="000000"/>
          <w:sz w:val="21"/>
          <w:szCs w:val="21"/>
          <w:highlight w:val="none"/>
        </w:rPr>
        <w:t>.2 施工进度计划</w:t>
      </w:r>
      <w:bookmarkEnd w:id="168"/>
    </w:p>
    <w:bookmarkEnd w:id="169"/>
    <w:p w14:paraId="0CE4AAF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7.2.1 施工进度计划的编制</w:t>
      </w:r>
    </w:p>
    <w:p w14:paraId="1DE6850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承包人应按照第7.1款〔施工组织设计〕约定提交详细的施工进度计划，施工进度计划的编制应当符合国家</w:t>
      </w:r>
      <w:r>
        <w:rPr>
          <w:rFonts w:hint="eastAsia" w:ascii="宋体" w:hAnsi="宋体" w:cs="宋体"/>
          <w:color w:val="000000"/>
          <w:sz w:val="21"/>
          <w:szCs w:val="21"/>
          <w:highlight w:val="none"/>
        </w:rPr>
        <w:t>法律规定和一般工程实践惯例，施工进度计划经发包人批准后实施。施工进度计划是控制工程进度的依据，发包人和监理人有权按照施工进度计划检查工程进度情况。</w:t>
      </w:r>
    </w:p>
    <w:p w14:paraId="4498634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7.2.2 施工进度计划的修订</w:t>
      </w:r>
    </w:p>
    <w:p w14:paraId="5BAF9B9D">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施工进度计划不符合合同要求或与工程的实际进度不一致的，承包人应向监理人提交修订的施工进度计划，并附具有关措施和相关资料，由监理人报送发包人。除专用合同条</w:t>
      </w:r>
      <w:r>
        <w:rPr>
          <w:rFonts w:hint="eastAsia" w:ascii="宋体" w:hAnsi="宋体" w:eastAsia="宋体" w:cs="宋体"/>
          <w:color w:val="000000"/>
          <w:sz w:val="21"/>
          <w:szCs w:val="21"/>
          <w:highlight w:val="none"/>
        </w:rPr>
        <w:t>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E5683E9">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70" w:name="_Toc351203545"/>
      <w:r>
        <w:rPr>
          <w:rFonts w:hint="eastAsia" w:ascii="宋体" w:hAnsi="宋体" w:eastAsia="宋体" w:cs="宋体"/>
          <w:b/>
          <w:bCs/>
          <w:color w:val="000000"/>
          <w:sz w:val="21"/>
          <w:szCs w:val="21"/>
          <w:highlight w:val="none"/>
        </w:rPr>
        <w:t>7</w:t>
      </w:r>
      <w:bookmarkStart w:id="171" w:name="_Toc337558770"/>
      <w:r>
        <w:rPr>
          <w:rFonts w:hint="eastAsia" w:ascii="宋体" w:hAnsi="宋体" w:eastAsia="宋体" w:cs="宋体"/>
          <w:b/>
          <w:bCs/>
          <w:color w:val="000000"/>
          <w:sz w:val="21"/>
          <w:szCs w:val="21"/>
          <w:highlight w:val="none"/>
        </w:rPr>
        <w:t>.3 开工</w:t>
      </w:r>
      <w:bookmarkEnd w:id="170"/>
    </w:p>
    <w:p w14:paraId="5F9DF43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7.3.1 开工准备</w:t>
      </w:r>
    </w:p>
    <w:p w14:paraId="5247FCE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w:t>
      </w:r>
      <w:r>
        <w:rPr>
          <w:rFonts w:hint="eastAsia" w:ascii="宋体" w:hAnsi="宋体" w:cs="宋体"/>
          <w:color w:val="000000"/>
          <w:sz w:val="21"/>
          <w:szCs w:val="21"/>
          <w:highlight w:val="none"/>
        </w:rPr>
        <w:t>实情况以及工程的进度安排。</w:t>
      </w:r>
    </w:p>
    <w:p w14:paraId="1B49AA6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除专用合同条款另有约定外，合同当事人应按约定完成开工准备工作。</w:t>
      </w:r>
    </w:p>
    <w:p w14:paraId="1B2E11A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7.3.2 开工通知</w:t>
      </w:r>
    </w:p>
    <w:bookmarkEnd w:id="171"/>
    <w:p w14:paraId="5532E60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1BD620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除专用</w:t>
      </w:r>
      <w:r>
        <w:rPr>
          <w:rFonts w:hint="eastAsia" w:ascii="宋体" w:hAnsi="宋体" w:eastAsia="宋体" w:cs="宋体"/>
          <w:color w:val="000000"/>
          <w:sz w:val="21"/>
          <w:szCs w:val="21"/>
          <w:highlight w:val="none"/>
        </w:rPr>
        <w:t>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251825F0">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72" w:name="_Toc351203546"/>
      <w:r>
        <w:rPr>
          <w:rFonts w:hint="eastAsia" w:ascii="宋体" w:hAnsi="宋体" w:eastAsia="宋体" w:cs="宋体"/>
          <w:b/>
          <w:bCs/>
          <w:color w:val="000000"/>
          <w:sz w:val="21"/>
          <w:szCs w:val="21"/>
          <w:highlight w:val="none"/>
        </w:rPr>
        <w:t>7.4测量放线</w:t>
      </w:r>
      <w:bookmarkEnd w:id="172"/>
    </w:p>
    <w:p w14:paraId="3B38B12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7.4.1 除专用合同条款另有约定外，发包人应在至迟不得晚于第7.3.2项〔开工通知〕载明的开工日</w:t>
      </w:r>
      <w:r>
        <w:rPr>
          <w:rFonts w:hint="eastAsia" w:ascii="宋体" w:hAnsi="宋体" w:cs="宋体"/>
          <w:color w:val="000000"/>
          <w:sz w:val="21"/>
          <w:szCs w:val="21"/>
          <w:highlight w:val="none"/>
        </w:rPr>
        <w:t>期前7天通过监理人向承包人提供测量基准点、基准线和水准点及其书面</w:t>
      </w:r>
      <w:r>
        <w:rPr>
          <w:rFonts w:hint="eastAsia" w:ascii="宋体" w:hAnsi="宋体" w:eastAsia="宋体" w:cs="宋体"/>
          <w:color w:val="000000"/>
          <w:sz w:val="21"/>
          <w:szCs w:val="21"/>
          <w:highlight w:val="none"/>
        </w:rPr>
        <w:t>资料。发包人应对其提供的测量基准点、基准线和水准点及其书面资料的真实性、准确性和完整性负责。</w:t>
      </w:r>
    </w:p>
    <w:p w14:paraId="5A326E8D">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A56D65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0BD3CC7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施工过程中对施工现场内水准点等测量标志物的保护工作由承包人负责。</w:t>
      </w:r>
      <w:bookmarkStart w:id="173" w:name="_Toc351203547"/>
    </w:p>
    <w:p w14:paraId="26346F11">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7</w:t>
      </w:r>
      <w:bookmarkEnd w:id="166"/>
      <w:bookmarkEnd w:id="167"/>
      <w:bookmarkStart w:id="174" w:name="_Toc296503073"/>
      <w:bookmarkStart w:id="175" w:name="_Toc337558772"/>
      <w:bookmarkStart w:id="176" w:name="_Toc296346574"/>
      <w:r>
        <w:rPr>
          <w:rFonts w:hint="eastAsia" w:ascii="宋体" w:hAnsi="宋体" w:eastAsia="宋体" w:cs="宋体"/>
          <w:b/>
          <w:bCs/>
          <w:color w:val="000000"/>
          <w:sz w:val="21"/>
          <w:szCs w:val="21"/>
          <w:highlight w:val="none"/>
        </w:rPr>
        <w:t>.5工期延误</w:t>
      </w:r>
      <w:bookmarkEnd w:id="173"/>
    </w:p>
    <w:bookmarkEnd w:id="174"/>
    <w:bookmarkEnd w:id="175"/>
    <w:bookmarkEnd w:id="176"/>
    <w:p w14:paraId="44E042DF">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7.5.1 因发包人原因导致工期延误</w:t>
      </w:r>
    </w:p>
    <w:p w14:paraId="60786B9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在合同履行过程中，因下列情况导致工期延误和（或）费用增加的，由发包人承担由此延误的工期</w:t>
      </w:r>
      <w:r>
        <w:rPr>
          <w:rFonts w:hint="eastAsia" w:ascii="宋体" w:hAnsi="宋体" w:cs="宋体"/>
          <w:color w:val="000000"/>
          <w:sz w:val="21"/>
          <w:szCs w:val="21"/>
          <w:highlight w:val="none"/>
        </w:rPr>
        <w:t xml:space="preserve">和（或）增加的费用，且发包人应支付承包人合理的利润： </w:t>
      </w:r>
    </w:p>
    <w:p w14:paraId="2655937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（1）发包人未能按合同约定提供图纸或所提供图纸不符合合同约定的；</w:t>
      </w:r>
    </w:p>
    <w:p w14:paraId="7CEA918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（2）发包人未能按合同约定提供施工现场、施工条件、基础资料、许可、批准等开工条件的；</w:t>
      </w:r>
    </w:p>
    <w:p w14:paraId="15A9B94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（3）发包人提供的测量基准点、基准线和水准点及其书面资料存在错误或疏漏的；</w:t>
      </w:r>
    </w:p>
    <w:p w14:paraId="50B4361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（4）发包人未能在计划开工日期之日起7天内同意下达开工通知的；</w:t>
      </w:r>
    </w:p>
    <w:p w14:paraId="38AF225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（5）发包人未能按合同约定日期支付工程预付款、进度款或竣工结算款的；</w:t>
      </w:r>
    </w:p>
    <w:p w14:paraId="242E356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（6）监理人未按合同约定发出指示、批准等文件的；</w:t>
      </w:r>
    </w:p>
    <w:p w14:paraId="0788A29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（7）专用合同条款中约定的其他情形。</w:t>
      </w:r>
    </w:p>
    <w:p w14:paraId="599971D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693BA37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7.5.2 因承包人原因导致工期延误</w:t>
      </w:r>
    </w:p>
    <w:p w14:paraId="4711893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177" w:name="_Toc296346577"/>
      <w:bookmarkStart w:id="178" w:name="_Toc296503076"/>
      <w:r>
        <w:rPr>
          <w:rFonts w:hint="eastAsia" w:ascii="宋体" w:hAnsi="宋体" w:cs="宋体"/>
          <w:color w:val="000000"/>
          <w:sz w:val="21"/>
          <w:szCs w:val="21"/>
          <w:highlight w:val="none"/>
        </w:rPr>
        <w:t>因</w:t>
      </w:r>
      <w:bookmarkEnd w:id="177"/>
      <w:bookmarkEnd w:id="178"/>
      <w:r>
        <w:rPr>
          <w:rFonts w:hint="eastAsia" w:ascii="宋体" w:hAnsi="宋体" w:cs="宋体"/>
          <w:color w:val="000000"/>
          <w:sz w:val="21"/>
          <w:szCs w:val="21"/>
          <w:highlight w:val="none"/>
        </w:rPr>
        <w:t>承包人原因造成工期延误的，可以在专用合同条款中约定逾期竣工违约金的计算方法和</w:t>
      </w:r>
      <w:r>
        <w:rPr>
          <w:rFonts w:hint="eastAsia" w:ascii="宋体" w:hAnsi="宋体" w:eastAsia="宋体" w:cs="宋体"/>
          <w:color w:val="000000"/>
          <w:sz w:val="21"/>
          <w:szCs w:val="21"/>
          <w:highlight w:val="none"/>
        </w:rPr>
        <w:t>逾期竣工违约金的上限。承包人支付逾期竣工违约金后，不免除承包人继续完成工程及修补缺陷的义务。</w:t>
      </w:r>
    </w:p>
    <w:p w14:paraId="61800266">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79" w:name="_Toc351203548"/>
      <w:r>
        <w:rPr>
          <w:rFonts w:hint="eastAsia" w:ascii="宋体" w:hAnsi="宋体" w:eastAsia="宋体" w:cs="宋体"/>
          <w:b/>
          <w:bCs/>
          <w:color w:val="000000"/>
          <w:sz w:val="21"/>
          <w:szCs w:val="21"/>
          <w:highlight w:val="none"/>
        </w:rPr>
        <w:t>7</w:t>
      </w:r>
      <w:bookmarkStart w:id="180" w:name="_Toc296346575"/>
      <w:bookmarkStart w:id="181" w:name="_Toc296503074"/>
      <w:bookmarkStart w:id="182" w:name="_Toc337558773"/>
      <w:bookmarkStart w:id="183" w:name="_Toc296503077"/>
      <w:bookmarkStart w:id="184" w:name="_Toc296346578"/>
      <w:r>
        <w:rPr>
          <w:rFonts w:hint="eastAsia" w:ascii="宋体" w:hAnsi="宋体" w:eastAsia="宋体" w:cs="宋体"/>
          <w:b/>
          <w:bCs/>
          <w:color w:val="000000"/>
          <w:sz w:val="21"/>
          <w:szCs w:val="21"/>
          <w:highlight w:val="none"/>
        </w:rPr>
        <w:t>.6 不利物质条件</w:t>
      </w:r>
      <w:bookmarkEnd w:id="179"/>
    </w:p>
    <w:bookmarkEnd w:id="180"/>
    <w:bookmarkEnd w:id="181"/>
    <w:bookmarkEnd w:id="182"/>
    <w:p w14:paraId="153CF85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E27C2D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承包人遇到不利</w:t>
      </w:r>
      <w:r>
        <w:rPr>
          <w:rFonts w:hint="eastAsia" w:ascii="宋体" w:hAnsi="宋体" w:cs="宋体"/>
          <w:color w:val="000000"/>
          <w:sz w:val="21"/>
          <w:szCs w:val="21"/>
          <w:highlight w:val="none"/>
        </w:rPr>
        <w:t>物质条件时，应采取克服不利物质条件的合理措施继续施工，并及时通知</w:t>
      </w:r>
      <w:r>
        <w:rPr>
          <w:rFonts w:hint="eastAsia" w:ascii="宋体" w:hAnsi="宋体" w:eastAsia="宋体" w:cs="宋体"/>
          <w:color w:val="000000"/>
          <w:sz w:val="21"/>
          <w:szCs w:val="21"/>
          <w:highlight w:val="none"/>
        </w:rPr>
        <w:t>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BF59785">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185" w:name="_Toc351203549"/>
      <w:r>
        <w:rPr>
          <w:rFonts w:hint="eastAsia" w:ascii="宋体" w:hAnsi="宋体" w:eastAsia="宋体" w:cs="宋体"/>
          <w:b/>
          <w:bCs/>
          <w:color w:val="000000"/>
          <w:sz w:val="21"/>
          <w:szCs w:val="21"/>
          <w:highlight w:val="none"/>
        </w:rPr>
        <w:t>7</w:t>
      </w:r>
      <w:bookmarkStart w:id="186" w:name="_Toc337558774"/>
      <w:bookmarkStart w:id="187" w:name="_Toc296346576"/>
      <w:bookmarkStart w:id="188" w:name="_Toc296503075"/>
      <w:r>
        <w:rPr>
          <w:rFonts w:hint="eastAsia" w:ascii="宋体" w:hAnsi="宋体" w:eastAsia="宋体" w:cs="宋体"/>
          <w:b/>
          <w:bCs/>
          <w:color w:val="000000"/>
          <w:sz w:val="21"/>
          <w:szCs w:val="21"/>
          <w:highlight w:val="none"/>
        </w:rPr>
        <w:t>.7异常恶劣的气候条件</w:t>
      </w:r>
      <w:bookmarkEnd w:id="185"/>
    </w:p>
    <w:bookmarkEnd w:id="186"/>
    <w:bookmarkEnd w:id="187"/>
    <w:bookmarkEnd w:id="188"/>
    <w:p w14:paraId="71AEFBB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w:t>
      </w:r>
      <w:r>
        <w:rPr>
          <w:rFonts w:hint="eastAsia" w:ascii="宋体" w:hAnsi="宋体" w:cs="宋体"/>
          <w:color w:val="000000"/>
          <w:sz w:val="21"/>
          <w:szCs w:val="21"/>
          <w:highlight w:val="none"/>
        </w:rPr>
        <w:t>用合同条款中约定异常恶劣的气候条件的具体情形。</w:t>
      </w:r>
    </w:p>
    <w:p w14:paraId="73B426C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9" w:name="_Toc351203550"/>
    </w:p>
    <w:p w14:paraId="7A57A1D0">
      <w:pPr>
        <w:autoSpaceDE w:val="0"/>
        <w:autoSpaceDN w:val="0"/>
        <w:spacing w:line="360" w:lineRule="auto"/>
        <w:ind w:firstLine="420" w:firstLineChars="200"/>
        <w:jc w:val="left"/>
        <w:rPr>
          <w:rFonts w:ascii="宋体" w:hAnsi="宋体" w:cs="宋体"/>
          <w:b/>
          <w:bCs w:val="0"/>
          <w:color w:val="000000"/>
          <w:sz w:val="21"/>
          <w:szCs w:val="21"/>
          <w:highlight w:val="none"/>
        </w:rPr>
      </w:pPr>
      <w:r>
        <w:rPr>
          <w:rFonts w:hint="eastAsia" w:ascii="宋体" w:hAnsi="宋体" w:cs="宋体"/>
          <w:b/>
          <w:bCs w:val="0"/>
          <w:color w:val="000000"/>
          <w:sz w:val="21"/>
          <w:szCs w:val="21"/>
          <w:highlight w:val="none"/>
        </w:rPr>
        <w:t>7</w:t>
      </w:r>
      <w:bookmarkStart w:id="190" w:name="_Toc337558775"/>
      <w:r>
        <w:rPr>
          <w:rFonts w:hint="eastAsia" w:ascii="宋体" w:hAnsi="宋体" w:cs="宋体"/>
          <w:b/>
          <w:bCs w:val="0"/>
          <w:color w:val="000000"/>
          <w:sz w:val="21"/>
          <w:szCs w:val="21"/>
          <w:highlight w:val="none"/>
        </w:rPr>
        <w:t>.8暂停施工</w:t>
      </w:r>
      <w:bookmarkEnd w:id="189"/>
    </w:p>
    <w:bookmarkEnd w:id="183"/>
    <w:bookmarkEnd w:id="184"/>
    <w:bookmarkEnd w:id="190"/>
    <w:p w14:paraId="3E490DD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7.8.1发包人原因引起的暂停施工</w:t>
      </w:r>
    </w:p>
    <w:p w14:paraId="10783B5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0C06B4E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因发包人原因引起的暂停施工，发包人应承担由此增加的费用和（或）延误的工期，并支付承包人合理的利润。</w:t>
      </w:r>
    </w:p>
    <w:p w14:paraId="29A5CB9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7.8.2 承包人原因引起的暂停施工</w:t>
      </w:r>
    </w:p>
    <w:p w14:paraId="5D7E084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BE11C5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7.8.3 指示暂停施工</w:t>
      </w:r>
    </w:p>
    <w:p w14:paraId="7FE21B2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监理人认为有必要时，并经发包人批准后，可向承包人作出暂停施工的指示，承包人应按监理人指示暂停施工。</w:t>
      </w:r>
    </w:p>
    <w:p w14:paraId="19BB9FC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7.8.4 紧急情况下的暂停施工</w:t>
      </w:r>
    </w:p>
    <w:p w14:paraId="65BDFC5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3FAA35B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7.8.5 暂停施工后的复工</w:t>
      </w:r>
    </w:p>
    <w:p w14:paraId="6E8462A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79D49F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承包人无故拖延和拒绝复工的，承包人承担由此增加的费用和（或）延误的工期；因发包人原因无法按时复工的，按照第7.5.1项〔因发包人原因导致工期延误〕约定办理。</w:t>
      </w:r>
    </w:p>
    <w:p w14:paraId="7D049E4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7.8.6 暂停施工持续56天以上</w:t>
      </w:r>
    </w:p>
    <w:p w14:paraId="13EA031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69B1C28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25171D6">
      <w:pPr>
        <w:spacing w:line="360" w:lineRule="auto"/>
        <w:ind w:left="16"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7.8.7 暂停施工期间的工程照管</w:t>
      </w:r>
    </w:p>
    <w:p w14:paraId="1732427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暂停施工期间，承包人应负责妥善照管工程并提供安全保障，由此增加的费用由责任方承担。</w:t>
      </w:r>
    </w:p>
    <w:p w14:paraId="0C813F2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7.8.8 暂停施工的措施</w:t>
      </w:r>
    </w:p>
    <w:p w14:paraId="0507CA0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暂停施工期间，发包人和承包人均应采取必要的措施确保工程质量及安全，防止因暂停施工扩大损失。</w:t>
      </w:r>
      <w:bookmarkStart w:id="191" w:name="_Toc351203551"/>
    </w:p>
    <w:p w14:paraId="5EF9A7B7">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color w:val="000000"/>
          <w:sz w:val="21"/>
          <w:szCs w:val="21"/>
          <w:highlight w:val="none"/>
        </w:rPr>
        <w:t>7.9提前竣工</w:t>
      </w:r>
      <w:bookmarkEnd w:id="191"/>
    </w:p>
    <w:p w14:paraId="552EB95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1B40E4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7.9.2 发包人</w:t>
      </w:r>
      <w:r>
        <w:rPr>
          <w:rFonts w:hint="eastAsia" w:ascii="宋体" w:hAnsi="宋体" w:eastAsia="宋体" w:cs="宋体"/>
          <w:color w:val="000000"/>
          <w:sz w:val="21"/>
          <w:szCs w:val="21"/>
          <w:highlight w:val="none"/>
        </w:rPr>
        <w:t>要求承包人提前竣工，或承包人提出提前竣工的建议能够给发包人带来效益的，合同当事人可以在专用合同条款中约定提前竣工的奖励。</w:t>
      </w:r>
      <w:bookmarkStart w:id="192" w:name="_Toc351203552"/>
    </w:p>
    <w:p w14:paraId="49357F63">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w:t>
      </w:r>
      <w:bookmarkStart w:id="193" w:name="_Toc296346559"/>
      <w:bookmarkStart w:id="194" w:name="_Toc337558776"/>
      <w:bookmarkStart w:id="195" w:name="_Toc296503058"/>
      <w:r>
        <w:rPr>
          <w:rFonts w:hint="eastAsia" w:ascii="宋体" w:hAnsi="宋体" w:eastAsia="宋体" w:cs="宋体"/>
          <w:color w:val="000000"/>
          <w:sz w:val="21"/>
          <w:szCs w:val="21"/>
          <w:highlight w:val="none"/>
        </w:rPr>
        <w:t>. 材料与设备</w:t>
      </w:r>
      <w:bookmarkEnd w:id="192"/>
    </w:p>
    <w:bookmarkEnd w:id="193"/>
    <w:bookmarkEnd w:id="194"/>
    <w:bookmarkEnd w:id="195"/>
    <w:p w14:paraId="20E3673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196" w:name="_Toc351203553"/>
      <w:r>
        <w:rPr>
          <w:rFonts w:hint="eastAsia" w:ascii="宋体" w:hAnsi="宋体" w:eastAsia="宋体" w:cs="宋体"/>
          <w:color w:val="000000"/>
          <w:sz w:val="21"/>
          <w:szCs w:val="21"/>
          <w:highlight w:val="none"/>
        </w:rPr>
        <w:t>8</w:t>
      </w:r>
      <w:bookmarkStart w:id="197" w:name="_Toc296346560"/>
      <w:bookmarkStart w:id="198" w:name="_Toc337558777"/>
      <w:bookmarkStart w:id="199" w:name="_Toc296503059"/>
      <w:bookmarkStart w:id="200" w:name="_Toc468936960"/>
      <w:r>
        <w:rPr>
          <w:rFonts w:hint="eastAsia" w:ascii="宋体" w:hAnsi="宋体" w:eastAsia="宋体" w:cs="宋体"/>
          <w:color w:val="000000"/>
          <w:sz w:val="21"/>
          <w:szCs w:val="21"/>
          <w:highlight w:val="none"/>
        </w:rPr>
        <w:t>.1发包人供应材料与工程设备</w:t>
      </w:r>
      <w:bookmarkEnd w:id="196"/>
    </w:p>
    <w:bookmarkEnd w:id="197"/>
    <w:bookmarkEnd w:id="198"/>
    <w:bookmarkEnd w:id="199"/>
    <w:p w14:paraId="07CE6E6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52C70D7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970A85B">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201" w:name="_Toc351203554"/>
      <w:r>
        <w:rPr>
          <w:rFonts w:hint="eastAsia" w:ascii="宋体" w:hAnsi="宋体" w:eastAsia="宋体" w:cs="宋体"/>
          <w:color w:val="000000"/>
          <w:sz w:val="21"/>
          <w:szCs w:val="21"/>
          <w:highlight w:val="none"/>
        </w:rPr>
        <w:t>8</w:t>
      </w:r>
      <w:bookmarkStart w:id="202" w:name="_Toc296503060"/>
      <w:bookmarkStart w:id="203" w:name="_Toc337558778"/>
      <w:bookmarkStart w:id="204" w:name="_Toc296346561"/>
      <w:r>
        <w:rPr>
          <w:rFonts w:hint="eastAsia" w:ascii="宋体" w:hAnsi="宋体" w:eastAsia="宋体" w:cs="宋体"/>
          <w:color w:val="000000"/>
          <w:sz w:val="21"/>
          <w:szCs w:val="21"/>
          <w:highlight w:val="none"/>
        </w:rPr>
        <w:t>.2承包人采购材料与工程设备</w:t>
      </w:r>
      <w:bookmarkEnd w:id="201"/>
    </w:p>
    <w:bookmarkEnd w:id="202"/>
    <w:bookmarkEnd w:id="203"/>
    <w:bookmarkEnd w:id="204"/>
    <w:p w14:paraId="4A7C969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承包人负责采购材料、工程设备的，应按照设计和有关标准要求采购，并提供产品合格证明及出厂证明，对材料、工程设备质量负责。合同约定由承包人采购的材料、工程设备，发包人不得</w:t>
      </w:r>
      <w:r>
        <w:rPr>
          <w:rFonts w:hint="eastAsia" w:ascii="宋体" w:hAnsi="宋体" w:cs="宋体"/>
          <w:color w:val="000000"/>
          <w:sz w:val="21"/>
          <w:szCs w:val="21"/>
          <w:highlight w:val="none"/>
        </w:rPr>
        <w:t>指定生产厂家或</w:t>
      </w:r>
      <w:r>
        <w:rPr>
          <w:rFonts w:hint="eastAsia" w:ascii="宋体" w:hAnsi="宋体" w:cs="宋体"/>
          <w:color w:val="000000"/>
          <w:sz w:val="21"/>
          <w:szCs w:val="21"/>
          <w:highlight w:val="none"/>
          <w:lang w:eastAsia="zh-CN"/>
        </w:rPr>
        <w:t>供应商</w:t>
      </w:r>
      <w:r>
        <w:rPr>
          <w:rFonts w:hint="eastAsia" w:ascii="宋体" w:hAnsi="宋体" w:cs="宋体"/>
          <w:color w:val="000000"/>
          <w:sz w:val="21"/>
          <w:szCs w:val="21"/>
          <w:highlight w:val="none"/>
        </w:rPr>
        <w:t>，发包人违反本款约定指定生产厂家或</w:t>
      </w:r>
      <w:r>
        <w:rPr>
          <w:rFonts w:hint="eastAsia" w:ascii="宋体" w:hAnsi="宋体" w:cs="宋体"/>
          <w:color w:val="000000"/>
          <w:sz w:val="21"/>
          <w:szCs w:val="21"/>
          <w:highlight w:val="none"/>
          <w:lang w:eastAsia="zh-CN"/>
        </w:rPr>
        <w:t>供应商</w:t>
      </w:r>
      <w:r>
        <w:rPr>
          <w:rFonts w:hint="eastAsia" w:ascii="宋体" w:hAnsi="宋体" w:cs="宋体"/>
          <w:color w:val="000000"/>
          <w:sz w:val="21"/>
          <w:szCs w:val="21"/>
          <w:highlight w:val="none"/>
        </w:rPr>
        <w:t>的，承包人有权拒绝，并由发包人承担相应责任。</w:t>
      </w:r>
      <w:bookmarkStart w:id="205" w:name="_Toc351203555"/>
    </w:p>
    <w:p w14:paraId="6141E4CB">
      <w:pPr>
        <w:autoSpaceDE w:val="0"/>
        <w:autoSpaceDN w:val="0"/>
        <w:spacing w:line="360" w:lineRule="auto"/>
        <w:ind w:firstLine="420" w:firstLineChars="200"/>
        <w:jc w:val="left"/>
        <w:rPr>
          <w:rFonts w:ascii="宋体" w:hAnsi="宋体" w:cs="宋体"/>
          <w:b/>
          <w:color w:val="000000"/>
          <w:sz w:val="21"/>
          <w:szCs w:val="21"/>
          <w:highlight w:val="none"/>
        </w:rPr>
      </w:pPr>
      <w:r>
        <w:rPr>
          <w:rFonts w:hint="eastAsia" w:ascii="宋体" w:hAnsi="宋体" w:cs="宋体"/>
          <w:color w:val="000000"/>
          <w:sz w:val="21"/>
          <w:szCs w:val="21"/>
          <w:highlight w:val="none"/>
        </w:rPr>
        <w:t>8</w:t>
      </w:r>
      <w:bookmarkStart w:id="206" w:name="_Toc337558779"/>
      <w:bookmarkStart w:id="207" w:name="_Toc296503061"/>
      <w:bookmarkStart w:id="208" w:name="_Toc296346562"/>
      <w:r>
        <w:rPr>
          <w:rFonts w:hint="eastAsia" w:ascii="宋体" w:hAnsi="宋体" w:cs="宋体"/>
          <w:color w:val="000000"/>
          <w:sz w:val="21"/>
          <w:szCs w:val="21"/>
          <w:highlight w:val="none"/>
        </w:rPr>
        <w:t>.3材料与工程设备的接收与拒收</w:t>
      </w:r>
      <w:bookmarkEnd w:id="205"/>
    </w:p>
    <w:bookmarkEnd w:id="206"/>
    <w:bookmarkEnd w:id="207"/>
    <w:bookmarkEnd w:id="208"/>
    <w:p w14:paraId="63C3554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6D085E4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1A3574F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8.3.2 承包人采购的材料和工程设备，应保证产品质量合格，承包人应在材料和工程设备到货前24小时通知监理人检验。承</w:t>
      </w:r>
      <w:bookmarkStart w:id="209" w:name="_Toc250655469"/>
      <w:r>
        <w:rPr>
          <w:rFonts w:hint="eastAsia" w:ascii="宋体" w:hAnsi="宋体" w:cs="宋体"/>
          <w:color w:val="000000"/>
          <w:sz w:val="21"/>
          <w:szCs w:val="21"/>
          <w:highlight w:val="none"/>
        </w:rPr>
        <w:t>包人进行永久设备、材料的制造和生产的，应符合相关质量标准，并向监理人提交材料的样本以及有关资料，并应在使用该材料或工程设备之前获得监理人同意。</w:t>
      </w:r>
    </w:p>
    <w:bookmarkEnd w:id="209"/>
    <w:p w14:paraId="0B91891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bookmarkStart w:id="210" w:name="_Toc351203556"/>
    </w:p>
    <w:p w14:paraId="729D622A">
      <w:pPr>
        <w:autoSpaceDE w:val="0"/>
        <w:autoSpaceDN w:val="0"/>
        <w:spacing w:line="360" w:lineRule="auto"/>
        <w:ind w:firstLine="420" w:firstLineChars="200"/>
        <w:jc w:val="left"/>
        <w:rPr>
          <w:rFonts w:ascii="宋体" w:hAnsi="宋体" w:cs="宋体"/>
          <w:b/>
          <w:color w:val="000000"/>
          <w:sz w:val="21"/>
          <w:szCs w:val="21"/>
          <w:highlight w:val="none"/>
        </w:rPr>
      </w:pPr>
      <w:r>
        <w:rPr>
          <w:rFonts w:hint="eastAsia" w:ascii="宋体" w:hAnsi="宋体" w:cs="宋体"/>
          <w:color w:val="000000"/>
          <w:sz w:val="21"/>
          <w:szCs w:val="21"/>
          <w:highlight w:val="none"/>
        </w:rPr>
        <w:t>8</w:t>
      </w:r>
      <w:bookmarkStart w:id="211" w:name="_Toc296503062"/>
      <w:bookmarkStart w:id="212" w:name="_Toc296346563"/>
      <w:bookmarkStart w:id="213" w:name="_Toc337558780"/>
      <w:r>
        <w:rPr>
          <w:rFonts w:hint="eastAsia" w:ascii="宋体" w:hAnsi="宋体" w:cs="宋体"/>
          <w:color w:val="000000"/>
          <w:sz w:val="21"/>
          <w:szCs w:val="21"/>
          <w:highlight w:val="none"/>
        </w:rPr>
        <w:t>.4材料与工程设备的保管与使用</w:t>
      </w:r>
      <w:bookmarkEnd w:id="210"/>
    </w:p>
    <w:bookmarkEnd w:id="211"/>
    <w:bookmarkEnd w:id="212"/>
    <w:bookmarkEnd w:id="213"/>
    <w:p w14:paraId="53AD4E3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8.4.1 发包人供应材料与工程设备的保管与使用</w:t>
      </w:r>
    </w:p>
    <w:p w14:paraId="603ADFE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D8DE14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发包人供应的材料和工程设备使用前，由承包人负责检验，检验费用由发包人承担，不合格的不得使用。</w:t>
      </w:r>
    </w:p>
    <w:p w14:paraId="45B2D95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8.4.2 承包人采购材料与工程设备的保管与使用</w:t>
      </w:r>
    </w:p>
    <w:p w14:paraId="3442548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1DD451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发包人或监理人发现承包人使用不符合设计或有关标准要求的材料和工程设备时，有权要求承包人进行修复、拆除或重新采购，由此增加的费用和（或）延误的工期，由承包人承担。</w:t>
      </w:r>
      <w:bookmarkStart w:id="214" w:name="_Toc351203557"/>
    </w:p>
    <w:p w14:paraId="34D03D0A">
      <w:pPr>
        <w:autoSpaceDE w:val="0"/>
        <w:autoSpaceDN w:val="0"/>
        <w:spacing w:line="360" w:lineRule="auto"/>
        <w:ind w:firstLine="420" w:firstLineChars="200"/>
        <w:jc w:val="left"/>
        <w:rPr>
          <w:rFonts w:ascii="宋体" w:hAnsi="宋体" w:cs="宋体"/>
          <w:b/>
          <w:color w:val="000000"/>
          <w:sz w:val="21"/>
          <w:szCs w:val="21"/>
          <w:highlight w:val="none"/>
        </w:rPr>
      </w:pPr>
      <w:r>
        <w:rPr>
          <w:rFonts w:hint="eastAsia" w:ascii="宋体" w:hAnsi="宋体" w:cs="宋体"/>
          <w:color w:val="000000"/>
          <w:sz w:val="21"/>
          <w:szCs w:val="21"/>
          <w:highlight w:val="none"/>
        </w:rPr>
        <w:t>8.5禁止使用不合格的材料和工程设备</w:t>
      </w:r>
      <w:bookmarkEnd w:id="214"/>
    </w:p>
    <w:p w14:paraId="30A8726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1A9FCD7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8.5.2 监理人发现承包人使用了不合格的材料和工程设备，承包人应按照监理人的指示立即改正，并禁止在工程中继续使用不合格的材料和工程设备。</w:t>
      </w:r>
    </w:p>
    <w:p w14:paraId="42A096D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8.5.3 发包人提供的材料或工程设备不符合合同要求的，承包人有权拒绝，并可要求发包人更换，由此增加的费用和（或）延误的工期由发包人承担，并支付承包人合理的利润。</w:t>
      </w:r>
      <w:bookmarkStart w:id="215" w:name="_Toc351203558"/>
    </w:p>
    <w:p w14:paraId="3DE5A0F1">
      <w:pPr>
        <w:autoSpaceDE w:val="0"/>
        <w:autoSpaceDN w:val="0"/>
        <w:spacing w:line="360" w:lineRule="auto"/>
        <w:ind w:firstLine="420" w:firstLineChars="200"/>
        <w:jc w:val="left"/>
        <w:rPr>
          <w:rFonts w:ascii="宋体" w:hAnsi="宋体" w:cs="宋体"/>
          <w:b/>
          <w:bCs/>
          <w:color w:val="000000"/>
          <w:sz w:val="21"/>
          <w:szCs w:val="21"/>
          <w:highlight w:val="none"/>
        </w:rPr>
      </w:pPr>
      <w:r>
        <w:rPr>
          <w:rFonts w:hint="eastAsia" w:ascii="宋体" w:hAnsi="宋体" w:cs="宋体"/>
          <w:b/>
          <w:bCs/>
          <w:color w:val="000000"/>
          <w:sz w:val="21"/>
          <w:szCs w:val="21"/>
          <w:highlight w:val="none"/>
        </w:rPr>
        <w:t>8.6 样品</w:t>
      </w:r>
      <w:bookmarkEnd w:id="215"/>
    </w:p>
    <w:p w14:paraId="7794D8B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8.6.1</w:t>
      </w:r>
      <w:r>
        <w:rPr>
          <w:rFonts w:hint="eastAsia" w:ascii="宋体" w:hAnsi="宋体" w:cs="宋体"/>
          <w:color w:val="000000"/>
          <w:sz w:val="21"/>
          <w:szCs w:val="21"/>
          <w:highlight w:val="none"/>
        </w:rPr>
        <w:tab/>
      </w:r>
      <w:r>
        <w:rPr>
          <w:rFonts w:hint="eastAsia" w:ascii="宋体" w:hAnsi="宋体" w:cs="宋体"/>
          <w:color w:val="000000"/>
          <w:sz w:val="21"/>
          <w:szCs w:val="21"/>
          <w:highlight w:val="none"/>
        </w:rPr>
        <w:t>样品的报送与封存</w:t>
      </w:r>
    </w:p>
    <w:p w14:paraId="350ACCA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需要承包人报送样品的材料或工程设备，样品的种类、名称、规格、数量等要求均应在专用合同条款中约定。样品的报送程序如下：</w:t>
      </w:r>
    </w:p>
    <w:p w14:paraId="6C67EE7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D33BB1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7809DB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2D071EF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67D9BE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8.6.2 样品的保管</w:t>
      </w:r>
    </w:p>
    <w:p w14:paraId="5FD58F7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经批准的样品应由监理人负责封存于现场，承包人应在现场为保存样品提供适当和固定的场所</w:t>
      </w:r>
      <w:r>
        <w:rPr>
          <w:rFonts w:hint="eastAsia" w:ascii="宋体" w:hAnsi="宋体" w:eastAsia="宋体" w:cs="宋体"/>
          <w:color w:val="000000"/>
          <w:sz w:val="21"/>
          <w:szCs w:val="21"/>
          <w:highlight w:val="none"/>
        </w:rPr>
        <w:t>并保持适当和良好的存储环境条件。</w:t>
      </w:r>
    </w:p>
    <w:p w14:paraId="26F9AE4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216" w:name="_Toc351203559"/>
      <w:r>
        <w:rPr>
          <w:rFonts w:hint="eastAsia" w:ascii="宋体" w:hAnsi="宋体" w:eastAsia="宋体" w:cs="宋体"/>
          <w:color w:val="000000"/>
          <w:sz w:val="21"/>
          <w:szCs w:val="21"/>
          <w:highlight w:val="none"/>
        </w:rPr>
        <w:t>8.7材料与工程设备的替代</w:t>
      </w:r>
      <w:bookmarkEnd w:id="216"/>
    </w:p>
    <w:p w14:paraId="5C353F00">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8.7.1 出现下列情况需要使用替代材料和工程设备的，承包人应按照第8.7.2项约定的程序执行：</w:t>
      </w:r>
    </w:p>
    <w:p w14:paraId="197627A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（1）基准日期后生效的法律规定禁止使用的；</w:t>
      </w:r>
    </w:p>
    <w:p w14:paraId="1DCA07A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（2）发包人要求使用替</w:t>
      </w:r>
      <w:r>
        <w:rPr>
          <w:rFonts w:hint="eastAsia" w:ascii="宋体" w:hAnsi="宋体" w:cs="宋体"/>
          <w:color w:val="000000"/>
          <w:sz w:val="21"/>
          <w:szCs w:val="21"/>
          <w:highlight w:val="none"/>
        </w:rPr>
        <w:t>代品的；</w:t>
      </w:r>
    </w:p>
    <w:p w14:paraId="1242F0C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（3）因其他原因必须使用替代品的。</w:t>
      </w:r>
    </w:p>
    <w:p w14:paraId="01AFBA7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8.7.2 承包人应在使用替代材料和工程设备28天前书面通知监理人，并附下列文件：</w:t>
      </w:r>
    </w:p>
    <w:p w14:paraId="043E936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（1）被替代的材料和工程设备的名称、数量、规格、型号、品牌、性能、价格及其他相关资料；</w:t>
      </w:r>
    </w:p>
    <w:p w14:paraId="1810BEE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（2）替代品的名称、数量、规格、型号、品牌、性能、价格及其他相关资料；</w:t>
      </w:r>
    </w:p>
    <w:p w14:paraId="7587CC9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（3）替代品与被替代产品之间的差异以及使用替代品可能对工程产生的影响；</w:t>
      </w:r>
    </w:p>
    <w:p w14:paraId="7A875D6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（4）替代品与被替代产品的价格差异；</w:t>
      </w:r>
    </w:p>
    <w:p w14:paraId="3338B0A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（5）使用替代品的理由和原因说明；</w:t>
      </w:r>
    </w:p>
    <w:p w14:paraId="5517646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（6）监理人要求的其他文件。</w:t>
      </w:r>
    </w:p>
    <w:p w14:paraId="6190690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监理人应在收到通知后14天内向承包人发出经发包人签认的书面指示；监理人逾期发出书面指示的，视为发包人和监理人同意使用替代品。</w:t>
      </w:r>
    </w:p>
    <w:p w14:paraId="61C4791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8.7.3 发包人认可使用替代材料和工程设备的，替代材料和工程设备的价格，按照已标价</w:t>
      </w:r>
      <w:r>
        <w:rPr>
          <w:rFonts w:hint="eastAsia" w:ascii="宋体" w:hAnsi="宋体" w:eastAsia="宋体" w:cs="宋体"/>
          <w:color w:val="000000"/>
          <w:sz w:val="21"/>
          <w:szCs w:val="21"/>
          <w:highlight w:val="none"/>
        </w:rPr>
        <w:t>工程量清单或预算书相同项目的价格认定；无相同项目的，参考相似项目价格认定；既无相同项目也无相似项目的，按照合理的成本与利润构成的原则，由合同当事人按照第4.4款〔商定或确定〕确定价格。</w:t>
      </w:r>
    </w:p>
    <w:p w14:paraId="6988DB2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217" w:name="_Toc351203560"/>
      <w:r>
        <w:rPr>
          <w:rFonts w:hint="eastAsia" w:ascii="宋体" w:hAnsi="宋体" w:eastAsia="宋体" w:cs="宋体"/>
          <w:color w:val="000000"/>
          <w:sz w:val="21"/>
          <w:szCs w:val="21"/>
          <w:highlight w:val="none"/>
        </w:rPr>
        <w:t>8.8施工设备和临时设施</w:t>
      </w:r>
      <w:bookmarkEnd w:id="217"/>
    </w:p>
    <w:p w14:paraId="6EFC6F8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8.8.1 承包人提供的施工设备和临时设施</w:t>
      </w:r>
    </w:p>
    <w:p w14:paraId="3B701EE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承包人应按合同</w:t>
      </w:r>
      <w:r>
        <w:rPr>
          <w:rFonts w:hint="eastAsia" w:ascii="宋体" w:hAnsi="宋体" w:cs="宋体"/>
          <w:color w:val="000000"/>
          <w:sz w:val="21"/>
          <w:szCs w:val="21"/>
          <w:highlight w:val="none"/>
        </w:rPr>
        <w:t>进度计划的要求，及时配置施工设备和修建临时设施。进入施工场地的承包人设备需经监理人核查后才能投入使用。承包人更换合同约定的承包人设备的，应报监理人批准。</w:t>
      </w:r>
    </w:p>
    <w:p w14:paraId="38457AF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除专用合同条款另有约定外，承包人应自行承担修建临时设施的费用，需要临时占地的，应由发包人办理申请手续并承担相应费用。</w:t>
      </w:r>
    </w:p>
    <w:p w14:paraId="0313D78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8.8.2发包人提供的施工设备和临时设施</w:t>
      </w:r>
    </w:p>
    <w:p w14:paraId="2DE12CA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发包人提供的施工设备或临时设施在专用合同条款中约定。</w:t>
      </w:r>
    </w:p>
    <w:p w14:paraId="66D4921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8.8.3要求承包人增加或更换施工设备</w:t>
      </w:r>
    </w:p>
    <w:p w14:paraId="618B593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承包人使用的施工设备不能满足合同进度计划和（或）质量要求时，监理人有权要求承包人增加或更换施工设备，承包人应及时增加或更换，由此增加的费用和（或）延误的工期</w:t>
      </w:r>
      <w:r>
        <w:rPr>
          <w:rFonts w:hint="eastAsia" w:ascii="宋体" w:hAnsi="宋体" w:eastAsia="宋体" w:cs="宋体"/>
          <w:color w:val="000000"/>
          <w:sz w:val="21"/>
          <w:szCs w:val="21"/>
          <w:highlight w:val="none"/>
        </w:rPr>
        <w:t>由承包人承担。</w:t>
      </w:r>
    </w:p>
    <w:p w14:paraId="6FCE939B">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218" w:name="_Toc351203561"/>
      <w:r>
        <w:rPr>
          <w:rFonts w:hint="eastAsia" w:ascii="宋体" w:hAnsi="宋体" w:eastAsia="宋体" w:cs="宋体"/>
          <w:color w:val="000000"/>
          <w:sz w:val="21"/>
          <w:szCs w:val="21"/>
          <w:highlight w:val="none"/>
        </w:rPr>
        <w:t>8</w:t>
      </w:r>
      <w:bookmarkStart w:id="219" w:name="_Toc337558781"/>
      <w:bookmarkStart w:id="220" w:name="_Toc296503063"/>
      <w:bookmarkStart w:id="221" w:name="_Toc296346564"/>
      <w:r>
        <w:rPr>
          <w:rFonts w:hint="eastAsia" w:ascii="宋体" w:hAnsi="宋体" w:eastAsia="宋体" w:cs="宋体"/>
          <w:color w:val="000000"/>
          <w:sz w:val="21"/>
          <w:szCs w:val="21"/>
          <w:highlight w:val="none"/>
        </w:rPr>
        <w:t>.9材料与设备专用</w:t>
      </w:r>
      <w:bookmarkEnd w:id="218"/>
      <w:r>
        <w:rPr>
          <w:rFonts w:hint="eastAsia" w:ascii="宋体" w:hAnsi="宋体" w:eastAsia="宋体" w:cs="宋体"/>
          <w:color w:val="000000"/>
          <w:sz w:val="21"/>
          <w:szCs w:val="21"/>
          <w:highlight w:val="none"/>
        </w:rPr>
        <w:t>要求</w:t>
      </w:r>
    </w:p>
    <w:bookmarkEnd w:id="219"/>
    <w:bookmarkEnd w:id="220"/>
    <w:bookmarkEnd w:id="221"/>
    <w:p w14:paraId="61D6922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0"/>
      <w:r>
        <w:rPr>
          <w:rFonts w:hint="eastAsia" w:ascii="宋体" w:hAnsi="宋体" w:eastAsia="宋体" w:cs="宋体"/>
          <w:color w:val="000000"/>
          <w:sz w:val="21"/>
          <w:szCs w:val="21"/>
          <w:highlight w:val="none"/>
        </w:rPr>
        <w:t>经发包人批准，承包人可以根据施工进度计划撤走闲置的施工设备和其他物品。</w:t>
      </w:r>
    </w:p>
    <w:p w14:paraId="6B279814">
      <w:pPr>
        <w:autoSpaceDE w:val="0"/>
        <w:autoSpaceDN w:val="0"/>
        <w:spacing w:line="360" w:lineRule="auto"/>
        <w:ind w:firstLine="420" w:firstLineChars="200"/>
        <w:jc w:val="left"/>
        <w:rPr>
          <w:rFonts w:hint="default" w:ascii="宋体" w:hAnsi="宋体" w:eastAsia="宋体" w:cs="宋体"/>
          <w:b/>
          <w:bCs/>
          <w:color w:val="000000"/>
          <w:sz w:val="21"/>
          <w:szCs w:val="21"/>
          <w:highlight w:val="none"/>
        </w:rPr>
      </w:pPr>
      <w:bookmarkStart w:id="222" w:name="_Toc351203562"/>
      <w:r>
        <w:rPr>
          <w:rFonts w:hint="eastAsia" w:ascii="宋体" w:hAnsi="宋体" w:eastAsia="宋体" w:cs="宋体"/>
          <w:b/>
          <w:bCs/>
          <w:color w:val="000000"/>
          <w:sz w:val="21"/>
          <w:szCs w:val="21"/>
          <w:highlight w:val="none"/>
        </w:rPr>
        <w:t>9</w:t>
      </w:r>
      <w:bookmarkStart w:id="223" w:name="_Toc337558782"/>
      <w:bookmarkStart w:id="224" w:name="_Toc296503083"/>
      <w:bookmarkStart w:id="225" w:name="_Toc296346584"/>
      <w:r>
        <w:rPr>
          <w:rFonts w:hint="eastAsia" w:ascii="宋体" w:hAnsi="宋体" w:eastAsia="宋体" w:cs="宋体"/>
          <w:b/>
          <w:bCs/>
          <w:color w:val="000000"/>
          <w:sz w:val="21"/>
          <w:szCs w:val="21"/>
          <w:highlight w:val="none"/>
        </w:rPr>
        <w:t>. 试验与检验</w:t>
      </w:r>
      <w:bookmarkEnd w:id="222"/>
    </w:p>
    <w:bookmarkEnd w:id="223"/>
    <w:p w14:paraId="3D84BB3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226" w:name="_Toc351203563"/>
      <w:r>
        <w:rPr>
          <w:rFonts w:hint="eastAsia" w:ascii="宋体" w:hAnsi="宋体" w:eastAsia="宋体" w:cs="宋体"/>
          <w:color w:val="000000"/>
          <w:sz w:val="21"/>
          <w:szCs w:val="21"/>
          <w:highlight w:val="none"/>
        </w:rPr>
        <w:t>9</w:t>
      </w:r>
      <w:bookmarkStart w:id="227" w:name="_Toc337558783"/>
      <w:r>
        <w:rPr>
          <w:rFonts w:hint="eastAsia" w:ascii="宋体" w:hAnsi="宋体" w:eastAsia="宋体" w:cs="宋体"/>
          <w:color w:val="000000"/>
          <w:sz w:val="21"/>
          <w:szCs w:val="21"/>
          <w:highlight w:val="none"/>
        </w:rPr>
        <w:t>.1试验设备与试验人员</w:t>
      </w:r>
      <w:bookmarkEnd w:id="226"/>
    </w:p>
    <w:bookmarkEnd w:id="227"/>
    <w:p w14:paraId="434E343C">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A03445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9.1.2 承包人应按专用合同条款的约定提供试验设备、取样装置、试验场所和试验条件，并向监理人提交相应进场计划表。</w:t>
      </w:r>
    </w:p>
    <w:p w14:paraId="762912CD">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承包人配置的试验设备要符合相应试验规程的要求并经过具有资质的检测单位检测，且在正式使用该试验设备前，需要经过监理人与承包人共同校定。</w:t>
      </w:r>
    </w:p>
    <w:p w14:paraId="7526840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246C9297">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228" w:name="_Toc351203564"/>
      <w:r>
        <w:rPr>
          <w:rFonts w:hint="eastAsia" w:ascii="宋体" w:hAnsi="宋体" w:eastAsia="宋体" w:cs="宋体"/>
          <w:b/>
          <w:bCs/>
          <w:color w:val="000000"/>
          <w:sz w:val="21"/>
          <w:szCs w:val="21"/>
          <w:highlight w:val="none"/>
        </w:rPr>
        <w:t>9</w:t>
      </w:r>
      <w:bookmarkStart w:id="229" w:name="_Toc337558784"/>
      <w:r>
        <w:rPr>
          <w:rFonts w:hint="eastAsia" w:ascii="宋体" w:hAnsi="宋体" w:eastAsia="宋体" w:cs="宋体"/>
          <w:b/>
          <w:bCs/>
          <w:color w:val="000000"/>
          <w:sz w:val="21"/>
          <w:szCs w:val="21"/>
          <w:highlight w:val="none"/>
        </w:rPr>
        <w:t>.2取样</w:t>
      </w:r>
      <w:bookmarkEnd w:id="228"/>
    </w:p>
    <w:bookmarkEnd w:id="229"/>
    <w:p w14:paraId="10631518">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试验属于自检性质的，承包人可以单独取样。试验属于监理人抽检性质的，可由监理人取样，也可由承包人的试验人员在监理人的监督下取样。</w:t>
      </w:r>
    </w:p>
    <w:p w14:paraId="055D53D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230" w:name="_Toc351203565"/>
      <w:r>
        <w:rPr>
          <w:rFonts w:hint="eastAsia" w:ascii="宋体" w:hAnsi="宋体" w:eastAsia="宋体" w:cs="宋体"/>
          <w:color w:val="000000"/>
          <w:sz w:val="21"/>
          <w:szCs w:val="21"/>
          <w:highlight w:val="none"/>
        </w:rPr>
        <w:t>9</w:t>
      </w:r>
      <w:bookmarkStart w:id="231" w:name="_Toc337558785"/>
      <w:r>
        <w:rPr>
          <w:rFonts w:hint="eastAsia" w:ascii="宋体" w:hAnsi="宋体" w:eastAsia="宋体" w:cs="宋体"/>
          <w:color w:val="000000"/>
          <w:sz w:val="21"/>
          <w:szCs w:val="21"/>
          <w:highlight w:val="none"/>
        </w:rPr>
        <w:t>.3材料、工程设备和工程的试验和检验</w:t>
      </w:r>
      <w:bookmarkEnd w:id="230"/>
    </w:p>
    <w:bookmarkEnd w:id="231"/>
    <w:p w14:paraId="3B4A723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A7F9A30">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8BEFF4F">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C1FE41F">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232" w:name="_Toc351203566"/>
      <w:r>
        <w:rPr>
          <w:rFonts w:hint="eastAsia" w:ascii="宋体" w:hAnsi="宋体" w:eastAsia="宋体" w:cs="宋体"/>
          <w:b/>
          <w:bCs/>
          <w:color w:val="000000"/>
          <w:sz w:val="21"/>
          <w:szCs w:val="21"/>
          <w:highlight w:val="none"/>
        </w:rPr>
        <w:t>9</w:t>
      </w:r>
      <w:bookmarkStart w:id="233" w:name="_Toc337558786"/>
      <w:r>
        <w:rPr>
          <w:rFonts w:hint="eastAsia" w:ascii="宋体" w:hAnsi="宋体" w:eastAsia="宋体" w:cs="宋体"/>
          <w:b/>
          <w:bCs/>
          <w:color w:val="000000"/>
          <w:sz w:val="21"/>
          <w:szCs w:val="21"/>
          <w:highlight w:val="none"/>
        </w:rPr>
        <w:t>.4现场工艺试验</w:t>
      </w:r>
      <w:bookmarkEnd w:id="232"/>
    </w:p>
    <w:bookmarkEnd w:id="233"/>
    <w:p w14:paraId="0E74B54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1F3708D5">
      <w:pPr>
        <w:autoSpaceDE w:val="0"/>
        <w:autoSpaceDN w:val="0"/>
        <w:spacing w:line="360" w:lineRule="auto"/>
        <w:ind w:firstLine="420" w:firstLineChars="200"/>
        <w:jc w:val="left"/>
        <w:rPr>
          <w:rFonts w:hint="eastAsia" w:ascii="宋体" w:hAnsi="宋体" w:eastAsia="宋体" w:cs="宋体"/>
          <w:b/>
          <w:bCs/>
          <w:color w:val="000000"/>
          <w:sz w:val="21"/>
          <w:szCs w:val="21"/>
          <w:highlight w:val="none"/>
          <w:lang w:eastAsia="zh-CN"/>
        </w:rPr>
      </w:pPr>
      <w:bookmarkStart w:id="234" w:name="_Toc351203567"/>
      <w:r>
        <w:rPr>
          <w:rFonts w:hint="eastAsia" w:ascii="宋体" w:hAnsi="宋体" w:eastAsia="宋体" w:cs="宋体"/>
          <w:b/>
          <w:bCs/>
          <w:color w:val="000000"/>
          <w:sz w:val="21"/>
          <w:szCs w:val="21"/>
          <w:highlight w:val="none"/>
        </w:rPr>
        <w:t>1</w:t>
      </w:r>
      <w:bookmarkStart w:id="235" w:name="_Toc337558787"/>
      <w:r>
        <w:rPr>
          <w:rFonts w:hint="eastAsia" w:ascii="宋体" w:hAnsi="宋体" w:eastAsia="宋体" w:cs="宋体"/>
          <w:b/>
          <w:bCs/>
          <w:color w:val="000000"/>
          <w:sz w:val="21"/>
          <w:szCs w:val="21"/>
          <w:highlight w:val="none"/>
        </w:rPr>
        <w:t>0. 变更</w:t>
      </w:r>
      <w:bookmarkEnd w:id="224"/>
      <w:bookmarkEnd w:id="225"/>
      <w:bookmarkEnd w:id="234"/>
      <w:r>
        <w:rPr>
          <w:rFonts w:hint="eastAsia" w:ascii="宋体" w:hAnsi="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本项目不适用</w:t>
      </w:r>
      <w:r>
        <w:rPr>
          <w:rFonts w:hint="eastAsia" w:ascii="宋体" w:hAnsi="宋体" w:cs="宋体"/>
          <w:b/>
          <w:bCs/>
          <w:color w:val="000000"/>
          <w:sz w:val="21"/>
          <w:szCs w:val="21"/>
          <w:highlight w:val="none"/>
          <w:lang w:eastAsia="zh-CN"/>
        </w:rPr>
        <w:t>）</w:t>
      </w:r>
    </w:p>
    <w:bookmarkEnd w:id="235"/>
    <w:p w14:paraId="332D9B67">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236" w:name="_Toc351203568"/>
      <w:r>
        <w:rPr>
          <w:rFonts w:hint="eastAsia" w:ascii="宋体" w:hAnsi="宋体" w:eastAsia="宋体" w:cs="宋体"/>
          <w:b/>
          <w:bCs/>
          <w:color w:val="000000"/>
          <w:sz w:val="21"/>
          <w:szCs w:val="21"/>
          <w:highlight w:val="none"/>
        </w:rPr>
        <w:t>1</w:t>
      </w:r>
      <w:bookmarkStart w:id="237" w:name="_Toc296503084"/>
      <w:bookmarkStart w:id="238" w:name="_Toc296346585"/>
      <w:bookmarkStart w:id="239" w:name="_Toc337558788"/>
      <w:r>
        <w:rPr>
          <w:rFonts w:hint="eastAsia" w:ascii="宋体" w:hAnsi="宋体" w:eastAsia="宋体" w:cs="宋体"/>
          <w:b/>
          <w:bCs/>
          <w:color w:val="000000"/>
          <w:sz w:val="21"/>
          <w:szCs w:val="21"/>
          <w:highlight w:val="none"/>
        </w:rPr>
        <w:t>0.1变更的范围</w:t>
      </w:r>
      <w:bookmarkEnd w:id="236"/>
    </w:p>
    <w:bookmarkEnd w:id="237"/>
    <w:bookmarkEnd w:id="238"/>
    <w:bookmarkEnd w:id="239"/>
    <w:p w14:paraId="21D80460">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除专用合同条款另有约定外，合同履行过程中发生以下情形的，应按照本条约定进行变更：</w:t>
      </w:r>
    </w:p>
    <w:p w14:paraId="19B4E4C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（1）增加或减少合同中任何工作，或追加额外的工作；</w:t>
      </w:r>
    </w:p>
    <w:p w14:paraId="351A885C">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（2）取消合同中任何工作，但转由他人实施的工作除外；</w:t>
      </w:r>
    </w:p>
    <w:p w14:paraId="7F04BEF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（3）改变合同中任何工作的质量标准或其他特性；</w:t>
      </w:r>
    </w:p>
    <w:p w14:paraId="6AF58DD4">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（4）改变工程的基线、标高、位置和尺寸；</w:t>
      </w:r>
    </w:p>
    <w:p w14:paraId="22022D1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（5）改变工程的时间安排或实施顺序。</w:t>
      </w:r>
    </w:p>
    <w:p w14:paraId="60E7C60F">
      <w:pPr>
        <w:spacing w:line="360" w:lineRule="auto"/>
        <w:ind w:firstLine="420" w:firstLineChars="200"/>
        <w:jc w:val="left"/>
        <w:rPr>
          <w:rFonts w:hint="eastAsia" w:ascii="宋体" w:hAnsi="宋体" w:eastAsia="宋体" w:cs="宋体"/>
          <w:b/>
          <w:bCs/>
          <w:color w:val="000000"/>
          <w:sz w:val="21"/>
          <w:szCs w:val="21"/>
          <w:highlight w:val="none"/>
        </w:rPr>
      </w:pPr>
      <w:bookmarkStart w:id="240" w:name="_Toc351203569"/>
      <w:r>
        <w:rPr>
          <w:rFonts w:hint="eastAsia" w:ascii="宋体" w:hAnsi="宋体" w:eastAsia="宋体" w:cs="宋体"/>
          <w:b/>
          <w:bCs/>
          <w:color w:val="000000"/>
          <w:sz w:val="21"/>
          <w:szCs w:val="21"/>
          <w:highlight w:val="none"/>
        </w:rPr>
        <w:t>1</w:t>
      </w:r>
      <w:bookmarkStart w:id="241" w:name="_Toc337558789"/>
      <w:bookmarkStart w:id="242" w:name="_Toc296503085"/>
      <w:bookmarkStart w:id="243" w:name="_Toc296346586"/>
      <w:r>
        <w:rPr>
          <w:rFonts w:hint="eastAsia" w:ascii="宋体" w:hAnsi="宋体" w:eastAsia="宋体" w:cs="宋体"/>
          <w:b/>
          <w:bCs/>
          <w:color w:val="000000"/>
          <w:sz w:val="21"/>
          <w:szCs w:val="21"/>
          <w:highlight w:val="none"/>
        </w:rPr>
        <w:t>0.2变更权</w:t>
      </w:r>
      <w:bookmarkEnd w:id="240"/>
    </w:p>
    <w:bookmarkEnd w:id="241"/>
    <w:bookmarkEnd w:id="242"/>
    <w:bookmarkEnd w:id="243"/>
    <w:p w14:paraId="18684A6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发包人和监理人均可以提出变更。变更指示均通过监理人发出，监理人发出变更指示前应征得发包人同意。</w:t>
      </w:r>
      <w:r>
        <w:rPr>
          <w:rFonts w:hint="eastAsia" w:ascii="宋体" w:hAnsi="宋体" w:cs="宋体"/>
          <w:color w:val="000000"/>
          <w:sz w:val="21"/>
          <w:szCs w:val="21"/>
          <w:highlight w:val="none"/>
        </w:rPr>
        <w:t>承包人收到经发包人签认的变更指示后，方可实施变更。未经许可，承包人不得擅自对工程的任何部分进行变更。</w:t>
      </w:r>
    </w:p>
    <w:p w14:paraId="78F9A5A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涉及设计变更的，应由设计人提供变更后的图纸和说明。如变更超过原设计标准或批准的建</w:t>
      </w:r>
      <w:r>
        <w:rPr>
          <w:rFonts w:hint="eastAsia" w:ascii="宋体" w:hAnsi="宋体" w:eastAsia="宋体" w:cs="宋体"/>
          <w:color w:val="000000"/>
          <w:sz w:val="21"/>
          <w:szCs w:val="21"/>
          <w:highlight w:val="none"/>
        </w:rPr>
        <w:t>设规模时，发包人应及时办理规划、设计变更等审批手续。</w:t>
      </w:r>
    </w:p>
    <w:p w14:paraId="35D2D32A">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244" w:name="_Toc351203570"/>
      <w:r>
        <w:rPr>
          <w:rFonts w:hint="eastAsia" w:ascii="宋体" w:hAnsi="宋体" w:eastAsia="宋体" w:cs="宋体"/>
          <w:b/>
          <w:bCs/>
          <w:color w:val="000000"/>
          <w:sz w:val="21"/>
          <w:szCs w:val="21"/>
          <w:highlight w:val="none"/>
        </w:rPr>
        <w:t>1</w:t>
      </w:r>
      <w:bookmarkStart w:id="245" w:name="_Toc296346587"/>
      <w:bookmarkStart w:id="246" w:name="_Toc337558790"/>
      <w:bookmarkStart w:id="247" w:name="_Toc296503086"/>
      <w:r>
        <w:rPr>
          <w:rFonts w:hint="eastAsia" w:ascii="宋体" w:hAnsi="宋体" w:eastAsia="宋体" w:cs="宋体"/>
          <w:b/>
          <w:bCs/>
          <w:color w:val="000000"/>
          <w:sz w:val="21"/>
          <w:szCs w:val="21"/>
          <w:highlight w:val="none"/>
        </w:rPr>
        <w:t>0.3变更程序</w:t>
      </w:r>
      <w:bookmarkEnd w:id="244"/>
    </w:p>
    <w:bookmarkEnd w:id="245"/>
    <w:bookmarkEnd w:id="246"/>
    <w:bookmarkEnd w:id="247"/>
    <w:p w14:paraId="7D525CF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10.3.1 发包人提出变更</w:t>
      </w:r>
    </w:p>
    <w:p w14:paraId="5B43E7B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发包人提出变更的，应通过监理人向承包人发出变更指示，变更指示应说明计划变更的工程范围和变更的内容。</w:t>
      </w:r>
    </w:p>
    <w:p w14:paraId="39499A59">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10.3.2 监理人提出变更建议</w:t>
      </w:r>
    </w:p>
    <w:p w14:paraId="006D857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w:t>
      </w:r>
      <w:r>
        <w:rPr>
          <w:rFonts w:hint="eastAsia" w:ascii="宋体" w:hAnsi="宋体" w:cs="宋体"/>
          <w:color w:val="000000"/>
          <w:sz w:val="21"/>
          <w:szCs w:val="21"/>
          <w:highlight w:val="none"/>
        </w:rPr>
        <w:t>发出变更指示。发包人不同意变更的，监理人无权擅自发出变更指示。</w:t>
      </w:r>
    </w:p>
    <w:p w14:paraId="1C1E3A6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10.3.3 变更执行</w:t>
      </w:r>
    </w:p>
    <w:p w14:paraId="71E4D77E">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承包</w:t>
      </w:r>
      <w:r>
        <w:rPr>
          <w:rFonts w:hint="eastAsia" w:ascii="宋体" w:hAnsi="宋体" w:eastAsia="宋体" w:cs="宋体"/>
          <w:color w:val="000000"/>
          <w:sz w:val="21"/>
          <w:szCs w:val="21"/>
          <w:highlight w:val="none"/>
        </w:rPr>
        <w:t>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D1CCD2F">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248" w:name="_Toc351203571"/>
      <w:r>
        <w:rPr>
          <w:rFonts w:hint="eastAsia" w:ascii="宋体" w:hAnsi="宋体" w:eastAsia="宋体" w:cs="宋体"/>
          <w:color w:val="000000"/>
          <w:sz w:val="21"/>
          <w:szCs w:val="21"/>
          <w:highlight w:val="none"/>
        </w:rPr>
        <w:t>1</w:t>
      </w:r>
      <w:bookmarkStart w:id="249" w:name="_Toc337558791"/>
      <w:bookmarkStart w:id="250" w:name="_Toc296346588"/>
      <w:bookmarkStart w:id="251" w:name="_Toc296503087"/>
      <w:r>
        <w:rPr>
          <w:rFonts w:hint="eastAsia" w:ascii="宋体" w:hAnsi="宋体" w:eastAsia="宋体" w:cs="宋体"/>
          <w:color w:val="000000"/>
          <w:sz w:val="21"/>
          <w:szCs w:val="21"/>
          <w:highlight w:val="none"/>
        </w:rPr>
        <w:t>0.4变更估价</w:t>
      </w:r>
      <w:bookmarkEnd w:id="248"/>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本项目不适用</w:t>
      </w:r>
      <w:r>
        <w:rPr>
          <w:rFonts w:hint="eastAsia" w:ascii="宋体" w:hAnsi="宋体" w:eastAsia="宋体" w:cs="宋体"/>
          <w:color w:val="000000"/>
          <w:sz w:val="21"/>
          <w:szCs w:val="21"/>
          <w:highlight w:val="none"/>
          <w:lang w:eastAsia="zh-CN"/>
        </w:rPr>
        <w:t>）</w:t>
      </w:r>
    </w:p>
    <w:bookmarkEnd w:id="249"/>
    <w:bookmarkEnd w:id="250"/>
    <w:bookmarkEnd w:id="251"/>
    <w:p w14:paraId="62CA257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10.4.1 变更估价原则</w:t>
      </w:r>
    </w:p>
    <w:p w14:paraId="5085F5F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除专用合同条款</w:t>
      </w:r>
      <w:r>
        <w:rPr>
          <w:rFonts w:hint="eastAsia" w:ascii="宋体" w:hAnsi="宋体" w:cs="宋体"/>
          <w:color w:val="000000"/>
          <w:sz w:val="21"/>
          <w:szCs w:val="21"/>
          <w:highlight w:val="none"/>
        </w:rPr>
        <w:t>另有约定外，变更估价按照本款约定处理：</w:t>
      </w:r>
    </w:p>
    <w:p w14:paraId="1291135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（1）已标价工程量清单或预算书有相同项目的，按照相同项目单价认定；</w:t>
      </w:r>
    </w:p>
    <w:p w14:paraId="160A0C9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（2）已标价工程量清单或预算书中无相同项目，但有类似项目的，参照类似项目的单价认定；</w:t>
      </w:r>
    </w:p>
    <w:p w14:paraId="7A3061D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73E271D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10.4.2 变更估价程序</w:t>
      </w:r>
    </w:p>
    <w:p w14:paraId="5181EB8C">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w:t>
      </w:r>
      <w:r>
        <w:rPr>
          <w:rFonts w:hint="eastAsia" w:ascii="宋体" w:hAnsi="宋体" w:eastAsia="宋体" w:cs="宋体"/>
          <w:color w:val="000000"/>
          <w:sz w:val="21"/>
          <w:szCs w:val="21"/>
          <w:highlight w:val="none"/>
        </w:rPr>
        <w:t>发包人逾期未完成审批或未提出异议的，视为认可承包人提交的变更估价申请。</w:t>
      </w:r>
    </w:p>
    <w:p w14:paraId="411370C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因变更引起的价格调整应计入最近一期的进度款中支付。</w:t>
      </w:r>
    </w:p>
    <w:p w14:paraId="7D5D852A">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252" w:name="_Toc351203572"/>
      <w:r>
        <w:rPr>
          <w:rFonts w:hint="eastAsia" w:ascii="宋体" w:hAnsi="宋体" w:eastAsia="宋体" w:cs="宋体"/>
          <w:color w:val="000000"/>
          <w:sz w:val="21"/>
          <w:szCs w:val="21"/>
          <w:highlight w:val="none"/>
        </w:rPr>
        <w:t>1</w:t>
      </w:r>
      <w:bookmarkStart w:id="253" w:name="_Toc337558792"/>
      <w:bookmarkStart w:id="254" w:name="_Toc296346595"/>
      <w:bookmarkStart w:id="255" w:name="_Toc296503094"/>
      <w:r>
        <w:rPr>
          <w:rFonts w:hint="eastAsia" w:ascii="宋体" w:hAnsi="宋体" w:eastAsia="宋体" w:cs="宋体"/>
          <w:color w:val="000000"/>
          <w:sz w:val="21"/>
          <w:szCs w:val="21"/>
          <w:highlight w:val="none"/>
        </w:rPr>
        <w:t>0.5承包人的合理化建议</w:t>
      </w:r>
      <w:bookmarkEnd w:id="252"/>
    </w:p>
    <w:bookmarkEnd w:id="253"/>
    <w:bookmarkEnd w:id="254"/>
    <w:bookmarkEnd w:id="255"/>
    <w:p w14:paraId="5D6AF1E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承包人提出合理化</w:t>
      </w:r>
      <w:r>
        <w:rPr>
          <w:rFonts w:hint="eastAsia" w:ascii="宋体" w:hAnsi="宋体" w:cs="宋体"/>
          <w:color w:val="000000"/>
          <w:sz w:val="21"/>
          <w:szCs w:val="21"/>
          <w:highlight w:val="none"/>
        </w:rPr>
        <w:t>建议的，应向监理人提交合理化建议说明，说明建议的内容和理由，以及实施该建议对合同价格和工期的影响。</w:t>
      </w:r>
    </w:p>
    <w:p w14:paraId="3AFB7B00">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w:t>
      </w:r>
      <w:r>
        <w:rPr>
          <w:rFonts w:hint="eastAsia" w:ascii="宋体" w:hAnsi="宋体" w:eastAsia="宋体" w:cs="宋体"/>
          <w:color w:val="000000"/>
          <w:sz w:val="21"/>
          <w:szCs w:val="21"/>
          <w:highlight w:val="none"/>
        </w:rPr>
        <w:t>不同意变更的，监理人应书面通知承包人。</w:t>
      </w:r>
    </w:p>
    <w:p w14:paraId="412C9B7B">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合理化建议降低了合同价格或者提高了工程经济效益的，发包人可对承包人给予奖励，奖励的方法和金额在专用合同条款中约定。</w:t>
      </w:r>
    </w:p>
    <w:p w14:paraId="7D13E042">
      <w:pPr>
        <w:autoSpaceDE w:val="0"/>
        <w:autoSpaceDN w:val="0"/>
        <w:spacing w:line="360" w:lineRule="auto"/>
        <w:ind w:firstLine="420" w:firstLineChars="200"/>
        <w:jc w:val="left"/>
        <w:rPr>
          <w:rFonts w:hint="eastAsia" w:ascii="宋体" w:hAnsi="宋体" w:eastAsia="宋体" w:cs="宋体"/>
          <w:color w:val="000000"/>
          <w:sz w:val="21"/>
          <w:szCs w:val="21"/>
          <w:highlight w:val="none"/>
        </w:rPr>
      </w:pPr>
      <w:bookmarkStart w:id="256" w:name="_Toc351203573"/>
      <w:r>
        <w:rPr>
          <w:rFonts w:hint="eastAsia" w:ascii="宋体" w:hAnsi="宋体" w:eastAsia="宋体" w:cs="宋体"/>
          <w:color w:val="000000"/>
          <w:sz w:val="21"/>
          <w:szCs w:val="21"/>
          <w:highlight w:val="none"/>
        </w:rPr>
        <w:t>1</w:t>
      </w:r>
      <w:bookmarkStart w:id="257" w:name="_Toc337558793"/>
      <w:r>
        <w:rPr>
          <w:rFonts w:hint="eastAsia" w:ascii="宋体" w:hAnsi="宋体" w:eastAsia="宋体" w:cs="宋体"/>
          <w:color w:val="000000"/>
          <w:sz w:val="21"/>
          <w:szCs w:val="21"/>
          <w:highlight w:val="none"/>
        </w:rPr>
        <w:t>0.6变更引起的工期调整</w:t>
      </w:r>
      <w:bookmarkEnd w:id="256"/>
      <w:bookmarkEnd w:id="257"/>
    </w:p>
    <w:p w14:paraId="2B65A11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因变更引起工期变</w:t>
      </w:r>
      <w:r>
        <w:rPr>
          <w:rFonts w:hint="eastAsia" w:ascii="宋体" w:hAnsi="宋体" w:cs="宋体"/>
          <w:color w:val="000000"/>
          <w:sz w:val="21"/>
          <w:szCs w:val="21"/>
          <w:highlight w:val="none"/>
        </w:rPr>
        <w:t>化的，合同当事人均可要求调整合同工期，由合同当事人按照第4.4款〔商定或确定〕并参考工程所在地的工期定额标准确定增减工期天数。</w:t>
      </w:r>
    </w:p>
    <w:p w14:paraId="0B49B41B">
      <w:pPr>
        <w:autoSpaceDE w:val="0"/>
        <w:autoSpaceDN w:val="0"/>
        <w:spacing w:line="360" w:lineRule="auto"/>
        <w:ind w:firstLine="420" w:firstLineChars="200"/>
        <w:jc w:val="left"/>
        <w:rPr>
          <w:rFonts w:hint="eastAsia" w:ascii="宋体" w:hAnsi="宋体" w:eastAsia="宋体" w:cs="宋体"/>
          <w:b/>
          <w:bCs/>
          <w:color w:val="000000"/>
          <w:sz w:val="21"/>
          <w:szCs w:val="21"/>
          <w:highlight w:val="none"/>
        </w:rPr>
      </w:pPr>
      <w:bookmarkStart w:id="258" w:name="_Toc351203574"/>
      <w:r>
        <w:rPr>
          <w:rFonts w:hint="eastAsia" w:ascii="宋体" w:hAnsi="宋体" w:eastAsia="宋体" w:cs="宋体"/>
          <w:b/>
          <w:bCs/>
          <w:color w:val="000000"/>
          <w:sz w:val="21"/>
          <w:szCs w:val="21"/>
          <w:highlight w:val="none"/>
        </w:rPr>
        <w:t>10.7暂估价</w:t>
      </w:r>
      <w:bookmarkEnd w:id="258"/>
      <w:r>
        <w:rPr>
          <w:rFonts w:hint="eastAsia" w:ascii="宋体" w:hAnsi="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本项目不适用</w:t>
      </w:r>
      <w:r>
        <w:rPr>
          <w:rFonts w:hint="eastAsia" w:ascii="宋体" w:hAnsi="宋体" w:cs="宋体"/>
          <w:b/>
          <w:bCs/>
          <w:color w:val="000000"/>
          <w:sz w:val="21"/>
          <w:szCs w:val="21"/>
          <w:highlight w:val="none"/>
          <w:lang w:eastAsia="zh-CN"/>
        </w:rPr>
        <w:t>）</w:t>
      </w:r>
    </w:p>
    <w:p w14:paraId="197D2060">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暂估价专业分包工程、服务、材料和工程设备的明细由合同当事人在专用合同条款中约定。</w:t>
      </w:r>
    </w:p>
    <w:p w14:paraId="578E52E6">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10.7.1 依法必须招标的暂估价项目</w:t>
      </w:r>
    </w:p>
    <w:p w14:paraId="560E36D5">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对于依法必须招标的暂估价项目，采取以下第1种方式确定。合同当事人也可以在专用合同条款中选择其他招标方式。</w:t>
      </w:r>
    </w:p>
    <w:p w14:paraId="0D63C55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第1种方式：对</w:t>
      </w:r>
      <w:r>
        <w:rPr>
          <w:rFonts w:hint="eastAsia" w:ascii="宋体" w:hAnsi="宋体" w:cs="宋体"/>
          <w:color w:val="000000"/>
          <w:sz w:val="21"/>
          <w:szCs w:val="21"/>
          <w:highlight w:val="none"/>
        </w:rPr>
        <w:t>于依法必须招标的暂估价项目，由承包人招标，对该暂估价项目的确认和批准按照以下约定执行：</w:t>
      </w:r>
    </w:p>
    <w:p w14:paraId="39972B3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37AC8E1">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（2）承</w:t>
      </w:r>
      <w:r>
        <w:rPr>
          <w:rFonts w:hint="eastAsia" w:ascii="宋体" w:hAnsi="宋体" w:eastAsia="宋体" w:cs="宋体"/>
          <w:color w:val="000000"/>
          <w:sz w:val="21"/>
          <w:szCs w:val="21"/>
          <w:highlight w:val="none"/>
        </w:rPr>
        <w:t>包人应当根据施工进度计划，提前14天将</w:t>
      </w:r>
      <w:r>
        <w:rPr>
          <w:rFonts w:hint="eastAsia" w:ascii="宋体" w:hAnsi="宋体" w:eastAsia="宋体" w:cs="宋体"/>
          <w:color w:val="000000"/>
          <w:sz w:val="21"/>
          <w:szCs w:val="21"/>
          <w:highlight w:val="none"/>
          <w:lang w:eastAsia="zh-CN"/>
        </w:rPr>
        <w:t>竞争性磋商文件</w:t>
      </w:r>
      <w:r>
        <w:rPr>
          <w:rFonts w:hint="eastAsia" w:ascii="宋体" w:hAnsi="宋体" w:eastAsia="宋体" w:cs="宋体"/>
          <w:color w:val="000000"/>
          <w:sz w:val="21"/>
          <w:szCs w:val="21"/>
          <w:highlight w:val="none"/>
        </w:rPr>
        <w:t>通过监理人报送发包人审批，发包人应当在收到承包人报送的相关文件后7天内完成审批或提出修改意见；发包人有权确定招标控制价并按照法律规定参加评标；</w:t>
      </w:r>
    </w:p>
    <w:p w14:paraId="68511067">
      <w:pPr>
        <w:autoSpaceDE w:val="0"/>
        <w:autoSpaceDN w:val="0"/>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（3）承包人与</w:t>
      </w:r>
      <w:r>
        <w:rPr>
          <w:rFonts w:hint="eastAsia" w:ascii="宋体" w:hAnsi="宋体" w:eastAsia="宋体" w:cs="宋体"/>
          <w:color w:val="000000"/>
          <w:sz w:val="21"/>
          <w:szCs w:val="21"/>
          <w:highlight w:val="none"/>
          <w:lang w:eastAsia="zh-CN"/>
        </w:rPr>
        <w:t>供应商</w:t>
      </w:r>
      <w:r>
        <w:rPr>
          <w:rFonts w:hint="eastAsia" w:ascii="宋体" w:hAnsi="宋体" w:eastAsia="宋体" w:cs="宋体"/>
          <w:color w:val="000000"/>
          <w:sz w:val="21"/>
          <w:szCs w:val="21"/>
          <w:highlight w:val="none"/>
        </w:rPr>
        <w:t>、分包人在签订暂估价合同前，应当提前7天将确定的中标候选</w:t>
      </w:r>
      <w:r>
        <w:rPr>
          <w:rFonts w:hint="eastAsia" w:ascii="宋体" w:hAnsi="宋体" w:eastAsia="宋体" w:cs="宋体"/>
          <w:color w:val="000000"/>
          <w:sz w:val="21"/>
          <w:szCs w:val="21"/>
          <w:highlight w:val="none"/>
          <w:lang w:eastAsia="zh-CN"/>
        </w:rPr>
        <w:t>供应商</w:t>
      </w:r>
      <w:r>
        <w:rPr>
          <w:rFonts w:hint="eastAsia" w:ascii="宋体" w:hAnsi="宋体" w:eastAsia="宋体" w:cs="宋体"/>
          <w:color w:val="000000"/>
          <w:sz w:val="21"/>
          <w:szCs w:val="21"/>
          <w:highlight w:val="none"/>
        </w:rPr>
        <w:t>或中标候选分包人的资料报送发包人，发包人应在收到资料后3天内与承包人共同确定中标人；承包人应当在签订合同后7天内，将暂估价合同副本报送发包人留存。</w:t>
      </w:r>
    </w:p>
    <w:p w14:paraId="61004F2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第2种方式：对于依</w:t>
      </w:r>
      <w:r>
        <w:rPr>
          <w:rFonts w:hint="eastAsia" w:ascii="宋体" w:hAnsi="宋体" w:cs="宋体"/>
          <w:color w:val="000000"/>
          <w:sz w:val="21"/>
          <w:szCs w:val="21"/>
          <w:highlight w:val="none"/>
        </w:rPr>
        <w:t>法必须招标的暂估价项目，由发包人和承包人共同招标确定暂估价</w:t>
      </w:r>
      <w:r>
        <w:rPr>
          <w:rFonts w:hint="eastAsia" w:ascii="宋体" w:hAnsi="宋体" w:cs="宋体"/>
          <w:color w:val="000000"/>
          <w:sz w:val="21"/>
          <w:szCs w:val="21"/>
          <w:highlight w:val="none"/>
          <w:lang w:eastAsia="zh-CN"/>
        </w:rPr>
        <w:t>供应商</w:t>
      </w:r>
      <w:r>
        <w:rPr>
          <w:rFonts w:hint="eastAsia" w:ascii="宋体" w:hAnsi="宋体" w:cs="宋体"/>
          <w:color w:val="000000"/>
          <w:sz w:val="21"/>
          <w:szCs w:val="21"/>
          <w:highlight w:val="none"/>
        </w:rPr>
        <w:t>或分包人的，承包人应按照施工进度计划，在招标工作启动前14天通知发包人，并提交暂估价招标方案和工作分工。发包人应在收到后7天内确认。确定中标人后，由发包人、承包人与中标人共同签订暂估价合同。</w:t>
      </w:r>
    </w:p>
    <w:p w14:paraId="21FF57A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10.7.2不属于依法必须招标的暂估价项目</w:t>
      </w:r>
    </w:p>
    <w:p w14:paraId="5C62B14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除专用合同条款另有约定外，对于不属于依法必须招标的暂估价项目，采取以下第1种方式确定：</w:t>
      </w:r>
    </w:p>
    <w:p w14:paraId="3255D66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第1种方式：对于不属于依法必须招标的暂估价项目，按本项约定确认和批准：</w:t>
      </w:r>
    </w:p>
    <w:p w14:paraId="0FEDC49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6BEF5F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（2）发包人认为承包人确定的</w:t>
      </w:r>
      <w:r>
        <w:rPr>
          <w:rFonts w:hint="eastAsia" w:ascii="宋体" w:hAnsi="宋体" w:cs="宋体"/>
          <w:color w:val="000000"/>
          <w:sz w:val="21"/>
          <w:szCs w:val="21"/>
          <w:highlight w:val="none"/>
          <w:lang w:eastAsia="zh-CN"/>
        </w:rPr>
        <w:t>供应商</w:t>
      </w:r>
      <w:r>
        <w:rPr>
          <w:rFonts w:hint="eastAsia" w:ascii="宋体" w:hAnsi="宋体" w:cs="宋体"/>
          <w:color w:val="000000"/>
          <w:sz w:val="21"/>
          <w:szCs w:val="21"/>
          <w:highlight w:val="none"/>
        </w:rPr>
        <w:t>、分包人无法满足工程质量或合同要求的，发包人可以要求承包人重新确定暂估价项目的</w:t>
      </w:r>
      <w:r>
        <w:rPr>
          <w:rFonts w:hint="eastAsia" w:ascii="宋体" w:hAnsi="宋体" w:cs="宋体"/>
          <w:color w:val="000000"/>
          <w:sz w:val="21"/>
          <w:szCs w:val="21"/>
          <w:highlight w:val="none"/>
          <w:lang w:eastAsia="zh-CN"/>
        </w:rPr>
        <w:t>供应商</w:t>
      </w:r>
      <w:r>
        <w:rPr>
          <w:rFonts w:hint="eastAsia" w:ascii="宋体" w:hAnsi="宋体" w:cs="宋体"/>
          <w:color w:val="000000"/>
          <w:sz w:val="21"/>
          <w:szCs w:val="21"/>
          <w:highlight w:val="none"/>
        </w:rPr>
        <w:t>、分包人;</w:t>
      </w:r>
    </w:p>
    <w:p w14:paraId="58B6D77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（3）承包人应当在签订暂估价合同后7天内，将暂估价合同副本报送发包人留存。</w:t>
      </w:r>
    </w:p>
    <w:p w14:paraId="25DBAB7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第2种方式：承包人按照第10.7.1项〔依法必须招标的暂估价项目〕约定的第1种方式确定暂估价项目。</w:t>
      </w:r>
    </w:p>
    <w:p w14:paraId="407116A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第3种方式：承包人直接实施的暂估价项目</w:t>
      </w:r>
    </w:p>
    <w:p w14:paraId="51D4BC7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承包人具备实施暂估价项目的资格和条件的，经发包人和承包人协商一致后，可由承包人自行实施暂估价项目，合同当事人可以在专用合同条款约定具体事项。</w:t>
      </w:r>
    </w:p>
    <w:p w14:paraId="39627576">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 xml:space="preserve">10.7.3 </w:t>
      </w:r>
      <w:r>
        <w:rPr>
          <w:rFonts w:hint="eastAsia" w:ascii="宋体" w:hAnsi="宋体" w:eastAsia="宋体" w:cs="宋体"/>
          <w:color w:val="000000"/>
          <w:sz w:val="21"/>
          <w:szCs w:val="21"/>
          <w:highlight w:val="none"/>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7E65B672">
      <w:pPr>
        <w:autoSpaceDE w:val="0"/>
        <w:autoSpaceDN w:val="0"/>
        <w:spacing w:line="360" w:lineRule="auto"/>
        <w:ind w:firstLine="420" w:firstLineChars="200"/>
        <w:jc w:val="left"/>
        <w:rPr>
          <w:rFonts w:hint="eastAsia" w:ascii="宋体" w:hAnsi="宋体" w:eastAsia="宋体" w:cs="宋体"/>
          <w:b/>
          <w:bCs/>
          <w:color w:val="000000"/>
          <w:sz w:val="21"/>
          <w:szCs w:val="21"/>
          <w:highlight w:val="none"/>
          <w:lang w:val="en-US" w:eastAsia="zh-CN"/>
        </w:rPr>
      </w:pPr>
      <w:bookmarkStart w:id="259" w:name="_Toc351203575"/>
      <w:r>
        <w:rPr>
          <w:rFonts w:hint="eastAsia" w:ascii="宋体" w:hAnsi="宋体" w:eastAsia="宋体" w:cs="宋体"/>
          <w:b/>
          <w:bCs/>
          <w:color w:val="000000"/>
          <w:sz w:val="21"/>
          <w:szCs w:val="21"/>
          <w:highlight w:val="none"/>
        </w:rPr>
        <w:t>1</w:t>
      </w:r>
      <w:bookmarkStart w:id="260" w:name="_Toc337558794"/>
      <w:bookmarkStart w:id="261" w:name="_Toc296346591"/>
      <w:bookmarkStart w:id="262" w:name="_Toc322522561"/>
      <w:bookmarkStart w:id="263" w:name="_Toc296503090"/>
      <w:r>
        <w:rPr>
          <w:rFonts w:hint="eastAsia" w:ascii="宋体" w:hAnsi="宋体" w:eastAsia="宋体" w:cs="宋体"/>
          <w:b/>
          <w:bCs/>
          <w:color w:val="000000"/>
          <w:sz w:val="21"/>
          <w:szCs w:val="21"/>
          <w:highlight w:val="none"/>
        </w:rPr>
        <w:t>0.8</w:t>
      </w:r>
      <w:bookmarkEnd w:id="259"/>
      <w:r>
        <w:rPr>
          <w:rFonts w:hint="eastAsia" w:ascii="宋体" w:hAnsi="宋体" w:eastAsia="宋体" w:cs="宋体"/>
          <w:b/>
          <w:bCs/>
          <w:color w:val="000000"/>
          <w:sz w:val="21"/>
          <w:szCs w:val="21"/>
          <w:highlight w:val="none"/>
          <w:lang w:val="en-US" w:eastAsia="zh-CN"/>
        </w:rPr>
        <w:t xml:space="preserve"> 暂列金额</w:t>
      </w:r>
    </w:p>
    <w:bookmarkEnd w:id="260"/>
    <w:p w14:paraId="00F9110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暂列金额应按照发包人的要求使用，发包人的要求应通过监理人发出。合同当事人可以在专用合同条款中协商确定有关事项。</w:t>
      </w:r>
    </w:p>
    <w:bookmarkEnd w:id="261"/>
    <w:bookmarkEnd w:id="262"/>
    <w:bookmarkEnd w:id="263"/>
    <w:p w14:paraId="193E47F8">
      <w:pPr>
        <w:spacing w:line="360" w:lineRule="auto"/>
        <w:ind w:firstLine="420" w:firstLineChars="200"/>
        <w:jc w:val="left"/>
        <w:rPr>
          <w:rFonts w:hint="eastAsia" w:ascii="宋体" w:hAnsi="宋体" w:eastAsia="宋体" w:cs="宋体"/>
          <w:b/>
          <w:bCs/>
          <w:color w:val="000000"/>
          <w:sz w:val="21"/>
          <w:szCs w:val="21"/>
          <w:highlight w:val="none"/>
        </w:rPr>
      </w:pPr>
      <w:bookmarkStart w:id="264" w:name="_Toc351203576"/>
      <w:r>
        <w:rPr>
          <w:rFonts w:hint="eastAsia" w:ascii="宋体" w:hAnsi="宋体" w:eastAsia="宋体" w:cs="宋体"/>
          <w:b/>
          <w:bCs/>
          <w:color w:val="000000"/>
          <w:sz w:val="21"/>
          <w:szCs w:val="21"/>
          <w:highlight w:val="none"/>
        </w:rPr>
        <w:t>1</w:t>
      </w:r>
      <w:bookmarkStart w:id="265" w:name="_Toc296503091"/>
      <w:bookmarkStart w:id="266" w:name="_Toc296346592"/>
      <w:bookmarkStart w:id="267" w:name="_Toc337558796"/>
      <w:r>
        <w:rPr>
          <w:rFonts w:hint="eastAsia" w:ascii="宋体" w:hAnsi="宋体" w:eastAsia="宋体" w:cs="宋体"/>
          <w:b/>
          <w:bCs/>
          <w:color w:val="000000"/>
          <w:sz w:val="21"/>
          <w:szCs w:val="21"/>
          <w:highlight w:val="none"/>
        </w:rPr>
        <w:t>0.9计日工</w:t>
      </w:r>
      <w:bookmarkEnd w:id="264"/>
      <w:bookmarkEnd w:id="265"/>
      <w:bookmarkEnd w:id="266"/>
      <w:bookmarkEnd w:id="267"/>
    </w:p>
    <w:p w14:paraId="0A0FE1E7">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需要采用计日工方式的，经发包人同意后，由监理人通知承包人以计日工计价方式实施相应的工作，其价</w:t>
      </w:r>
      <w:r>
        <w:rPr>
          <w:rFonts w:hint="eastAsia" w:ascii="宋体" w:hAnsi="宋体" w:cs="宋体"/>
          <w:color w:val="000000"/>
          <w:sz w:val="21"/>
          <w:szCs w:val="21"/>
          <w:highlight w:val="none"/>
        </w:rPr>
        <w:t>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122CE6C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采用计日工计价的任何一项工作，承包人应在该项工作实施过程中，每天提交以下报表和有关凭证报送监理人审查：</w:t>
      </w:r>
    </w:p>
    <w:p w14:paraId="59C144F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（1）工作名称、内容和数量；</w:t>
      </w:r>
    </w:p>
    <w:p w14:paraId="25B7561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（2）投入该工作的所有人员的姓名、专业、工种、级别和耗用工时；</w:t>
      </w:r>
    </w:p>
    <w:p w14:paraId="7EF11E9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（3）投入该工作的材料类别和数量；</w:t>
      </w:r>
    </w:p>
    <w:p w14:paraId="53749FA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（4）投入该工作的施工设备型号、台数和耗用台时；</w:t>
      </w:r>
    </w:p>
    <w:p w14:paraId="422D4D4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（5）其他有</w:t>
      </w:r>
      <w:r>
        <w:rPr>
          <w:rFonts w:hint="eastAsia" w:ascii="宋体" w:hAnsi="宋体" w:eastAsia="宋体" w:cs="宋体"/>
          <w:color w:val="000000"/>
          <w:sz w:val="21"/>
          <w:szCs w:val="21"/>
          <w:highlight w:val="none"/>
        </w:rPr>
        <w:t>关资料和凭证。</w:t>
      </w:r>
    </w:p>
    <w:p w14:paraId="0E50C0F2">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计日工由承包人汇总后，列入最近一期进度付款申请单，由监理人审查并经发包人批准后列入进度付款。</w:t>
      </w:r>
    </w:p>
    <w:p w14:paraId="60E51B74">
      <w:pPr>
        <w:autoSpaceDE w:val="0"/>
        <w:autoSpaceDN w:val="0"/>
        <w:spacing w:line="360" w:lineRule="auto"/>
        <w:ind w:firstLine="420" w:firstLineChars="200"/>
        <w:jc w:val="left"/>
        <w:rPr>
          <w:rFonts w:hint="default" w:ascii="宋体" w:hAnsi="宋体" w:eastAsia="宋体" w:cs="宋体"/>
          <w:b/>
          <w:bCs/>
          <w:color w:val="000000"/>
          <w:sz w:val="21"/>
          <w:szCs w:val="21"/>
          <w:highlight w:val="none"/>
        </w:rPr>
      </w:pPr>
      <w:bookmarkStart w:id="268" w:name="_Toc351203577"/>
      <w:r>
        <w:rPr>
          <w:rFonts w:hint="eastAsia" w:ascii="宋体" w:hAnsi="宋体" w:eastAsia="宋体" w:cs="宋体"/>
          <w:b/>
          <w:bCs/>
          <w:color w:val="000000"/>
          <w:sz w:val="21"/>
          <w:szCs w:val="21"/>
          <w:highlight w:val="none"/>
        </w:rPr>
        <w:t>11.价格调整</w:t>
      </w:r>
      <w:bookmarkEnd w:id="268"/>
      <w:r>
        <w:rPr>
          <w:rFonts w:hint="eastAsia" w:ascii="宋体" w:hAnsi="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本项目不适用</w:t>
      </w:r>
      <w:r>
        <w:rPr>
          <w:rFonts w:hint="eastAsia" w:ascii="宋体" w:hAnsi="宋体" w:cs="宋体"/>
          <w:b/>
          <w:bCs/>
          <w:color w:val="000000"/>
          <w:sz w:val="21"/>
          <w:szCs w:val="21"/>
          <w:highlight w:val="none"/>
          <w:lang w:eastAsia="zh-CN"/>
        </w:rPr>
        <w:t>）</w:t>
      </w:r>
    </w:p>
    <w:p w14:paraId="0EFEBC40">
      <w:pPr>
        <w:spacing w:line="360" w:lineRule="auto"/>
        <w:ind w:firstLine="420" w:firstLineChars="200"/>
        <w:jc w:val="left"/>
        <w:rPr>
          <w:rFonts w:hint="eastAsia" w:ascii="宋体" w:hAnsi="宋体" w:eastAsia="宋体" w:cs="宋体"/>
          <w:color w:val="000000"/>
          <w:sz w:val="21"/>
          <w:szCs w:val="21"/>
          <w:highlight w:val="none"/>
        </w:rPr>
      </w:pPr>
      <w:bookmarkStart w:id="269" w:name="_Toc351203578"/>
      <w:bookmarkStart w:id="270" w:name="_Toc337558797"/>
      <w:bookmarkStart w:id="271" w:name="_Toc296503092"/>
      <w:bookmarkStart w:id="272" w:name="_Toc296346593"/>
      <w:r>
        <w:rPr>
          <w:rFonts w:hint="eastAsia" w:ascii="宋体" w:hAnsi="宋体" w:eastAsia="宋体" w:cs="宋体"/>
          <w:color w:val="000000"/>
          <w:sz w:val="21"/>
          <w:szCs w:val="21"/>
          <w:highlight w:val="none"/>
        </w:rPr>
        <w:t>11.1市场价格波动引起的调整</w:t>
      </w:r>
      <w:bookmarkEnd w:id="269"/>
    </w:p>
    <w:bookmarkEnd w:id="270"/>
    <w:bookmarkEnd w:id="271"/>
    <w:bookmarkEnd w:id="272"/>
    <w:p w14:paraId="57F0F20D">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5DF6958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第1种方式：采用价格指数进行价格调整。</w:t>
      </w:r>
    </w:p>
    <w:p w14:paraId="698A1352">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（1）价格调整公式</w:t>
      </w:r>
    </w:p>
    <w:p w14:paraId="0711FBA5">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因人工、材料和设备等价格波动影响合同价格时，根据专用合同条款中约定的数据，按以下公式计算差额并调整合同价格：</w:t>
      </w:r>
    </w:p>
    <w:p w14:paraId="0040C120">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position w:val="-30"/>
          <w:sz w:val="21"/>
          <w:szCs w:val="21"/>
          <w:highlight w:val="none"/>
        </w:rPr>
        <w:object>
          <v:shape id="_x0000_i1030" o:spt="75" type="#_x0000_t75" style="height:43.5pt;width:360pt;" o:ole="t" filled="f" o:preferrelative="t" stroked="f" coordsize="21600,21600">
            <v:path/>
            <v:fill on="f" focussize="0,0"/>
            <v:stroke on="f" joinstyle="miter"/>
            <v:imagedata r:id="rId8" o:title=""/>
            <o:lock v:ext="edit" aspectratio="t"/>
            <w10:wrap type="none"/>
            <w10:anchorlock/>
          </v:shape>
          <o:OLEObject Type="Embed" ProgID="Equations" ShapeID="_x0000_i1030" DrawAspect="Content" ObjectID="_1468075725" r:id="rId7">
            <o:LockedField>false</o:LockedField>
          </o:OLEObject>
        </w:object>
      </w:r>
    </w:p>
    <w:p w14:paraId="7B29219B">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公式中：ΔP——需调整的价格差额；</w:t>
      </w:r>
    </w:p>
    <w:p w14:paraId="56032084">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position w:val="-6"/>
          <w:sz w:val="21"/>
          <w:szCs w:val="21"/>
          <w:highlight w:val="none"/>
        </w:rPr>
        <w:object>
          <v:shape id="_x0000_i1031" o:spt="75" type="#_x0000_t75" style="height:17.25pt;width:17.25pt;" o:ole="t" filled="f" o:preferrelative="t" stroked="f" coordsize="21600,21600">
            <v:path/>
            <v:fill on="f" focussize="0,0"/>
            <v:stroke on="f" joinstyle="miter"/>
            <v:imagedata r:id="rId10" o:title=""/>
            <o:lock v:ext="edit" aspectratio="t"/>
            <w10:wrap type="none"/>
            <w10:anchorlock/>
          </v:shape>
          <o:OLEObject Type="Embed" ProgID="Equations" ShapeID="_x0000_i1031" DrawAspect="Content" ObjectID="_1468075726" r:id="rId9">
            <o:LockedField>false</o:LockedField>
          </o:OLEObject>
        </w:object>
      </w:r>
      <w:r>
        <w:rPr>
          <w:rFonts w:hint="eastAsia" w:ascii="宋体" w:hAnsi="宋体" w:cs="宋体"/>
          <w:color w:val="000000"/>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793FE41">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A——定值权重（即不调部分的权重）；</w:t>
      </w:r>
    </w:p>
    <w:p w14:paraId="2F32563C">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position w:val="-10"/>
          <w:sz w:val="21"/>
          <w:szCs w:val="21"/>
          <w:highlight w:val="none"/>
        </w:rPr>
        <w:object>
          <v:shape id="_x0000_i1032" o:spt="75" type="#_x0000_t75" style="height:21pt;width:102pt;" o:ole="t" filled="f" o:preferrelative="t" stroked="f" coordsize="21600,21600">
            <v:path/>
            <v:fill on="f" focussize="0,0"/>
            <v:stroke on="f" joinstyle="miter"/>
            <v:imagedata r:id="rId12" o:title=""/>
            <o:lock v:ext="edit" aspectratio="t"/>
            <w10:wrap type="none"/>
            <w10:anchorlock/>
          </v:shape>
          <o:OLEObject Type="Embed" ProgID="Equations" ShapeID="_x0000_i1032" DrawAspect="Content" ObjectID="_1468075727" r:id="rId11">
            <o:LockedField>false</o:LockedField>
          </o:OLEObject>
        </w:object>
      </w:r>
      <w:r>
        <w:rPr>
          <w:rFonts w:hint="eastAsia" w:ascii="宋体" w:hAnsi="宋体" w:cs="宋体"/>
          <w:color w:val="000000"/>
          <w:sz w:val="21"/>
          <w:szCs w:val="21"/>
          <w:highlight w:val="none"/>
        </w:rPr>
        <w:t>——各可调因子的变值权重（即可调部分的权重），为各可调因子在签约合同价中所占的比例；</w:t>
      </w:r>
    </w:p>
    <w:p w14:paraId="24E8AE79">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position w:val="-10"/>
          <w:sz w:val="21"/>
          <w:szCs w:val="21"/>
          <w:highlight w:val="none"/>
        </w:rPr>
        <w:object>
          <v:shape id="_x0000_i1033" o:spt="75" type="#_x0000_t75" style="height:21pt;width:102pt;" o:ole="t" filled="f" o:preferrelative="t" stroked="f" coordsize="21600,21600">
            <v:path/>
            <v:fill on="f" focussize="0,0"/>
            <v:stroke on="f" joinstyle="miter"/>
            <v:imagedata r:id="rId14" o:title=""/>
            <o:lock v:ext="edit" aspectratio="t"/>
            <w10:wrap type="none"/>
            <w10:anchorlock/>
          </v:shape>
          <o:OLEObject Type="Embed" ProgID="Equations" ShapeID="_x0000_i1033" DrawAspect="Content" ObjectID="_1468075728" r:id="rId13">
            <o:LockedField>false</o:LockedField>
          </o:OLEObject>
        </w:object>
      </w:r>
      <w:r>
        <w:rPr>
          <w:rFonts w:hint="eastAsia" w:ascii="宋体" w:hAnsi="宋体" w:cs="宋体"/>
          <w:color w:val="000000"/>
          <w:sz w:val="21"/>
          <w:szCs w:val="21"/>
          <w:highlight w:val="none"/>
        </w:rPr>
        <w:t>——各可调因子的现行价格指数，指约定的付款证书相关周期最后一天的前42天的各可调因子的价格指数；</w:t>
      </w:r>
    </w:p>
    <w:p w14:paraId="61A0A3E1">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position w:val="-10"/>
          <w:sz w:val="21"/>
          <w:szCs w:val="21"/>
          <w:highlight w:val="none"/>
        </w:rPr>
        <w:object>
          <v:shape id="_x0000_i1034" o:spt="75" type="#_x0000_t75" style="height:21pt;width:107.25pt;" o:ole="t" filled="f" o:preferrelative="t" stroked="f" coordsize="21600,21600">
            <v:path/>
            <v:fill on="f" focussize="0,0"/>
            <v:stroke on="f" joinstyle="miter"/>
            <v:imagedata r:id="rId16" o:title=""/>
            <o:lock v:ext="edit" aspectratio="t"/>
            <w10:wrap type="none"/>
            <w10:anchorlock/>
          </v:shape>
          <o:OLEObject Type="Embed" ProgID="Equations" ShapeID="_x0000_i1034" DrawAspect="Content" ObjectID="_1468075729" r:id="rId15">
            <o:LockedField>false</o:LockedField>
          </o:OLEObject>
        </w:object>
      </w:r>
      <w:r>
        <w:rPr>
          <w:rFonts w:hint="eastAsia" w:ascii="宋体" w:hAnsi="宋体" w:cs="宋体"/>
          <w:color w:val="000000"/>
          <w:sz w:val="21"/>
          <w:szCs w:val="21"/>
          <w:highlight w:val="none"/>
        </w:rPr>
        <w:t>——各可调因子的基本价格指数，指基准日期的各可调因子的价格指数。</w:t>
      </w:r>
    </w:p>
    <w:p w14:paraId="1EE80E25">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D2C0C87">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（2）暂时确定调整差额</w:t>
      </w:r>
    </w:p>
    <w:p w14:paraId="10765F7A">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在计算调整差额时无现行价格指数的，合同当事人同意暂用前次价格指数计算。实际价格指数有调整的，合同当事人进行相应调整。</w:t>
      </w:r>
    </w:p>
    <w:p w14:paraId="3C1EFC25">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（3）权重的调整</w:t>
      </w:r>
    </w:p>
    <w:p w14:paraId="05FEE13D">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因变更导致合同约定的权重不合理时，按照第4.4款〔商定或确定〕执行。</w:t>
      </w:r>
    </w:p>
    <w:p w14:paraId="2AB5EF00">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（4）因承包人原因工期延误后的价格调整</w:t>
      </w:r>
    </w:p>
    <w:p w14:paraId="4FC0C884">
      <w:pPr>
        <w:tabs>
          <w:tab w:val="left" w:pos="0"/>
          <w:tab w:val="left" w:pos="360"/>
          <w:tab w:val="left" w:pos="540"/>
        </w:tabs>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54DBCB9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第2种方式：采用造价信息进行价格调整。</w:t>
      </w:r>
    </w:p>
    <w:p w14:paraId="17917113">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0AA1EE7B">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DE592C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（2）材料、工程设备价格变化的价款调整按照发包人提供的基准价格，按以下风险范围规定执行:</w:t>
      </w:r>
    </w:p>
    <w:p w14:paraId="3965A82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9DA640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0867398">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32223DC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C2FA3D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前述基准价格是指由发包人在</w:t>
      </w:r>
      <w:r>
        <w:rPr>
          <w:rFonts w:hint="eastAsia" w:ascii="宋体" w:hAnsi="宋体" w:cs="宋体"/>
          <w:color w:val="000000"/>
          <w:sz w:val="21"/>
          <w:szCs w:val="21"/>
          <w:highlight w:val="none"/>
          <w:lang w:eastAsia="zh-CN"/>
        </w:rPr>
        <w:t>竞争性磋商文件</w:t>
      </w:r>
      <w:r>
        <w:rPr>
          <w:rFonts w:hint="eastAsia" w:ascii="宋体" w:hAnsi="宋体" w:cs="宋体"/>
          <w:color w:val="000000"/>
          <w:sz w:val="21"/>
          <w:szCs w:val="21"/>
          <w:highlight w:val="none"/>
        </w:rPr>
        <w:t>或专用合同条款中给定的材料、工程设备的价格，该价格原则上应当按照省级或行业建设主管部门或其授权的工程造价管理机构发布的信息价编制。</w:t>
      </w:r>
    </w:p>
    <w:p w14:paraId="78310534">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（3）施工机械台班单价或施工机械使用费发生变化超过省级或行业建设主管部门或其授权的工程</w:t>
      </w:r>
      <w:r>
        <w:rPr>
          <w:rFonts w:hint="eastAsia" w:ascii="宋体" w:hAnsi="宋体" w:eastAsia="宋体" w:cs="宋体"/>
          <w:color w:val="000000"/>
          <w:sz w:val="21"/>
          <w:szCs w:val="21"/>
          <w:highlight w:val="none"/>
        </w:rPr>
        <w:t>造价管理机构规定的范围时，按规定调整合同价格。</w:t>
      </w:r>
    </w:p>
    <w:p w14:paraId="3AE516F2">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第3种方式：专用合同条款约定的其他方式。</w:t>
      </w:r>
    </w:p>
    <w:p w14:paraId="4178B8AC">
      <w:pPr>
        <w:spacing w:line="360" w:lineRule="auto"/>
        <w:ind w:firstLine="420" w:firstLineChars="200"/>
        <w:jc w:val="left"/>
        <w:rPr>
          <w:rFonts w:hint="eastAsia" w:ascii="宋体" w:hAnsi="宋体" w:eastAsia="宋体" w:cs="宋体"/>
          <w:color w:val="000000"/>
          <w:sz w:val="21"/>
          <w:szCs w:val="21"/>
          <w:highlight w:val="none"/>
        </w:rPr>
      </w:pPr>
      <w:bookmarkStart w:id="273" w:name="_Toc351203579"/>
      <w:bookmarkStart w:id="274" w:name="_Toc296346594"/>
      <w:bookmarkStart w:id="275" w:name="_Toc337558798"/>
      <w:bookmarkStart w:id="276" w:name="_Toc296503093"/>
      <w:r>
        <w:rPr>
          <w:rFonts w:hint="eastAsia" w:ascii="宋体" w:hAnsi="宋体" w:eastAsia="宋体" w:cs="宋体"/>
          <w:color w:val="000000"/>
          <w:sz w:val="21"/>
          <w:szCs w:val="21"/>
          <w:highlight w:val="none"/>
        </w:rPr>
        <w:t>11.2法律变化引起的调整</w:t>
      </w:r>
      <w:bookmarkEnd w:id="273"/>
    </w:p>
    <w:bookmarkEnd w:id="274"/>
    <w:bookmarkEnd w:id="275"/>
    <w:bookmarkEnd w:id="276"/>
    <w:p w14:paraId="722B83AB">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基准日期后，法律变</w:t>
      </w:r>
      <w:r>
        <w:rPr>
          <w:rFonts w:hint="eastAsia" w:ascii="宋体" w:hAnsi="宋体" w:cs="宋体"/>
          <w:color w:val="000000"/>
          <w:sz w:val="21"/>
          <w:szCs w:val="21"/>
          <w:highlight w:val="none"/>
        </w:rPr>
        <w:t>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A83EA04">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因法律变化引起的合同价格和工期调整，合同当事人无法达成一致的，由总监理工程师按第4.4款〔商定或确定〕的约定处理。</w:t>
      </w:r>
    </w:p>
    <w:p w14:paraId="2DDCC06C">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因承包人</w:t>
      </w:r>
      <w:r>
        <w:rPr>
          <w:rFonts w:hint="eastAsia" w:ascii="宋体" w:hAnsi="宋体" w:eastAsia="宋体" w:cs="宋体"/>
          <w:color w:val="000000"/>
          <w:sz w:val="21"/>
          <w:szCs w:val="21"/>
          <w:highlight w:val="none"/>
        </w:rPr>
        <w:t>原因造成工期延误，在工期延误期间出现法律变化的，由此增加的费用和（或）延误的工期由承包人承担。</w:t>
      </w:r>
    </w:p>
    <w:p w14:paraId="3C5453C4">
      <w:pPr>
        <w:spacing w:line="360" w:lineRule="auto"/>
        <w:ind w:firstLine="420" w:firstLineChars="200"/>
        <w:jc w:val="left"/>
        <w:rPr>
          <w:rFonts w:hint="default" w:ascii="宋体" w:hAnsi="宋体" w:eastAsia="宋体" w:cs="宋体"/>
          <w:color w:val="000000"/>
          <w:sz w:val="21"/>
          <w:szCs w:val="21"/>
          <w:highlight w:val="none"/>
        </w:rPr>
      </w:pPr>
      <w:bookmarkStart w:id="277" w:name="_Toc351203580"/>
      <w:bookmarkStart w:id="278" w:name="_Toc337558799"/>
      <w:bookmarkStart w:id="279" w:name="_Toc296503096"/>
      <w:bookmarkStart w:id="280" w:name="_Toc296346597"/>
      <w:r>
        <w:rPr>
          <w:rFonts w:hint="eastAsia" w:ascii="宋体" w:hAnsi="宋体" w:eastAsia="宋体" w:cs="宋体"/>
          <w:color w:val="000000"/>
          <w:sz w:val="21"/>
          <w:szCs w:val="21"/>
          <w:highlight w:val="none"/>
        </w:rPr>
        <w:t>12. 合同价格、计量与支付</w:t>
      </w:r>
      <w:bookmarkEnd w:id="277"/>
    </w:p>
    <w:bookmarkEnd w:id="278"/>
    <w:p w14:paraId="19F840CC">
      <w:pPr>
        <w:spacing w:line="360" w:lineRule="auto"/>
        <w:ind w:firstLine="420" w:firstLineChars="200"/>
        <w:jc w:val="left"/>
        <w:rPr>
          <w:rFonts w:hint="eastAsia" w:ascii="宋体" w:hAnsi="宋体" w:eastAsia="宋体" w:cs="宋体"/>
          <w:color w:val="000000"/>
          <w:sz w:val="21"/>
          <w:szCs w:val="21"/>
          <w:highlight w:val="none"/>
        </w:rPr>
      </w:pPr>
      <w:bookmarkStart w:id="281" w:name="_Toc351203581"/>
      <w:bookmarkStart w:id="282" w:name="_Toc337558800"/>
      <w:r>
        <w:rPr>
          <w:rFonts w:hint="eastAsia" w:ascii="宋体" w:hAnsi="宋体" w:eastAsia="宋体" w:cs="宋体"/>
          <w:color w:val="000000"/>
          <w:sz w:val="21"/>
          <w:szCs w:val="21"/>
          <w:highlight w:val="none"/>
        </w:rPr>
        <w:t>12.1 合同价</w:t>
      </w:r>
      <w:bookmarkEnd w:id="279"/>
      <w:bookmarkEnd w:id="280"/>
      <w:r>
        <w:rPr>
          <w:rFonts w:hint="eastAsia" w:ascii="宋体" w:hAnsi="宋体" w:eastAsia="宋体" w:cs="宋体"/>
          <w:color w:val="000000"/>
          <w:sz w:val="21"/>
          <w:szCs w:val="21"/>
          <w:highlight w:val="none"/>
        </w:rPr>
        <w:t>格形式</w:t>
      </w:r>
      <w:bookmarkEnd w:id="281"/>
    </w:p>
    <w:bookmarkEnd w:id="282"/>
    <w:p w14:paraId="19EE1946">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发包人和承包人应在合同协议书中选择下列一种合同价格形式： </w:t>
      </w:r>
    </w:p>
    <w:p w14:paraId="3F9F080B">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单价合同</w:t>
      </w:r>
    </w:p>
    <w:p w14:paraId="076027CA">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483D865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总价合同</w:t>
      </w:r>
    </w:p>
    <w:p w14:paraId="2FE98313">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E133816">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其它价格形式</w:t>
      </w:r>
    </w:p>
    <w:p w14:paraId="31BF8E3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合同当事人可在专用合同条款中约定其他合同价格形式。</w:t>
      </w:r>
    </w:p>
    <w:p w14:paraId="163B9BEC">
      <w:pPr>
        <w:spacing w:line="360" w:lineRule="auto"/>
        <w:ind w:firstLine="420" w:firstLineChars="200"/>
        <w:jc w:val="left"/>
        <w:rPr>
          <w:rFonts w:hint="eastAsia" w:ascii="宋体" w:hAnsi="宋体" w:eastAsia="宋体" w:cs="宋体"/>
          <w:b/>
          <w:bCs/>
          <w:color w:val="000000"/>
          <w:sz w:val="21"/>
          <w:szCs w:val="21"/>
          <w:highlight w:val="none"/>
        </w:rPr>
      </w:pPr>
      <w:bookmarkStart w:id="283" w:name="_Toc296346598"/>
      <w:bookmarkStart w:id="284" w:name="_Toc296503097"/>
      <w:bookmarkStart w:id="285" w:name="_Toc351203582"/>
      <w:bookmarkStart w:id="286" w:name="_Toc337558801"/>
      <w:r>
        <w:rPr>
          <w:rFonts w:hint="eastAsia" w:ascii="宋体" w:hAnsi="宋体" w:eastAsia="宋体" w:cs="宋体"/>
          <w:b/>
          <w:bCs/>
          <w:color w:val="000000"/>
          <w:sz w:val="21"/>
          <w:szCs w:val="21"/>
          <w:highlight w:val="none"/>
        </w:rPr>
        <w:t>12.2预</w:t>
      </w:r>
      <w:bookmarkEnd w:id="283"/>
      <w:bookmarkEnd w:id="284"/>
      <w:bookmarkStart w:id="287" w:name="_Toc296346601"/>
      <w:bookmarkStart w:id="288" w:name="_Toc296503100"/>
      <w:r>
        <w:rPr>
          <w:rFonts w:hint="eastAsia" w:ascii="宋体" w:hAnsi="宋体" w:eastAsia="宋体" w:cs="宋体"/>
          <w:b/>
          <w:bCs/>
          <w:color w:val="000000"/>
          <w:sz w:val="21"/>
          <w:szCs w:val="21"/>
          <w:highlight w:val="none"/>
        </w:rPr>
        <w:t>付款</w:t>
      </w:r>
      <w:bookmarkEnd w:id="285"/>
    </w:p>
    <w:bookmarkEnd w:id="286"/>
    <w:bookmarkEnd w:id="287"/>
    <w:bookmarkEnd w:id="288"/>
    <w:p w14:paraId="06EBC3F0">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12.2.1预付款的支付</w:t>
      </w:r>
    </w:p>
    <w:p w14:paraId="14675B86">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预付款的支付按照专</w:t>
      </w:r>
      <w:r>
        <w:rPr>
          <w:rFonts w:hint="eastAsia" w:ascii="宋体" w:hAnsi="宋体" w:cs="宋体"/>
          <w:color w:val="000000"/>
          <w:sz w:val="21"/>
          <w:szCs w:val="21"/>
          <w:highlight w:val="none"/>
        </w:rPr>
        <w:t>用合同条款约定执行，但至迟应在开工通知载明的开工日期7天前支付。预付款应当用于材料、工程设备、施工设备的采购及修建临时工程、组织施工队伍进场等。</w:t>
      </w:r>
    </w:p>
    <w:p w14:paraId="13D9851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除专用合同条款另有约定外，预付款在进度付款中同比例扣回。在颁发工程接收证书前，提前解除合同的，尚未扣完的预付款应与合同价款一并结算。</w:t>
      </w:r>
    </w:p>
    <w:p w14:paraId="3CC822D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509BDA6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12.2.2 预付款担保</w:t>
      </w:r>
    </w:p>
    <w:p w14:paraId="061CE70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w:t>
      </w:r>
      <w:r>
        <w:rPr>
          <w:rFonts w:hint="eastAsia" w:ascii="宋体" w:hAnsi="宋体" w:eastAsia="宋体" w:cs="宋体"/>
          <w:color w:val="000000"/>
          <w:sz w:val="21"/>
          <w:szCs w:val="21"/>
          <w:highlight w:val="none"/>
        </w:rPr>
        <w:t>保证预付款担保持续有效。</w:t>
      </w:r>
    </w:p>
    <w:p w14:paraId="72436D9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发包人在工程款中逐期扣回预付款后，预付款担保额度应相应减少，但剩余的预付款担保金额不得低于未被扣回的预付款金额。</w:t>
      </w:r>
    </w:p>
    <w:p w14:paraId="01FAB72F">
      <w:pPr>
        <w:spacing w:line="360" w:lineRule="auto"/>
        <w:ind w:firstLine="420" w:firstLineChars="200"/>
        <w:jc w:val="left"/>
        <w:rPr>
          <w:rFonts w:hint="eastAsia" w:ascii="宋体" w:hAnsi="宋体" w:eastAsia="宋体" w:cs="宋体"/>
          <w:b/>
          <w:bCs/>
          <w:color w:val="000000"/>
          <w:sz w:val="21"/>
          <w:szCs w:val="21"/>
          <w:highlight w:val="none"/>
        </w:rPr>
      </w:pPr>
      <w:bookmarkStart w:id="289" w:name="_Toc351203583"/>
      <w:bookmarkStart w:id="290" w:name="_Toc337558802"/>
      <w:r>
        <w:rPr>
          <w:rFonts w:hint="eastAsia" w:ascii="宋体" w:hAnsi="宋体" w:eastAsia="宋体" w:cs="宋体"/>
          <w:b/>
          <w:bCs/>
          <w:color w:val="000000"/>
          <w:sz w:val="21"/>
          <w:szCs w:val="21"/>
          <w:highlight w:val="none"/>
        </w:rPr>
        <w:t>12.3计量</w:t>
      </w:r>
      <w:bookmarkEnd w:id="289"/>
    </w:p>
    <w:bookmarkEnd w:id="290"/>
    <w:p w14:paraId="368B7CBA">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12.3.1 计量原则</w:t>
      </w:r>
    </w:p>
    <w:p w14:paraId="70F1BC44">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1020C48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12.3.2 计量周期</w:t>
      </w:r>
    </w:p>
    <w:p w14:paraId="5E6733D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除专用合同条款另有约定外，工程量的计量按月进行。</w:t>
      </w:r>
    </w:p>
    <w:p w14:paraId="6B41ABA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12.3.3 单价合同的计量</w:t>
      </w:r>
    </w:p>
    <w:p w14:paraId="088097B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除专用合同条款另有约定外，单价合同的计量按照本项约定执行：</w:t>
      </w:r>
    </w:p>
    <w:p w14:paraId="68C4135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（1）承包人应于每月25日向监理人报送上月20日至当月19日已完成的工程量报告，并附具进度付款申请单、已完成工程量报表和有关资料。</w:t>
      </w:r>
    </w:p>
    <w:p w14:paraId="0C67177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E13CC2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（3）监理人未在收到承包人提交的工程量报表后的7天内完成审核的，承包人报送的工程量报告中的工程量视为承包人实际完成的工程量，据此计算工程价款。</w:t>
      </w:r>
    </w:p>
    <w:p w14:paraId="2A874C7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12.3.4 总价合同的计量</w:t>
      </w:r>
    </w:p>
    <w:p w14:paraId="58883B0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除专用合同条款另有约定外，按月计量支付的总价合同，按照本项约定执行：</w:t>
      </w:r>
    </w:p>
    <w:p w14:paraId="7E35252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（1）承包人应于每月25日向监理人报送上月20日至当月19日已完成的工程量报告，并附具进度付款申请单、已完成工程量报表和有关资料。</w:t>
      </w:r>
    </w:p>
    <w:p w14:paraId="642EE7E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A1D624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（3）监理人未在收到承包人提交的工程量报表后的7天内完成复核的，承包人提交的工程量报告中的工程量视为承包人实际完成的工程量。</w:t>
      </w:r>
    </w:p>
    <w:p w14:paraId="1275BDA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12.3.5 总价合同采用支付分解表计量支付的，可以按照第12.3.4项〔总价合同的计量〕约定进行计量，但合同价款按照支付分解表进行支付。</w:t>
      </w:r>
    </w:p>
    <w:p w14:paraId="754398B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12.3.6 其他价格形式合同的计量</w:t>
      </w:r>
    </w:p>
    <w:p w14:paraId="4E07BB9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合同当事人可在专用合同条款中约定其他价格形式合同的计量方式和程序。</w:t>
      </w:r>
    </w:p>
    <w:p w14:paraId="5AFC153E">
      <w:pPr>
        <w:spacing w:line="360" w:lineRule="auto"/>
        <w:ind w:firstLine="420" w:firstLineChars="200"/>
        <w:jc w:val="left"/>
        <w:rPr>
          <w:rFonts w:hint="eastAsia" w:ascii="宋体" w:hAnsi="宋体" w:eastAsia="宋体" w:cs="宋体"/>
          <w:color w:val="000000"/>
          <w:sz w:val="21"/>
          <w:szCs w:val="21"/>
          <w:highlight w:val="none"/>
        </w:rPr>
      </w:pPr>
      <w:bookmarkStart w:id="291" w:name="_Toc296346602"/>
      <w:bookmarkStart w:id="292" w:name="_Toc296503101"/>
      <w:bookmarkStart w:id="293" w:name="_Toc351203584"/>
      <w:bookmarkStart w:id="294" w:name="_Toc337558803"/>
      <w:r>
        <w:rPr>
          <w:rFonts w:hint="eastAsia" w:ascii="宋体" w:hAnsi="宋体" w:eastAsia="宋体" w:cs="宋体"/>
          <w:color w:val="000000"/>
          <w:sz w:val="21"/>
          <w:szCs w:val="21"/>
          <w:highlight w:val="none"/>
        </w:rPr>
        <w:t>12.4工程进度款支</w:t>
      </w:r>
      <w:bookmarkEnd w:id="291"/>
      <w:bookmarkEnd w:id="292"/>
      <w:r>
        <w:rPr>
          <w:rFonts w:hint="eastAsia" w:ascii="宋体" w:hAnsi="宋体" w:eastAsia="宋体" w:cs="宋体"/>
          <w:color w:val="000000"/>
          <w:sz w:val="21"/>
          <w:szCs w:val="21"/>
          <w:highlight w:val="none"/>
        </w:rPr>
        <w:t>付</w:t>
      </w:r>
      <w:bookmarkEnd w:id="293"/>
    </w:p>
    <w:bookmarkEnd w:id="294"/>
    <w:p w14:paraId="0492CE50">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12.4.1 付款周期</w:t>
      </w:r>
    </w:p>
    <w:p w14:paraId="4C290A2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除专用合同条款另有约定外，付款周期应按照第12.3.2项〔计量周期〕的约定与计量周期保持一致。</w:t>
      </w:r>
    </w:p>
    <w:p w14:paraId="469A0DBD">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12.4.2 进度付款申请单的编制</w:t>
      </w:r>
    </w:p>
    <w:p w14:paraId="67993BB4">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除专用合同条款另有约定外，进度付款申请单应包括下列内容：</w:t>
      </w:r>
    </w:p>
    <w:p w14:paraId="486A4F08">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（1）截至本次付款周期已完成工作对应的金额；</w:t>
      </w:r>
    </w:p>
    <w:p w14:paraId="50EE689D">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（2）根据第10条〔</w:t>
      </w:r>
      <w:r>
        <w:rPr>
          <w:rFonts w:hint="eastAsia" w:ascii="宋体" w:hAnsi="宋体" w:cs="宋体"/>
          <w:color w:val="000000"/>
          <w:sz w:val="21"/>
          <w:szCs w:val="21"/>
          <w:highlight w:val="none"/>
        </w:rPr>
        <w:t>变更〕应增加和扣减的变更金额；</w:t>
      </w:r>
    </w:p>
    <w:p w14:paraId="4BA9828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（3）根据第12.2款〔预付款〕约定应支付的预付款和扣减的返还预付款；</w:t>
      </w:r>
    </w:p>
    <w:p w14:paraId="793EA45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（4）根据第15.3款〔质量保证金〕约定应扣减的质量保证金；</w:t>
      </w:r>
    </w:p>
    <w:p w14:paraId="38966D8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（5）根据第19条〔索赔〕应增加和扣减的索赔金额；</w:t>
      </w:r>
    </w:p>
    <w:p w14:paraId="515B239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（6）对已签发的进度款支付证书中出现错误的修正，应在本次进度付款中支付或扣除的金额；</w:t>
      </w:r>
    </w:p>
    <w:p w14:paraId="3E57818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（7）根据合同约定应增加和扣减的其他金额。</w:t>
      </w:r>
    </w:p>
    <w:p w14:paraId="657B11A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12.4.3 进度付款申请单的提交</w:t>
      </w:r>
    </w:p>
    <w:p w14:paraId="6D1EE93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（1）单价合同进度付款申请单的提交</w:t>
      </w:r>
    </w:p>
    <w:p w14:paraId="51134AF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4A79E3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（2）总价合同进度付款申请单的提交</w:t>
      </w:r>
    </w:p>
    <w:p w14:paraId="5EBBC66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总价合同按月计量支付的，承包人按照第12.3.4项〔总价合同的计量〕约定的时间按月向监理人提交进度付款申请单，并附上已完成工程量报表和有关资料。</w:t>
      </w:r>
    </w:p>
    <w:p w14:paraId="32F680D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总价合同按支付分解表支付的，承包人应按照第12.4.6项〔支付分解表〕及第12.4.2项〔进度付款申请单的编制〕的约定向监理人提交进度付款申请单。</w:t>
      </w:r>
    </w:p>
    <w:p w14:paraId="545627D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（3）其他价格形式合同的进度付款申请单的提交</w:t>
      </w:r>
    </w:p>
    <w:p w14:paraId="5433DC5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合同当事人可在专用合同条款中约定其他价格形式合同的进度付款申请单的编制和提交程序。</w:t>
      </w:r>
    </w:p>
    <w:p w14:paraId="66EDAD8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12.4.4 进度款审核和支付</w:t>
      </w:r>
    </w:p>
    <w:p w14:paraId="4164FC4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B84F98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44B882E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6E019B2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（3）发包人签发进度款支付证书或临时进度款支付证书，不表明发包人已同意、批准或接受了承包人完成的相应部分的工作。</w:t>
      </w:r>
    </w:p>
    <w:p w14:paraId="09939C0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12.4.5 进度付款的修正</w:t>
      </w:r>
    </w:p>
    <w:p w14:paraId="2DF081A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71EFB90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12.4.6 支付分解表</w:t>
      </w:r>
    </w:p>
    <w:p w14:paraId="36B0A06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1、支付分解表的编制要求</w:t>
      </w:r>
    </w:p>
    <w:p w14:paraId="0FC6528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（1）支付分解表中所列的每期付款金额，应为第12.4.2项〔进度付款申请单的编制〕第（1）目的估算金额；</w:t>
      </w:r>
    </w:p>
    <w:p w14:paraId="6012398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（2）实际进度与施工进度计划不一致的，合同当事人可按照第4.4款〔商定或确定〕修改支付分解表；</w:t>
      </w:r>
    </w:p>
    <w:p w14:paraId="73BCDF6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（3）不采用支付分解表的，承包人应向发包人和监理人提交按季度编制的支付估算分解表，用于支付参考。</w:t>
      </w:r>
    </w:p>
    <w:p w14:paraId="11EF1B1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2、总价合同支付分解表的编制与审批</w:t>
      </w:r>
    </w:p>
    <w:p w14:paraId="0998974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92D365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02FF721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（3）发包人逾期未完成支付分解表审批的，也未及时要求承包人进行修正和提供补充资料的，则承包人提交的支付分解表视为已经获得发包人批准。</w:t>
      </w:r>
    </w:p>
    <w:p w14:paraId="7AAC83AB">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3、</w:t>
      </w:r>
      <w:r>
        <w:rPr>
          <w:rFonts w:hint="eastAsia" w:ascii="宋体" w:hAnsi="宋体" w:eastAsia="宋体" w:cs="宋体"/>
          <w:color w:val="000000"/>
          <w:sz w:val="21"/>
          <w:szCs w:val="21"/>
          <w:highlight w:val="none"/>
        </w:rPr>
        <w:t>单价合同的总价项目支付分解表的编制与审批</w:t>
      </w:r>
    </w:p>
    <w:p w14:paraId="54206728">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1BE83ED">
      <w:pPr>
        <w:spacing w:line="360" w:lineRule="auto"/>
        <w:ind w:firstLine="420" w:firstLineChars="200"/>
        <w:jc w:val="left"/>
        <w:rPr>
          <w:rFonts w:hint="eastAsia" w:ascii="宋体" w:hAnsi="宋体" w:eastAsia="宋体" w:cs="宋体"/>
          <w:color w:val="000000"/>
          <w:sz w:val="21"/>
          <w:szCs w:val="21"/>
          <w:highlight w:val="none"/>
        </w:rPr>
      </w:pPr>
      <w:bookmarkStart w:id="295" w:name="_Toc351203585"/>
      <w:r>
        <w:rPr>
          <w:rFonts w:hint="eastAsia" w:ascii="宋体" w:hAnsi="宋体" w:eastAsia="宋体" w:cs="宋体"/>
          <w:color w:val="000000"/>
          <w:sz w:val="21"/>
          <w:szCs w:val="21"/>
          <w:highlight w:val="none"/>
        </w:rPr>
        <w:t>12.5支付账户</w:t>
      </w:r>
      <w:bookmarkEnd w:id="295"/>
    </w:p>
    <w:p w14:paraId="2565B846">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发包人应将合同价款支付至合同协议书中约定的承包人账户。</w:t>
      </w:r>
    </w:p>
    <w:p w14:paraId="0650661E">
      <w:pPr>
        <w:spacing w:line="360" w:lineRule="auto"/>
        <w:ind w:firstLine="420" w:firstLineChars="200"/>
        <w:jc w:val="left"/>
        <w:rPr>
          <w:rFonts w:hint="default" w:ascii="宋体" w:hAnsi="宋体" w:eastAsia="宋体" w:cs="宋体"/>
          <w:b/>
          <w:bCs/>
          <w:color w:val="000000"/>
          <w:sz w:val="21"/>
          <w:szCs w:val="21"/>
          <w:highlight w:val="none"/>
        </w:rPr>
      </w:pPr>
      <w:bookmarkStart w:id="296" w:name="_Toc351203586"/>
      <w:bookmarkStart w:id="297" w:name="_Toc337558804"/>
      <w:bookmarkStart w:id="298" w:name="_Toc322522574"/>
      <w:bookmarkStart w:id="299" w:name="_Toc296346607"/>
      <w:bookmarkStart w:id="300" w:name="_Toc296503106"/>
      <w:r>
        <w:rPr>
          <w:rFonts w:hint="eastAsia" w:ascii="宋体" w:hAnsi="宋体" w:eastAsia="宋体" w:cs="宋体"/>
          <w:b/>
          <w:bCs/>
          <w:color w:val="000000"/>
          <w:sz w:val="21"/>
          <w:szCs w:val="21"/>
          <w:highlight w:val="none"/>
        </w:rPr>
        <w:t>13. 验收和工程试车</w:t>
      </w:r>
      <w:bookmarkEnd w:id="296"/>
    </w:p>
    <w:bookmarkEnd w:id="297"/>
    <w:bookmarkEnd w:id="298"/>
    <w:bookmarkEnd w:id="299"/>
    <w:bookmarkEnd w:id="300"/>
    <w:p w14:paraId="2AF28DB8">
      <w:pPr>
        <w:spacing w:line="360" w:lineRule="auto"/>
        <w:ind w:firstLine="420" w:firstLineChars="200"/>
        <w:jc w:val="left"/>
        <w:rPr>
          <w:rFonts w:hint="eastAsia" w:ascii="宋体" w:hAnsi="宋体" w:eastAsia="宋体" w:cs="宋体"/>
          <w:color w:val="000000"/>
          <w:sz w:val="21"/>
          <w:szCs w:val="21"/>
          <w:highlight w:val="none"/>
        </w:rPr>
      </w:pPr>
      <w:bookmarkStart w:id="301" w:name="_Toc351203587"/>
      <w:bookmarkStart w:id="302" w:name="_Toc337558805"/>
      <w:bookmarkStart w:id="303" w:name="_Toc296503110"/>
      <w:bookmarkStart w:id="304" w:name="_Toc296346611"/>
      <w:r>
        <w:rPr>
          <w:rFonts w:hint="eastAsia" w:ascii="宋体" w:hAnsi="宋体" w:eastAsia="宋体" w:cs="宋体"/>
          <w:color w:val="000000"/>
          <w:sz w:val="21"/>
          <w:szCs w:val="21"/>
          <w:highlight w:val="none"/>
        </w:rPr>
        <w:t>13.1分部分项工程验收</w:t>
      </w:r>
      <w:bookmarkEnd w:id="301"/>
    </w:p>
    <w:bookmarkEnd w:id="302"/>
    <w:p w14:paraId="39E6E4E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13.1.1 分部分项工程质量应符合国家有关工程施工验收规范、标准及合同约定，承包人应按照施工组织设计的要求完成分部分项工程施工。</w:t>
      </w:r>
    </w:p>
    <w:p w14:paraId="46FBF4A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6DC68B1A">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分部分项工程的验收资料应当作为竣工资料的组成部分。</w:t>
      </w:r>
    </w:p>
    <w:p w14:paraId="6E9AE7FE">
      <w:pPr>
        <w:spacing w:line="360" w:lineRule="auto"/>
        <w:ind w:firstLine="420" w:firstLineChars="200"/>
        <w:jc w:val="left"/>
        <w:rPr>
          <w:rFonts w:hint="eastAsia" w:ascii="宋体" w:hAnsi="宋体" w:eastAsia="宋体" w:cs="宋体"/>
          <w:b/>
          <w:bCs/>
          <w:color w:val="000000"/>
          <w:sz w:val="21"/>
          <w:szCs w:val="21"/>
          <w:highlight w:val="none"/>
        </w:rPr>
      </w:pPr>
      <w:bookmarkStart w:id="305" w:name="_Toc351203588"/>
      <w:bookmarkStart w:id="306" w:name="_Toc337558806"/>
      <w:r>
        <w:rPr>
          <w:rFonts w:hint="eastAsia" w:ascii="宋体" w:hAnsi="宋体" w:eastAsia="宋体" w:cs="宋体"/>
          <w:b/>
          <w:bCs/>
          <w:color w:val="000000"/>
          <w:sz w:val="21"/>
          <w:szCs w:val="21"/>
          <w:highlight w:val="none"/>
        </w:rPr>
        <w:t>13.2竣工验收</w:t>
      </w:r>
      <w:bookmarkEnd w:id="305"/>
    </w:p>
    <w:bookmarkEnd w:id="303"/>
    <w:bookmarkEnd w:id="304"/>
    <w:bookmarkEnd w:id="306"/>
    <w:p w14:paraId="4C8FFB60">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13.2.1竣工验收条件</w:t>
      </w:r>
    </w:p>
    <w:p w14:paraId="7D6D59D0">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工程具备以下条件</w:t>
      </w:r>
      <w:r>
        <w:rPr>
          <w:rFonts w:hint="eastAsia" w:ascii="宋体" w:hAnsi="宋体" w:cs="宋体"/>
          <w:color w:val="000000"/>
          <w:sz w:val="21"/>
          <w:szCs w:val="21"/>
          <w:highlight w:val="none"/>
        </w:rPr>
        <w:t>的，承包人可以申请竣工验收：</w:t>
      </w:r>
    </w:p>
    <w:p w14:paraId="28B1FD6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（1）除发包人同意的甩项工作和缺陷修补工作外，合同范围内的全部工程以及有关工作，包括合同要求的试验、试运行以及检验均已完成，并符合合同要求；</w:t>
      </w:r>
    </w:p>
    <w:p w14:paraId="17F8DD7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（2）已按合同约定编制了甩项工作和缺陷修补工作清单以及相应的施工计划；</w:t>
      </w:r>
    </w:p>
    <w:p w14:paraId="63D3F0E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（3）已按合同约定的内容和份数备齐竣工资料。</w:t>
      </w:r>
    </w:p>
    <w:p w14:paraId="3684AEF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13.2.2竣工验收程序</w:t>
      </w:r>
    </w:p>
    <w:p w14:paraId="441524C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除专用合同条款另有约定外，承包人申请竣工验收的，应当按照以下程序进行：</w:t>
      </w:r>
    </w:p>
    <w:p w14:paraId="5629398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45F0A6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35B0319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32D39E3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0F55C7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75A17F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2BE4DBB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13.2.3竣工日期</w:t>
      </w:r>
    </w:p>
    <w:p w14:paraId="31AFF55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7" w:name="BM_go14"/>
      <w:bookmarkEnd w:id="307"/>
      <w:r>
        <w:rPr>
          <w:rFonts w:hint="eastAsia" w:ascii="宋体" w:hAnsi="宋体" w:cs="宋体"/>
          <w:color w:val="000000"/>
          <w:sz w:val="21"/>
          <w:szCs w:val="21"/>
          <w:highlight w:val="none"/>
        </w:rPr>
        <w:t>收申请报告的日期为实际竣工日期；工程未经竣工验收，发包人擅自使用的，以转移占有工程之日为实际竣工日期。</w:t>
      </w:r>
    </w:p>
    <w:p w14:paraId="7C8BAF4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13.2.4 拒绝接收全部或部分工程</w:t>
      </w:r>
    </w:p>
    <w:p w14:paraId="790A5E6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936BC8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13.2.5 移交、接收全部与部分工程</w:t>
      </w:r>
    </w:p>
    <w:p w14:paraId="32CD549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除专用合同条款另有约定外，合同当事人应当在颁发工程接收证书后7天内完成工程的移交。</w:t>
      </w:r>
    </w:p>
    <w:p w14:paraId="3B00A2DD">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6CE57073">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799E3FF7">
      <w:pPr>
        <w:spacing w:line="360" w:lineRule="auto"/>
        <w:ind w:firstLine="420" w:firstLineChars="200"/>
        <w:jc w:val="left"/>
        <w:rPr>
          <w:rFonts w:hint="eastAsia" w:ascii="宋体" w:hAnsi="宋体" w:eastAsia="宋体" w:cs="宋体"/>
          <w:b/>
          <w:bCs/>
          <w:color w:val="000000"/>
          <w:sz w:val="21"/>
          <w:szCs w:val="21"/>
          <w:highlight w:val="none"/>
        </w:rPr>
      </w:pPr>
      <w:bookmarkStart w:id="308" w:name="_Toc351203589"/>
      <w:bookmarkStart w:id="309" w:name="_Toc296346612"/>
      <w:bookmarkStart w:id="310" w:name="_Toc296503111"/>
      <w:bookmarkStart w:id="311" w:name="_Toc337558807"/>
      <w:r>
        <w:rPr>
          <w:rFonts w:hint="eastAsia" w:ascii="宋体" w:hAnsi="宋体" w:eastAsia="宋体" w:cs="宋体"/>
          <w:b/>
          <w:bCs/>
          <w:color w:val="000000"/>
          <w:sz w:val="21"/>
          <w:szCs w:val="21"/>
          <w:highlight w:val="none"/>
        </w:rPr>
        <w:t>13.3工程试车</w:t>
      </w:r>
      <w:bookmarkEnd w:id="308"/>
    </w:p>
    <w:bookmarkEnd w:id="309"/>
    <w:bookmarkEnd w:id="310"/>
    <w:bookmarkEnd w:id="311"/>
    <w:p w14:paraId="01FDB8C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13.3.1试车程序</w:t>
      </w:r>
    </w:p>
    <w:p w14:paraId="5F86428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工程需要试车的，除专用合同条款另有约定外，试车内容应与承包人承包范围相一致，试车费用由承包人承担。工程试车应按如下程序进行：</w:t>
      </w:r>
    </w:p>
    <w:p w14:paraId="2DF31AC4">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（1）具备单机无负荷试车条件，承包人组织试车，并在试车前48小时书面通知监理人，通知中应载</w:t>
      </w:r>
      <w:r>
        <w:rPr>
          <w:rFonts w:hint="eastAsia" w:ascii="宋体" w:hAnsi="宋体" w:cs="宋体"/>
          <w:color w:val="000000"/>
          <w:sz w:val="21"/>
          <w:szCs w:val="21"/>
          <w:highlight w:val="none"/>
        </w:rPr>
        <w:t>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DBEF8E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7F7738A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57A151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13.3.2 试车中的责任</w:t>
      </w:r>
    </w:p>
    <w:p w14:paraId="605DDA2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F6E1A2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F71DA9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13.3.3 投料试车</w:t>
      </w:r>
    </w:p>
    <w:p w14:paraId="1C0777D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6E468D4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投料试车合格的，费用由发包人承担；因承包人原因造成投料试车不合格的，承包人应按照发</w:t>
      </w:r>
      <w:r>
        <w:rPr>
          <w:rFonts w:hint="eastAsia" w:ascii="宋体" w:hAnsi="宋体" w:eastAsia="宋体" w:cs="宋体"/>
          <w:color w:val="000000"/>
          <w:sz w:val="21"/>
          <w:szCs w:val="21"/>
          <w:highlight w:val="none"/>
        </w:rPr>
        <w:t>包人要求进行整改，由此产生的整改费用由承包人承担；非因承包人原因导致投料试车不合格的，如发包人要求承包人进行整改的，由此产生的费用由发包人承担。</w:t>
      </w:r>
    </w:p>
    <w:p w14:paraId="731080E1">
      <w:pPr>
        <w:spacing w:line="360" w:lineRule="auto"/>
        <w:ind w:firstLine="420" w:firstLineChars="200"/>
        <w:jc w:val="left"/>
        <w:rPr>
          <w:rFonts w:hint="eastAsia" w:ascii="宋体" w:hAnsi="宋体" w:eastAsia="宋体" w:cs="宋体"/>
          <w:color w:val="000000"/>
          <w:sz w:val="21"/>
          <w:szCs w:val="21"/>
          <w:highlight w:val="none"/>
        </w:rPr>
      </w:pPr>
      <w:bookmarkStart w:id="312" w:name="_Toc351203590"/>
      <w:bookmarkStart w:id="313" w:name="_Toc337558808"/>
      <w:r>
        <w:rPr>
          <w:rFonts w:hint="eastAsia" w:ascii="宋体" w:hAnsi="宋体" w:eastAsia="宋体" w:cs="宋体"/>
          <w:color w:val="000000"/>
          <w:sz w:val="21"/>
          <w:szCs w:val="21"/>
          <w:highlight w:val="none"/>
        </w:rPr>
        <w:t>13.4提前交付单位工程的验收</w:t>
      </w:r>
      <w:bookmarkEnd w:id="312"/>
    </w:p>
    <w:bookmarkEnd w:id="313"/>
    <w:p w14:paraId="6515E68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195294C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验收合格后，由监</w:t>
      </w:r>
      <w:r>
        <w:rPr>
          <w:rFonts w:hint="eastAsia" w:ascii="宋体" w:hAnsi="宋体" w:cs="宋体"/>
          <w:color w:val="000000"/>
          <w:sz w:val="21"/>
          <w:szCs w:val="21"/>
          <w:highlight w:val="none"/>
        </w:rPr>
        <w:t>理人向承包人出具经发包人签认的单位工程接收证书。已签发单位工程</w:t>
      </w:r>
      <w:r>
        <w:rPr>
          <w:rFonts w:hint="eastAsia" w:ascii="宋体" w:hAnsi="宋体" w:eastAsia="宋体" w:cs="宋体"/>
          <w:color w:val="000000"/>
          <w:sz w:val="21"/>
          <w:szCs w:val="21"/>
          <w:highlight w:val="none"/>
        </w:rPr>
        <w:t>接收证书的单位工程由发包人负责照管。单位工程的验收成果和结论作为整体工程竣工验收申请报告的附件。</w:t>
      </w:r>
    </w:p>
    <w:p w14:paraId="20AAF2EA">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13.4.2 发包人要求在工程竣工前交付单位工程，由此导致承包人费用增加和（或）工期延误的，由发包人承担由此增加的费用和（或）延误的工期，并支付承包人合理的利润。</w:t>
      </w:r>
    </w:p>
    <w:p w14:paraId="6D99FDA7">
      <w:pPr>
        <w:spacing w:line="360" w:lineRule="auto"/>
        <w:ind w:firstLine="420" w:firstLineChars="200"/>
        <w:jc w:val="left"/>
        <w:rPr>
          <w:rFonts w:hint="eastAsia" w:ascii="宋体" w:hAnsi="宋体" w:eastAsia="宋体" w:cs="宋体"/>
          <w:b/>
          <w:bCs/>
          <w:color w:val="000000"/>
          <w:sz w:val="21"/>
          <w:szCs w:val="21"/>
          <w:highlight w:val="none"/>
        </w:rPr>
      </w:pPr>
      <w:bookmarkStart w:id="314" w:name="_Toc351203591"/>
      <w:r>
        <w:rPr>
          <w:rFonts w:hint="eastAsia" w:ascii="宋体" w:hAnsi="宋体" w:eastAsia="宋体" w:cs="宋体"/>
          <w:b/>
          <w:bCs/>
          <w:color w:val="000000"/>
          <w:sz w:val="21"/>
          <w:szCs w:val="21"/>
          <w:highlight w:val="none"/>
        </w:rPr>
        <w:t>13.5 施工期运行</w:t>
      </w:r>
      <w:bookmarkEnd w:id="314"/>
    </w:p>
    <w:p w14:paraId="38FB5AFB">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13.5.1 施工期运行是</w:t>
      </w:r>
      <w:r>
        <w:rPr>
          <w:rFonts w:hint="eastAsia" w:ascii="宋体" w:hAnsi="宋体" w:cs="宋体"/>
          <w:color w:val="000000"/>
          <w:sz w:val="21"/>
          <w:szCs w:val="21"/>
          <w:highlight w:val="none"/>
        </w:rPr>
        <w:t>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29684A1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13.5.2 在施工期运行中发现工程或工程设备损坏或存在缺陷的，由承包人按第15.2款〔缺陷责任期〕约定进行修复。</w:t>
      </w:r>
      <w:bookmarkStart w:id="315" w:name="_Toc296503112"/>
      <w:bookmarkStart w:id="316" w:name="_Toc296346613"/>
      <w:bookmarkStart w:id="317" w:name="_Toc351203592"/>
      <w:bookmarkStart w:id="318" w:name="_Toc337558809"/>
    </w:p>
    <w:p w14:paraId="131DC73C">
      <w:pPr>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13.6 竣工退</w:t>
      </w:r>
      <w:bookmarkEnd w:id="315"/>
      <w:bookmarkEnd w:id="316"/>
      <w:r>
        <w:rPr>
          <w:rFonts w:hint="eastAsia" w:ascii="宋体" w:hAnsi="宋体" w:eastAsia="宋体" w:cs="宋体"/>
          <w:b/>
          <w:bCs/>
          <w:color w:val="000000"/>
          <w:sz w:val="21"/>
          <w:szCs w:val="21"/>
          <w:highlight w:val="none"/>
        </w:rPr>
        <w:t>场</w:t>
      </w:r>
      <w:bookmarkEnd w:id="317"/>
    </w:p>
    <w:bookmarkEnd w:id="318"/>
    <w:p w14:paraId="598F448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13.6.1 竣工退场</w:t>
      </w:r>
    </w:p>
    <w:p w14:paraId="6D594DE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颁发工程接收证书后，承包人应按以下要求对施工现场进行清理：</w:t>
      </w:r>
    </w:p>
    <w:p w14:paraId="0D12694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（1）施工现场内残留的垃圾已全部清除出场；</w:t>
      </w:r>
    </w:p>
    <w:p w14:paraId="5983F6E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（2）临时工程已拆除，场地已进行清理、平整或复原；</w:t>
      </w:r>
    </w:p>
    <w:p w14:paraId="7A3EBB2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（3）按合同约定应撤离的人员、承包人施工设备和剩余的材料，包括废弃的施工设备和材料，已按计划撤离施工现场；</w:t>
      </w:r>
    </w:p>
    <w:p w14:paraId="570840F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（4）施工现场周边及其附近道路、河道的施工堆积物，已全部清理；</w:t>
      </w:r>
    </w:p>
    <w:p w14:paraId="4FFA8E4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（5）施工现场其他场地清理工作已全部完成。</w:t>
      </w:r>
    </w:p>
    <w:p w14:paraId="3AAB68A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2BD850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13.6.2 地表还原</w:t>
      </w:r>
    </w:p>
    <w:p w14:paraId="1E12AB2B">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承包人应按发包人要求恢复临时占地及清理场地，承包人未按发包人的要求恢复临时占地</w:t>
      </w:r>
      <w:r>
        <w:rPr>
          <w:rFonts w:hint="eastAsia" w:ascii="宋体" w:hAnsi="宋体" w:eastAsia="宋体" w:cs="宋体"/>
          <w:color w:val="000000"/>
          <w:sz w:val="21"/>
          <w:szCs w:val="21"/>
          <w:highlight w:val="none"/>
        </w:rPr>
        <w:t>，或者场地清理未达到合同约定要求的，发包人有权委托其他人恢复或清理，所发生的费用由承包人承担。</w:t>
      </w:r>
    </w:p>
    <w:p w14:paraId="1DF26C92">
      <w:pPr>
        <w:spacing w:line="360" w:lineRule="auto"/>
        <w:ind w:firstLine="420" w:firstLineChars="200"/>
        <w:jc w:val="left"/>
        <w:rPr>
          <w:rFonts w:hint="default" w:ascii="宋体" w:hAnsi="宋体" w:eastAsia="宋体" w:cs="宋体"/>
          <w:b/>
          <w:bCs/>
          <w:color w:val="000000"/>
          <w:sz w:val="21"/>
          <w:szCs w:val="21"/>
          <w:highlight w:val="none"/>
        </w:rPr>
      </w:pPr>
      <w:bookmarkStart w:id="319" w:name="_Toc337558810"/>
      <w:bookmarkStart w:id="320" w:name="_Toc351203593"/>
      <w:bookmarkStart w:id="321" w:name="_Toc296503113"/>
      <w:bookmarkStart w:id="322" w:name="_Toc296346614"/>
      <w:r>
        <w:rPr>
          <w:rFonts w:hint="eastAsia" w:ascii="宋体" w:hAnsi="宋体" w:eastAsia="宋体" w:cs="宋体"/>
          <w:b/>
          <w:bCs/>
          <w:color w:val="000000"/>
          <w:sz w:val="21"/>
          <w:szCs w:val="21"/>
          <w:highlight w:val="none"/>
          <w:lang w:val="en-US" w:eastAsia="zh-CN"/>
        </w:rPr>
        <w:t>14.</w:t>
      </w:r>
      <w:r>
        <w:rPr>
          <w:rFonts w:hint="eastAsia" w:ascii="宋体" w:hAnsi="宋体" w:eastAsia="宋体" w:cs="宋体"/>
          <w:b/>
          <w:bCs/>
          <w:color w:val="000000"/>
          <w:sz w:val="21"/>
          <w:szCs w:val="21"/>
          <w:highlight w:val="none"/>
        </w:rPr>
        <w:t>竣工结算</w:t>
      </w:r>
      <w:bookmarkEnd w:id="319"/>
      <w:bookmarkEnd w:id="320"/>
      <w:bookmarkStart w:id="323" w:name="_Toc351203594"/>
      <w:bookmarkStart w:id="324" w:name="_Toc337558811"/>
    </w:p>
    <w:p w14:paraId="60F1A74B">
      <w:pPr>
        <w:spacing w:line="360" w:lineRule="auto"/>
        <w:ind w:firstLine="420" w:firstLineChars="200"/>
        <w:jc w:val="left"/>
        <w:rPr>
          <w:rFonts w:hint="default"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14.1 竣工结算申请</w:t>
      </w:r>
      <w:bookmarkEnd w:id="323"/>
    </w:p>
    <w:bookmarkEnd w:id="324"/>
    <w:p w14:paraId="6452BFCD">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7260E58F">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除专用合同条</w:t>
      </w:r>
      <w:r>
        <w:rPr>
          <w:rFonts w:hint="eastAsia" w:ascii="宋体" w:hAnsi="宋体" w:cs="宋体"/>
          <w:color w:val="000000"/>
          <w:sz w:val="21"/>
          <w:szCs w:val="21"/>
          <w:highlight w:val="none"/>
        </w:rPr>
        <w:t>款另有约定外，竣工结算申请单应包括以下内容：</w:t>
      </w:r>
    </w:p>
    <w:p w14:paraId="151A1F4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（1）竣工结算合同价格；</w:t>
      </w:r>
    </w:p>
    <w:p w14:paraId="5681A0C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（2）发包人已支付承包人的款项；</w:t>
      </w:r>
    </w:p>
    <w:p w14:paraId="305C79F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 xml:space="preserve">（3）应扣留的质量保证金； </w:t>
      </w:r>
    </w:p>
    <w:p w14:paraId="18A9681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（4）</w:t>
      </w:r>
      <w:r>
        <w:rPr>
          <w:rFonts w:hint="eastAsia" w:ascii="宋体" w:hAnsi="宋体" w:eastAsia="宋体" w:cs="宋体"/>
          <w:color w:val="000000"/>
          <w:sz w:val="21"/>
          <w:szCs w:val="21"/>
          <w:highlight w:val="none"/>
        </w:rPr>
        <w:t>发包人应支付承包人的合同价款。</w:t>
      </w:r>
    </w:p>
    <w:p w14:paraId="4F12C86E">
      <w:pPr>
        <w:spacing w:line="360" w:lineRule="auto"/>
        <w:ind w:firstLine="420" w:firstLineChars="200"/>
        <w:jc w:val="left"/>
        <w:rPr>
          <w:rFonts w:hint="eastAsia" w:ascii="宋体" w:hAnsi="宋体" w:eastAsia="宋体" w:cs="宋体"/>
          <w:color w:val="000000"/>
          <w:sz w:val="21"/>
          <w:szCs w:val="21"/>
          <w:highlight w:val="none"/>
        </w:rPr>
      </w:pPr>
      <w:bookmarkStart w:id="325" w:name="_Toc351203595"/>
      <w:bookmarkStart w:id="326" w:name="_Toc337558812"/>
      <w:r>
        <w:rPr>
          <w:rFonts w:hint="eastAsia" w:ascii="宋体" w:hAnsi="宋体" w:eastAsia="宋体" w:cs="宋体"/>
          <w:color w:val="000000"/>
          <w:sz w:val="21"/>
          <w:szCs w:val="21"/>
          <w:highlight w:val="none"/>
        </w:rPr>
        <w:t>14.2 竣工结算审核</w:t>
      </w:r>
      <w:bookmarkEnd w:id="325"/>
    </w:p>
    <w:bookmarkEnd w:id="326"/>
    <w:p w14:paraId="09C28CA5">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（1）除专用合同条款另有约定外，监理人应在收到竣工结算申请单后14天内完成核查并报送发包人。发包人应在收到监理人提交的经审核的竣工结算申请单后14天内完成审批，并由监</w:t>
      </w:r>
      <w:r>
        <w:rPr>
          <w:rFonts w:hint="eastAsia" w:ascii="宋体" w:hAnsi="宋体" w:cs="宋体"/>
          <w:color w:val="000000"/>
          <w:sz w:val="21"/>
          <w:szCs w:val="21"/>
          <w:highlight w:val="none"/>
        </w:rPr>
        <w:t>理人向承包人签发经发包人签认的竣工付款证书。监理人或发包人对竣工结算申请单有异议的，有权要求承包人进行修正和提供补充资料，承包人应提交修正后的竣工结算申请单。</w:t>
      </w:r>
    </w:p>
    <w:p w14:paraId="61532D0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6F7276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230C28B7">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w:t>
      </w:r>
      <w:r>
        <w:rPr>
          <w:rFonts w:hint="eastAsia" w:ascii="宋体" w:hAnsi="宋体" w:eastAsia="宋体" w:cs="宋体"/>
          <w:color w:val="000000"/>
          <w:sz w:val="21"/>
          <w:szCs w:val="21"/>
          <w:highlight w:val="none"/>
        </w:rPr>
        <w:t>人应签发临时竣工付款证书，并按本款第（2）项完成付款。承包人逾期未提出异议的，视为认可发包人的审批结果。</w:t>
      </w:r>
    </w:p>
    <w:p w14:paraId="42ADC5E1">
      <w:pPr>
        <w:spacing w:line="360" w:lineRule="auto"/>
        <w:ind w:firstLine="420" w:firstLineChars="200"/>
        <w:jc w:val="left"/>
        <w:rPr>
          <w:rFonts w:hint="eastAsia" w:ascii="宋体" w:hAnsi="宋体" w:eastAsia="宋体" w:cs="宋体"/>
          <w:color w:val="000000"/>
          <w:sz w:val="21"/>
          <w:szCs w:val="21"/>
          <w:highlight w:val="none"/>
        </w:rPr>
      </w:pPr>
      <w:bookmarkStart w:id="327" w:name="_Toc351203596"/>
      <w:bookmarkStart w:id="328" w:name="_Toc337558813"/>
      <w:r>
        <w:rPr>
          <w:rFonts w:hint="eastAsia" w:ascii="宋体" w:hAnsi="宋体" w:eastAsia="宋体" w:cs="宋体"/>
          <w:color w:val="000000"/>
          <w:sz w:val="21"/>
          <w:szCs w:val="21"/>
          <w:highlight w:val="none"/>
        </w:rPr>
        <w:t>14.3 甩项竣工协议</w:t>
      </w:r>
      <w:bookmarkEnd w:id="327"/>
    </w:p>
    <w:bookmarkEnd w:id="328"/>
    <w:p w14:paraId="1CCC3E42">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46E2707">
      <w:pPr>
        <w:spacing w:line="360" w:lineRule="auto"/>
        <w:ind w:firstLine="420" w:firstLineChars="200"/>
        <w:jc w:val="left"/>
        <w:rPr>
          <w:rFonts w:hint="eastAsia" w:ascii="宋体" w:hAnsi="宋体" w:eastAsia="宋体" w:cs="宋体"/>
          <w:b/>
          <w:bCs/>
          <w:color w:val="000000"/>
          <w:sz w:val="21"/>
          <w:szCs w:val="21"/>
          <w:highlight w:val="none"/>
        </w:rPr>
      </w:pPr>
      <w:bookmarkStart w:id="329" w:name="_Toc351203597"/>
      <w:bookmarkStart w:id="330" w:name="_Toc337558814"/>
      <w:r>
        <w:rPr>
          <w:rFonts w:hint="eastAsia" w:ascii="宋体" w:hAnsi="宋体" w:eastAsia="宋体" w:cs="宋体"/>
          <w:b/>
          <w:bCs/>
          <w:color w:val="000000"/>
          <w:sz w:val="21"/>
          <w:szCs w:val="21"/>
          <w:highlight w:val="none"/>
        </w:rPr>
        <w:t>14.4 最终结清</w:t>
      </w:r>
      <w:bookmarkEnd w:id="329"/>
    </w:p>
    <w:bookmarkEnd w:id="330"/>
    <w:p w14:paraId="09FBFEEC">
      <w:pPr>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14.4.1 最终结清申请单</w:t>
      </w:r>
    </w:p>
    <w:p w14:paraId="2DFC9EE8">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（1）除专用合同条款另有约定外，承包人应在缺陷责任期终止证书颁发后7天内，按专用合同条款约定的</w:t>
      </w:r>
      <w:r>
        <w:rPr>
          <w:rFonts w:hint="eastAsia" w:ascii="宋体" w:hAnsi="宋体" w:cs="宋体"/>
          <w:color w:val="000000"/>
          <w:sz w:val="21"/>
          <w:szCs w:val="21"/>
          <w:highlight w:val="none"/>
        </w:rPr>
        <w:t>份数向发包人提交最终结清申请单，并提供相关证明材料。</w:t>
      </w:r>
    </w:p>
    <w:p w14:paraId="1867C70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除专用合同条款另有约定外，最终结清申请单应列明质量保证金、应扣除的质量保证金、缺陷责任期内发生的增减费用。</w:t>
      </w:r>
    </w:p>
    <w:p w14:paraId="6D36EF5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（2）发包人对最终结清申请单内容有异议的，有权要求承包人进行修正和提供补充资料，承包人应向发包人提交修正后的最终结清申请单。</w:t>
      </w:r>
    </w:p>
    <w:p w14:paraId="73C0A99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14.4.2 最终结清证书和支付</w:t>
      </w:r>
    </w:p>
    <w:p w14:paraId="72CB3A8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38E980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（2）除专用合同条款另有约定外，发包人应在颁发最终结清证书后7天内完成支付。发包人逾</w:t>
      </w:r>
      <w:r>
        <w:rPr>
          <w:rFonts w:hint="eastAsia" w:ascii="宋体" w:hAnsi="宋体" w:eastAsia="宋体" w:cs="宋体"/>
          <w:color w:val="000000"/>
          <w:sz w:val="21"/>
          <w:szCs w:val="21"/>
          <w:highlight w:val="none"/>
        </w:rPr>
        <w:t>期支付的，按照中国人民银行发布的同期同类贷款基准利率支付违约金；逾期支付超过56天的，按照中国人民银行发布的同期同类贷款基准利率的两倍支付违约金。</w:t>
      </w:r>
    </w:p>
    <w:p w14:paraId="717A7FF4">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（3）承包人对发包人颁发的最终结清证书有异议的，按第20条〔争议解决〕的约定办理。</w:t>
      </w:r>
    </w:p>
    <w:p w14:paraId="48FEAB03">
      <w:pPr>
        <w:spacing w:line="360" w:lineRule="auto"/>
        <w:ind w:firstLine="420" w:firstLineChars="200"/>
        <w:jc w:val="left"/>
        <w:rPr>
          <w:rFonts w:hint="default" w:ascii="宋体" w:hAnsi="宋体" w:eastAsia="宋体" w:cs="宋体"/>
          <w:b/>
          <w:bCs/>
          <w:color w:val="000000"/>
          <w:sz w:val="21"/>
          <w:szCs w:val="21"/>
          <w:highlight w:val="none"/>
        </w:rPr>
      </w:pPr>
      <w:bookmarkStart w:id="331" w:name="_Toc351203598"/>
      <w:bookmarkStart w:id="332" w:name="_Toc337558815"/>
      <w:r>
        <w:rPr>
          <w:rFonts w:hint="eastAsia" w:ascii="宋体" w:hAnsi="宋体" w:eastAsia="宋体" w:cs="宋体"/>
          <w:b/>
          <w:bCs/>
          <w:color w:val="000000"/>
          <w:sz w:val="21"/>
          <w:szCs w:val="21"/>
          <w:highlight w:val="none"/>
        </w:rPr>
        <w:t>15. 缺陷责任与保修</w:t>
      </w:r>
      <w:bookmarkEnd w:id="331"/>
    </w:p>
    <w:bookmarkEnd w:id="321"/>
    <w:bookmarkEnd w:id="322"/>
    <w:bookmarkEnd w:id="332"/>
    <w:p w14:paraId="36DA892B">
      <w:pPr>
        <w:spacing w:line="360" w:lineRule="auto"/>
        <w:ind w:firstLine="420" w:firstLineChars="200"/>
        <w:jc w:val="left"/>
        <w:rPr>
          <w:rFonts w:hint="eastAsia" w:ascii="宋体" w:hAnsi="宋体" w:eastAsia="宋体" w:cs="宋体"/>
          <w:b/>
          <w:bCs/>
          <w:color w:val="000000"/>
          <w:sz w:val="21"/>
          <w:szCs w:val="21"/>
          <w:highlight w:val="none"/>
        </w:rPr>
      </w:pPr>
      <w:bookmarkStart w:id="333" w:name="_Toc351203599"/>
      <w:bookmarkStart w:id="334" w:name="_Toc337558816"/>
      <w:bookmarkStart w:id="335" w:name="_Toc296346615"/>
      <w:bookmarkStart w:id="336" w:name="_Toc296503114"/>
      <w:r>
        <w:rPr>
          <w:rFonts w:hint="eastAsia" w:ascii="宋体" w:hAnsi="宋体" w:eastAsia="宋体" w:cs="宋体"/>
          <w:b/>
          <w:bCs/>
          <w:color w:val="000000"/>
          <w:sz w:val="21"/>
          <w:szCs w:val="21"/>
          <w:highlight w:val="none"/>
        </w:rPr>
        <w:t>15.1 工程保修的原则</w:t>
      </w:r>
      <w:bookmarkEnd w:id="333"/>
    </w:p>
    <w:bookmarkEnd w:id="334"/>
    <w:p w14:paraId="5BC4D168">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5BC7CD31">
      <w:pPr>
        <w:spacing w:line="360" w:lineRule="auto"/>
        <w:ind w:firstLine="420" w:firstLineChars="200"/>
        <w:jc w:val="left"/>
        <w:rPr>
          <w:rFonts w:hint="eastAsia" w:ascii="宋体" w:hAnsi="宋体" w:eastAsia="宋体" w:cs="宋体"/>
          <w:b/>
          <w:bCs/>
          <w:color w:val="000000"/>
          <w:sz w:val="21"/>
          <w:szCs w:val="21"/>
          <w:highlight w:val="none"/>
        </w:rPr>
      </w:pPr>
      <w:bookmarkStart w:id="337" w:name="_Toc351203600"/>
      <w:bookmarkStart w:id="338" w:name="_Toc337558817"/>
      <w:r>
        <w:rPr>
          <w:rFonts w:hint="eastAsia" w:ascii="宋体" w:hAnsi="宋体" w:eastAsia="宋体" w:cs="宋体"/>
          <w:b/>
          <w:bCs/>
          <w:color w:val="000000"/>
          <w:sz w:val="21"/>
          <w:szCs w:val="21"/>
          <w:highlight w:val="none"/>
        </w:rPr>
        <w:t>15.2 缺陷责任期</w:t>
      </w:r>
      <w:bookmarkEnd w:id="335"/>
      <w:bookmarkEnd w:id="336"/>
      <w:bookmarkEnd w:id="337"/>
    </w:p>
    <w:bookmarkEnd w:id="338"/>
    <w:p w14:paraId="0BA5562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15.2.1 缺陷责任期自实际竣工日期起计算，合同当事人应在专用合同条款约定缺陷责任期的具体期限，但该期限最长不超过24个月。</w:t>
      </w:r>
    </w:p>
    <w:p w14:paraId="18ED7A48">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单位工程先于全部工程进行验收，经验收合格并交付使用的，该单位工程缺陷责任期自单位工程验收</w:t>
      </w:r>
      <w:r>
        <w:rPr>
          <w:rFonts w:hint="eastAsia" w:ascii="宋体" w:hAnsi="宋体" w:cs="宋体"/>
          <w:color w:val="000000"/>
          <w:sz w:val="21"/>
          <w:szCs w:val="21"/>
          <w:highlight w:val="none"/>
        </w:rPr>
        <w:t>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48A24F4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15.2.2 工程竣工验收合格后，因承包人原因导致的缺陷或损坏致使工程、单位工程或某项主要设备不能按原定目的使用的，则发包人有权要求承</w:t>
      </w:r>
      <w:r>
        <w:rPr>
          <w:rFonts w:hint="eastAsia" w:ascii="宋体" w:hAnsi="宋体" w:cs="宋体"/>
          <w:bCs/>
          <w:color w:val="000000"/>
          <w:sz w:val="21"/>
          <w:szCs w:val="21"/>
          <w:highlight w:val="none"/>
        </w:rPr>
        <w:t>包人延长缺陷责任期，</w:t>
      </w:r>
      <w:r>
        <w:rPr>
          <w:rFonts w:hint="eastAsia" w:ascii="宋体" w:hAnsi="宋体" w:cs="宋体"/>
          <w:color w:val="000000"/>
          <w:sz w:val="21"/>
          <w:szCs w:val="21"/>
          <w:highlight w:val="none"/>
        </w:rPr>
        <w:t>并应在原缺陷责任期届满前发出延长通知，</w:t>
      </w:r>
      <w:r>
        <w:rPr>
          <w:rFonts w:hint="eastAsia" w:ascii="宋体" w:hAnsi="宋体" w:cs="宋体"/>
          <w:bCs/>
          <w:color w:val="000000"/>
          <w:sz w:val="21"/>
          <w:szCs w:val="21"/>
          <w:highlight w:val="none"/>
        </w:rPr>
        <w:t>但缺陷责任期最长</w:t>
      </w:r>
      <w:r>
        <w:rPr>
          <w:rFonts w:hint="eastAsia" w:ascii="宋体" w:hAnsi="宋体" w:cs="宋体"/>
          <w:color w:val="000000"/>
          <w:sz w:val="21"/>
          <w:szCs w:val="21"/>
          <w:highlight w:val="none"/>
        </w:rPr>
        <w:t>不能超过24个月。</w:t>
      </w:r>
    </w:p>
    <w:p w14:paraId="46B34A4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799812B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15.2.4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bookmarkStart w:id="339" w:name="_Toc351203601"/>
      <w:bookmarkStart w:id="340" w:name="_Toc337558818"/>
      <w:bookmarkStart w:id="341" w:name="_Toc296346616"/>
      <w:bookmarkStart w:id="342" w:name="_Toc296503115"/>
    </w:p>
    <w:p w14:paraId="414B187F">
      <w:pPr>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15.3 质量保证金</w:t>
      </w:r>
      <w:bookmarkEnd w:id="339"/>
    </w:p>
    <w:bookmarkEnd w:id="340"/>
    <w:p w14:paraId="78255B8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经合同当事人协商一致扣留质量保证金的，应在专用合同条款中予以明确。</w:t>
      </w:r>
    </w:p>
    <w:p w14:paraId="125C52A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15.3.1 承包人提供质量保证金的方式</w:t>
      </w:r>
    </w:p>
    <w:p w14:paraId="661E394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承包人提供质量保证金有以下三种方式：</w:t>
      </w:r>
    </w:p>
    <w:p w14:paraId="495373D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 xml:space="preserve">（1）质量保证金保函； </w:t>
      </w:r>
    </w:p>
    <w:p w14:paraId="53E557F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（2）相应比例的工程款；</w:t>
      </w:r>
    </w:p>
    <w:p w14:paraId="3FB80EB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（3）双方约定的其他方式。</w:t>
      </w:r>
    </w:p>
    <w:p w14:paraId="4E7F5F6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除专用合同条款另有约定外，质量保证金原则上采用上述第（1）种方式。</w:t>
      </w:r>
    </w:p>
    <w:p w14:paraId="004AB42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15.3.2 质量保证金的扣留</w:t>
      </w:r>
    </w:p>
    <w:p w14:paraId="297CEFD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质量保证金的扣留有以下三种方式：</w:t>
      </w:r>
    </w:p>
    <w:p w14:paraId="1EC20DA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（1）在支付工程进度款时逐次扣留，在此情形下，质量保证金的计算基数不包括预付款的支付、扣回以及价格调整的金额；</w:t>
      </w:r>
    </w:p>
    <w:p w14:paraId="43115E5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（2）工</w:t>
      </w:r>
      <w:bookmarkStart w:id="343" w:name="BM_go6"/>
      <w:bookmarkEnd w:id="343"/>
      <w:r>
        <w:rPr>
          <w:rFonts w:hint="eastAsia" w:ascii="宋体" w:hAnsi="宋体" w:cs="宋体"/>
          <w:color w:val="000000"/>
          <w:sz w:val="21"/>
          <w:szCs w:val="21"/>
          <w:highlight w:val="none"/>
        </w:rPr>
        <w:t>程竣工结算时一次性扣留质量保证金；</w:t>
      </w:r>
    </w:p>
    <w:p w14:paraId="4D5E336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（3）双方约定的其他扣留方式。</w:t>
      </w:r>
    </w:p>
    <w:p w14:paraId="7D10821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除专用合同条款另有约定外，质量保证金的扣留原则上采用上述第（1）种方式。</w:t>
      </w:r>
    </w:p>
    <w:p w14:paraId="39DB7D4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发</w:t>
      </w:r>
      <w:bookmarkStart w:id="344" w:name="BM_go4"/>
      <w:bookmarkEnd w:id="344"/>
      <w:r>
        <w:rPr>
          <w:rFonts w:hint="eastAsia" w:ascii="宋体" w:hAnsi="宋体" w:cs="宋体"/>
          <w:color w:val="000000"/>
          <w:sz w:val="21"/>
          <w:szCs w:val="21"/>
          <w:highlight w:val="none"/>
        </w:rPr>
        <w:t>包人累计扣留的质量保证金不得超过结算合同价格的5%，如承包人在发包人签发竣工付款证书后28天内提交质量保证金保函，发包人应同时退还扣留的作为质量保证金的工程</w:t>
      </w:r>
      <w:r>
        <w:rPr>
          <w:rFonts w:hint="eastAsia" w:ascii="宋体" w:hAnsi="宋体" w:eastAsia="宋体" w:cs="宋体"/>
          <w:color w:val="000000"/>
          <w:sz w:val="21"/>
          <w:szCs w:val="21"/>
          <w:highlight w:val="none"/>
        </w:rPr>
        <w:t>价款。</w:t>
      </w:r>
    </w:p>
    <w:p w14:paraId="51865CE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15.3.3 质量保证金的退还</w:t>
      </w:r>
    </w:p>
    <w:p w14:paraId="7426E022">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发包人应按14.4款〔最终结清〕的约定退还质量保证金。</w:t>
      </w:r>
    </w:p>
    <w:p w14:paraId="592A453D">
      <w:pPr>
        <w:spacing w:line="360" w:lineRule="auto"/>
        <w:ind w:firstLine="420" w:firstLineChars="200"/>
        <w:jc w:val="left"/>
        <w:rPr>
          <w:rFonts w:hint="eastAsia" w:ascii="宋体" w:hAnsi="宋体" w:eastAsia="宋体" w:cs="宋体"/>
          <w:b/>
          <w:bCs/>
          <w:color w:val="000000"/>
          <w:sz w:val="21"/>
          <w:szCs w:val="21"/>
          <w:highlight w:val="none"/>
        </w:rPr>
      </w:pPr>
      <w:bookmarkStart w:id="345" w:name="_Toc351203602"/>
      <w:bookmarkStart w:id="346" w:name="_Toc337558819"/>
      <w:r>
        <w:rPr>
          <w:rFonts w:hint="eastAsia" w:ascii="宋体" w:hAnsi="宋体" w:eastAsia="宋体" w:cs="宋体"/>
          <w:b/>
          <w:bCs/>
          <w:color w:val="000000"/>
          <w:sz w:val="21"/>
          <w:szCs w:val="21"/>
          <w:highlight w:val="none"/>
        </w:rPr>
        <w:t>15.4 保修</w:t>
      </w:r>
      <w:bookmarkEnd w:id="345"/>
    </w:p>
    <w:bookmarkEnd w:id="341"/>
    <w:bookmarkEnd w:id="342"/>
    <w:bookmarkEnd w:id="346"/>
    <w:p w14:paraId="119C1C0B">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15.4.1保修责任</w:t>
      </w:r>
    </w:p>
    <w:p w14:paraId="72F9B46D">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工程保修期从工程竣工验收合格之日起算，具体分部分项工程的保修期由合同当事人在专用合同条款中</w:t>
      </w:r>
      <w:r>
        <w:rPr>
          <w:rFonts w:hint="eastAsia" w:ascii="宋体" w:hAnsi="宋体" w:cs="宋体"/>
          <w:color w:val="000000"/>
          <w:sz w:val="21"/>
          <w:szCs w:val="21"/>
          <w:highlight w:val="none"/>
        </w:rPr>
        <w:t>约定，但不得低于法定最低保修年限。在工程保修期内，承包人应当根据有关法律规定以及合同约定承担保修责任。</w:t>
      </w:r>
    </w:p>
    <w:p w14:paraId="6D37711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发包人未经竣工验收擅自使用工程的，保修期自转移占有之日起算。</w:t>
      </w:r>
    </w:p>
    <w:p w14:paraId="20E3345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15.4.2 修复费用</w:t>
      </w:r>
    </w:p>
    <w:p w14:paraId="3D4B2FA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保修期内，修复的费用按照以下约定处理：</w:t>
      </w:r>
    </w:p>
    <w:p w14:paraId="6813DB2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（1）保修期内，因承包人原因造成工程的缺陷、损坏，承包人应负责修复，并承担修复的费用以及因工程的缺陷、损坏造成的人身伤害和财产损失；</w:t>
      </w:r>
    </w:p>
    <w:p w14:paraId="05BD7ED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（2）保修期内，因发包人使用不当造成工程的缺陷、损坏，可以委托承包人修复，但发包人应承担修复的费用，并支付承包人合理利润；</w:t>
      </w:r>
    </w:p>
    <w:p w14:paraId="73DDB56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0BF5DBE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15.4.3 修复通知</w:t>
      </w:r>
    </w:p>
    <w:p w14:paraId="6B553F8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8418C5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15.4.4 未能修复</w:t>
      </w:r>
    </w:p>
    <w:p w14:paraId="1943DC8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FECC51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15.4.5 承包人出入权</w:t>
      </w:r>
    </w:p>
    <w:p w14:paraId="2ECB594A">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在保修期内，为了修复缺陷或损坏，承包人有权出入工程现场，除情况紧急必须立即修复缺陷或损坏外，承包人应提前24小时通知发包人进场修复的时间。承包人进入工程</w:t>
      </w:r>
      <w:r>
        <w:rPr>
          <w:rFonts w:hint="eastAsia" w:ascii="宋体" w:hAnsi="宋体" w:eastAsia="宋体" w:cs="宋体"/>
          <w:color w:val="000000"/>
          <w:sz w:val="21"/>
          <w:szCs w:val="21"/>
          <w:highlight w:val="none"/>
        </w:rPr>
        <w:t>现场前应获得发包人同意，且不应影响发包人正常的生产经营，并应遵守发包人有关保安和保密等规定。</w:t>
      </w:r>
    </w:p>
    <w:p w14:paraId="4212BB3A">
      <w:pPr>
        <w:spacing w:line="360" w:lineRule="auto"/>
        <w:ind w:firstLine="420" w:firstLineChars="200"/>
        <w:jc w:val="left"/>
        <w:rPr>
          <w:rFonts w:hint="default" w:ascii="宋体" w:hAnsi="宋体" w:eastAsia="宋体" w:cs="宋体"/>
          <w:b/>
          <w:bCs/>
          <w:color w:val="000000"/>
          <w:sz w:val="21"/>
          <w:szCs w:val="21"/>
          <w:highlight w:val="none"/>
        </w:rPr>
      </w:pPr>
      <w:bookmarkStart w:id="347" w:name="_Toc351203603"/>
      <w:bookmarkStart w:id="348" w:name="_Toc337558820"/>
      <w:r>
        <w:rPr>
          <w:rFonts w:hint="eastAsia" w:ascii="宋体" w:hAnsi="宋体" w:eastAsia="宋体" w:cs="宋体"/>
          <w:b/>
          <w:bCs/>
          <w:color w:val="000000"/>
          <w:sz w:val="21"/>
          <w:szCs w:val="21"/>
          <w:highlight w:val="none"/>
          <w:lang w:val="en-US" w:eastAsia="zh-CN"/>
        </w:rPr>
        <w:t>16.</w:t>
      </w:r>
      <w:r>
        <w:rPr>
          <w:rFonts w:hint="eastAsia" w:ascii="宋体" w:hAnsi="宋体" w:eastAsia="宋体" w:cs="宋体"/>
          <w:b/>
          <w:bCs/>
          <w:color w:val="000000"/>
          <w:sz w:val="21"/>
          <w:szCs w:val="21"/>
          <w:highlight w:val="none"/>
        </w:rPr>
        <w:t>违约</w:t>
      </w:r>
      <w:bookmarkEnd w:id="347"/>
      <w:bookmarkEnd w:id="348"/>
      <w:bookmarkStart w:id="349" w:name="_Toc296503129"/>
      <w:bookmarkStart w:id="350" w:name="_Toc296346630"/>
      <w:bookmarkStart w:id="351" w:name="_Toc351203604"/>
      <w:bookmarkStart w:id="352" w:name="_Toc337558821"/>
    </w:p>
    <w:p w14:paraId="620AB1B0">
      <w:pPr>
        <w:spacing w:line="360" w:lineRule="auto"/>
        <w:ind w:firstLine="420" w:firstLineChars="200"/>
        <w:jc w:val="left"/>
        <w:rPr>
          <w:rFonts w:hint="default" w:ascii="宋体" w:hAnsi="宋体" w:eastAsia="宋体" w:cs="宋体"/>
          <w:color w:val="000000"/>
          <w:sz w:val="21"/>
          <w:szCs w:val="21"/>
          <w:highlight w:val="none"/>
        </w:rPr>
      </w:pPr>
      <w:r>
        <w:rPr>
          <w:rFonts w:hint="eastAsia" w:ascii="宋体" w:hAnsi="宋体" w:eastAsia="宋体" w:cs="宋体"/>
          <w:color w:val="000000"/>
          <w:sz w:val="21"/>
          <w:szCs w:val="21"/>
          <w:highlight w:val="none"/>
        </w:rPr>
        <w:t>16.1 发</w:t>
      </w:r>
      <w:bookmarkEnd w:id="349"/>
      <w:bookmarkEnd w:id="350"/>
      <w:r>
        <w:rPr>
          <w:rFonts w:hint="eastAsia" w:ascii="宋体" w:hAnsi="宋体" w:eastAsia="宋体" w:cs="宋体"/>
          <w:color w:val="000000"/>
          <w:sz w:val="21"/>
          <w:szCs w:val="21"/>
          <w:highlight w:val="none"/>
        </w:rPr>
        <w:t>包人违约</w:t>
      </w:r>
      <w:bookmarkEnd w:id="351"/>
    </w:p>
    <w:bookmarkEnd w:id="352"/>
    <w:p w14:paraId="36E3F40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16.1.1 发包人违约的情形</w:t>
      </w:r>
    </w:p>
    <w:p w14:paraId="0BEEA4B5">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在合同履行过程中</w:t>
      </w:r>
      <w:r>
        <w:rPr>
          <w:rFonts w:hint="eastAsia" w:ascii="宋体" w:hAnsi="宋体" w:cs="宋体"/>
          <w:color w:val="000000"/>
          <w:sz w:val="21"/>
          <w:szCs w:val="21"/>
          <w:highlight w:val="none"/>
        </w:rPr>
        <w:t>发生的下列情形，属于发包人违约：</w:t>
      </w:r>
    </w:p>
    <w:p w14:paraId="5A93C8A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（1）因发包人原因未能在计划开工日期前7天内下达开工通知的；</w:t>
      </w:r>
    </w:p>
    <w:p w14:paraId="16FEAE1F">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（2）因发包人原因未能按合同约定支付合同价款的；</w:t>
      </w:r>
    </w:p>
    <w:p w14:paraId="225A62F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（3）发包人违反第10.1款〔变更的范围〕第（2）项约定，自行实施被取消的工作或转由他人实施的；</w:t>
      </w:r>
    </w:p>
    <w:p w14:paraId="1044B47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（4）发包人提供的材料、工程设备的规格、数量或质量不符合合同约定，或因发包人原因导致交货日期延误或交货地点变更等情况的；</w:t>
      </w:r>
    </w:p>
    <w:p w14:paraId="75AC760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（5）因发包人违反合同约定造成暂停施工的；</w:t>
      </w:r>
    </w:p>
    <w:p w14:paraId="4E5C6F9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（6）发包人无正当理由没有在约定期限内发出复工指示，导致承包人无法复工的；</w:t>
      </w:r>
    </w:p>
    <w:p w14:paraId="4220716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（7）发包人明确表示或者以其行为表明不履行合同主要义务的；</w:t>
      </w:r>
    </w:p>
    <w:p w14:paraId="0C75F0D3">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（8）发包人未能按照合同约定履行其他义务的。</w:t>
      </w:r>
    </w:p>
    <w:p w14:paraId="7391193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BCD75F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16.1.2 发包人违约的责任</w:t>
      </w:r>
    </w:p>
    <w:p w14:paraId="73840D0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440CDCE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16.1.3 因发包人违约解除合同</w:t>
      </w:r>
    </w:p>
    <w:p w14:paraId="0238C8E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1B1D5CC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16.1.4 因发包人违约解除合同后的付款</w:t>
      </w:r>
    </w:p>
    <w:p w14:paraId="79B2307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承包人按照本款约定解除合同的，发包人应在解除合同后28天内支付下列款项，并解除履约担保：</w:t>
      </w:r>
    </w:p>
    <w:p w14:paraId="4BE563B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（1）合同解除前所完成工作的价款；</w:t>
      </w:r>
    </w:p>
    <w:p w14:paraId="531BC92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（2）承包人为工程施工订购并已付款的材料、工程设备和其他物品的价款；</w:t>
      </w:r>
    </w:p>
    <w:p w14:paraId="6EDA1B4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（3）承包人撤离施工现场以及遣散承包人人员的款项；</w:t>
      </w:r>
    </w:p>
    <w:p w14:paraId="0647E3A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（4）按照合同约定在合同解除前应支付的违约金；</w:t>
      </w:r>
    </w:p>
    <w:p w14:paraId="3E45055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（5）按照合同约定应当支付给承包人的其他款项；</w:t>
      </w:r>
    </w:p>
    <w:p w14:paraId="431C5BF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（6）按照合同约定应退还的质量保证金；</w:t>
      </w:r>
    </w:p>
    <w:p w14:paraId="30C96E6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（7）因解除合同给承包人造成的损失。</w:t>
      </w:r>
    </w:p>
    <w:p w14:paraId="578D18A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合同当事人未能就解除合同后的结清达成一致的，按照第20条〔争议解决〕的约定处理。</w:t>
      </w:r>
    </w:p>
    <w:p w14:paraId="2C41D6A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承包人应妥善做好已完工程和与工程有关的已购材料、工程设备的保护和移交工作，并将施工设备和人员撤出施工现场，发包人应为承包人撤出提供必要条件。</w:t>
      </w:r>
      <w:bookmarkStart w:id="353" w:name="_Toc351203605"/>
      <w:bookmarkStart w:id="354" w:name="_Toc296503131"/>
      <w:bookmarkStart w:id="355" w:name="_Toc337558822"/>
      <w:bookmarkStart w:id="356" w:name="_Toc296346632"/>
    </w:p>
    <w:p w14:paraId="3EA5CE20">
      <w:pPr>
        <w:spacing w:line="360" w:lineRule="auto"/>
        <w:ind w:firstLine="420" w:firstLineChars="200"/>
        <w:jc w:val="left"/>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16.2 承包人违约</w:t>
      </w:r>
      <w:bookmarkEnd w:id="353"/>
    </w:p>
    <w:bookmarkEnd w:id="354"/>
    <w:bookmarkEnd w:id="355"/>
    <w:bookmarkEnd w:id="356"/>
    <w:p w14:paraId="71D1D2C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16.2.1 承包人违约的情形</w:t>
      </w:r>
    </w:p>
    <w:p w14:paraId="59A9E87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在合同履行过程中发生的下列情形，属于承包人违约：</w:t>
      </w:r>
    </w:p>
    <w:p w14:paraId="5BF43D0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（1）承包人违反合同约定进行转包或违法分包的；</w:t>
      </w:r>
    </w:p>
    <w:p w14:paraId="2904E03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（2）承包人违反合同约定采购和使用不合格的材料和工程设备的；</w:t>
      </w:r>
    </w:p>
    <w:p w14:paraId="08DC0BB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 xml:space="preserve">（3）因承包人原因导致工程质量不符合合同要求的； </w:t>
      </w:r>
    </w:p>
    <w:p w14:paraId="4BAC337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（4）承包人违反第8.9款〔材料与设备专用要求〕的约定，未经批准，私自将已按照合同约定进入施工现场的材料或设备撤离施工现场的；</w:t>
      </w:r>
    </w:p>
    <w:p w14:paraId="7010BCC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（5）承包人未能按施工进度计划及时完成合同约定的工作，造成工期延误的；</w:t>
      </w:r>
    </w:p>
    <w:p w14:paraId="4FC3D3F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（6）承包人在缺陷责任期及保修期内，未能在合理期限对工程缺陷进行修复，或拒绝按发包人要求进行修复的；</w:t>
      </w:r>
    </w:p>
    <w:p w14:paraId="55D1CA9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（7）承包人明确表示或者以其行为表明不履行合同主要义务的；</w:t>
      </w:r>
    </w:p>
    <w:p w14:paraId="5CCF4EE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（8）承包人未能按照合同约定履行其他义务的。</w:t>
      </w:r>
    </w:p>
    <w:p w14:paraId="70BC6CC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承包人发生除本项第（7）目约定以外的其他违约情况时，监理人可向承包人发出整改通知，要求其在指定的期限内改正。</w:t>
      </w:r>
    </w:p>
    <w:p w14:paraId="4A55394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16.2.2 承包人违约的责任</w:t>
      </w:r>
    </w:p>
    <w:p w14:paraId="0DC17D7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承包人应承担因其违约行为而增加的费用和（或）延误的工期。此外，合同当事人可在专用合同条款中另行约定承包人违约责任的承担方式和计算方法。</w:t>
      </w:r>
    </w:p>
    <w:p w14:paraId="4E64C38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16.2.3 因承包人违约解除合同</w:t>
      </w:r>
    </w:p>
    <w:p w14:paraId="2E659BF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57514CC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16.2.4因承包人违约解除合同后的处理</w:t>
      </w:r>
    </w:p>
    <w:p w14:paraId="4689FA2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因承包人原因导致合同解除的，则合同当事人应在合同解除后28天内完成估价、付款和清算，并按以下约定执行：</w:t>
      </w:r>
    </w:p>
    <w:p w14:paraId="25B1AA0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（1）合同解除后，按第4.4款〔商定或确定〕商定或确定承包人实际完成工作对应的合同价款，以及承包人已提供的材料、工程设备、施工设备和临时工程等的价值；</w:t>
      </w:r>
    </w:p>
    <w:p w14:paraId="2A833D0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（2）合同解除后，承包人应支付的违约金；</w:t>
      </w:r>
    </w:p>
    <w:p w14:paraId="3359663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（3）合同解除后，因解除合同给发包人造成的损失；</w:t>
      </w:r>
    </w:p>
    <w:p w14:paraId="3765620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（4）合同解除后，承包人应按照发包人要求和监理人的指示完成现场的清理和撤离；</w:t>
      </w:r>
    </w:p>
    <w:p w14:paraId="5FC605D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（5）发包人和承包人应在合同解除后进行清算，出具最终结清付款证书，结清全部款项。</w:t>
      </w:r>
    </w:p>
    <w:p w14:paraId="3F1D0CF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38E6B62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16.2.5采购合同权益转让</w:t>
      </w:r>
    </w:p>
    <w:p w14:paraId="2980BEE6">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因承包人违约解除合同的，发包人有权要求承包人将其为实施合同而签订的材料和设备的采购合同的权益转让给发包人，承包人应在收到解除合同通知后14天内，协助发包人</w:t>
      </w:r>
      <w:r>
        <w:rPr>
          <w:rFonts w:hint="eastAsia" w:ascii="宋体" w:hAnsi="宋体" w:eastAsia="宋体" w:cs="宋体"/>
          <w:color w:val="000000"/>
          <w:sz w:val="21"/>
          <w:szCs w:val="21"/>
          <w:highlight w:val="none"/>
        </w:rPr>
        <w:t>与采购合同的</w:t>
      </w:r>
      <w:r>
        <w:rPr>
          <w:rFonts w:hint="eastAsia" w:ascii="宋体" w:hAnsi="宋体" w:eastAsia="宋体" w:cs="宋体"/>
          <w:color w:val="000000"/>
          <w:sz w:val="21"/>
          <w:szCs w:val="21"/>
          <w:highlight w:val="none"/>
          <w:lang w:eastAsia="zh-CN"/>
        </w:rPr>
        <w:t>供应商</w:t>
      </w:r>
      <w:r>
        <w:rPr>
          <w:rFonts w:hint="eastAsia" w:ascii="宋体" w:hAnsi="宋体" w:eastAsia="宋体" w:cs="宋体"/>
          <w:color w:val="000000"/>
          <w:sz w:val="21"/>
          <w:szCs w:val="21"/>
          <w:highlight w:val="none"/>
        </w:rPr>
        <w:t>达成相关的转让协议。</w:t>
      </w:r>
    </w:p>
    <w:p w14:paraId="6DE72623">
      <w:pPr>
        <w:spacing w:line="360" w:lineRule="auto"/>
        <w:ind w:firstLine="420" w:firstLineChars="200"/>
        <w:jc w:val="left"/>
        <w:rPr>
          <w:rFonts w:hint="eastAsia" w:ascii="宋体" w:hAnsi="宋体" w:eastAsia="宋体" w:cs="宋体"/>
          <w:color w:val="000000"/>
          <w:sz w:val="21"/>
          <w:szCs w:val="21"/>
          <w:highlight w:val="none"/>
        </w:rPr>
      </w:pPr>
      <w:bookmarkStart w:id="357" w:name="_Toc351203606"/>
      <w:r>
        <w:rPr>
          <w:rFonts w:hint="eastAsia" w:ascii="宋体" w:hAnsi="宋体" w:eastAsia="宋体" w:cs="宋体"/>
          <w:color w:val="000000"/>
          <w:sz w:val="21"/>
          <w:szCs w:val="21"/>
          <w:highlight w:val="none"/>
        </w:rPr>
        <w:t>16.3 第三人造成的违约</w:t>
      </w:r>
      <w:bookmarkEnd w:id="357"/>
    </w:p>
    <w:p w14:paraId="3E4A666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在履行合同过程中，一方当事人因第三人的原因造成违约的，应当向对方当事人承担违约责任。一方当事人和第三人之间的纠纷，依照法律规定或者按照约定解决。</w:t>
      </w:r>
    </w:p>
    <w:p w14:paraId="0E43A0EB">
      <w:pPr>
        <w:spacing w:line="360" w:lineRule="auto"/>
        <w:ind w:firstLine="420" w:firstLineChars="200"/>
        <w:jc w:val="left"/>
        <w:rPr>
          <w:rFonts w:hint="default" w:ascii="宋体" w:hAnsi="宋体" w:eastAsia="宋体" w:cs="宋体"/>
          <w:b/>
          <w:bCs/>
          <w:color w:val="000000"/>
          <w:sz w:val="21"/>
          <w:szCs w:val="21"/>
          <w:highlight w:val="none"/>
        </w:rPr>
      </w:pPr>
      <w:bookmarkStart w:id="358" w:name="_Toc296346617"/>
      <w:bookmarkStart w:id="359" w:name="_Toc296503116"/>
      <w:bookmarkStart w:id="360" w:name="_Toc337558823"/>
      <w:bookmarkStart w:id="361" w:name="_Toc351203607"/>
      <w:r>
        <w:rPr>
          <w:rFonts w:hint="eastAsia" w:ascii="宋体" w:hAnsi="宋体" w:eastAsia="宋体" w:cs="宋体"/>
          <w:b/>
          <w:bCs/>
          <w:color w:val="000000"/>
          <w:sz w:val="21"/>
          <w:szCs w:val="21"/>
          <w:highlight w:val="none"/>
        </w:rPr>
        <w:t>17.不可抗力</w:t>
      </w:r>
      <w:bookmarkEnd w:id="358"/>
      <w:bookmarkEnd w:id="359"/>
      <w:bookmarkEnd w:id="360"/>
      <w:bookmarkEnd w:id="361"/>
    </w:p>
    <w:p w14:paraId="513EADE6">
      <w:pPr>
        <w:spacing w:line="360" w:lineRule="auto"/>
        <w:ind w:firstLine="420" w:firstLineChars="200"/>
        <w:jc w:val="left"/>
        <w:rPr>
          <w:rFonts w:hint="eastAsia" w:ascii="宋体" w:hAnsi="宋体" w:eastAsia="宋体" w:cs="宋体"/>
          <w:color w:val="000000"/>
          <w:sz w:val="21"/>
          <w:szCs w:val="21"/>
          <w:highlight w:val="none"/>
        </w:rPr>
      </w:pPr>
      <w:bookmarkStart w:id="362" w:name="_Toc351203608"/>
      <w:bookmarkStart w:id="363" w:name="_Toc337558824"/>
      <w:bookmarkStart w:id="364" w:name="_Toc296346618"/>
      <w:bookmarkStart w:id="365" w:name="_Toc296503117"/>
      <w:r>
        <w:rPr>
          <w:rFonts w:hint="eastAsia" w:ascii="宋体" w:hAnsi="宋体" w:eastAsia="宋体" w:cs="宋体"/>
          <w:color w:val="000000"/>
          <w:sz w:val="21"/>
          <w:szCs w:val="21"/>
          <w:highlight w:val="none"/>
        </w:rPr>
        <w:t>17.1 不可抗力的确认</w:t>
      </w:r>
      <w:bookmarkEnd w:id="362"/>
    </w:p>
    <w:bookmarkEnd w:id="363"/>
    <w:bookmarkEnd w:id="364"/>
    <w:bookmarkEnd w:id="365"/>
    <w:p w14:paraId="5E8DDF92">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39320672">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w:t>
      </w:r>
      <w:r>
        <w:rPr>
          <w:rFonts w:hint="eastAsia" w:ascii="宋体" w:hAnsi="宋体" w:eastAsia="宋体" w:cs="宋体"/>
          <w:color w:val="000000"/>
          <w:sz w:val="21"/>
          <w:szCs w:val="21"/>
          <w:highlight w:val="none"/>
        </w:rPr>
        <w:t>议解决〕的约定处理。</w:t>
      </w:r>
    </w:p>
    <w:p w14:paraId="1495E4D6">
      <w:pPr>
        <w:spacing w:line="360" w:lineRule="auto"/>
        <w:ind w:firstLine="420" w:firstLineChars="200"/>
        <w:jc w:val="left"/>
        <w:rPr>
          <w:rFonts w:hint="eastAsia" w:ascii="宋体" w:hAnsi="宋体" w:eastAsia="宋体" w:cs="宋体"/>
          <w:color w:val="000000"/>
          <w:sz w:val="21"/>
          <w:szCs w:val="21"/>
          <w:highlight w:val="none"/>
        </w:rPr>
      </w:pPr>
      <w:bookmarkStart w:id="366" w:name="_Toc351203609"/>
      <w:bookmarkStart w:id="367" w:name="_Toc337558825"/>
      <w:bookmarkStart w:id="368" w:name="_Toc296346619"/>
      <w:bookmarkStart w:id="369" w:name="_Toc296503118"/>
      <w:r>
        <w:rPr>
          <w:rFonts w:hint="eastAsia" w:ascii="宋体" w:hAnsi="宋体" w:eastAsia="宋体" w:cs="宋体"/>
          <w:color w:val="000000"/>
          <w:sz w:val="21"/>
          <w:szCs w:val="21"/>
          <w:highlight w:val="none"/>
        </w:rPr>
        <w:t>17.2 不可抗力的通知</w:t>
      </w:r>
      <w:bookmarkEnd w:id="366"/>
    </w:p>
    <w:bookmarkEnd w:id="367"/>
    <w:bookmarkEnd w:id="368"/>
    <w:bookmarkEnd w:id="369"/>
    <w:p w14:paraId="3440CA9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490BA16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65B6B509">
      <w:pPr>
        <w:spacing w:line="360" w:lineRule="auto"/>
        <w:ind w:firstLine="420" w:firstLineChars="200"/>
        <w:jc w:val="left"/>
        <w:rPr>
          <w:rFonts w:hint="eastAsia" w:ascii="宋体" w:hAnsi="宋体" w:eastAsia="宋体" w:cs="宋体"/>
          <w:color w:val="000000"/>
          <w:sz w:val="21"/>
          <w:szCs w:val="21"/>
          <w:highlight w:val="none"/>
        </w:rPr>
      </w:pPr>
      <w:bookmarkStart w:id="370" w:name="_Toc351203610"/>
      <w:bookmarkStart w:id="371" w:name="_Toc296503119"/>
      <w:bookmarkStart w:id="372" w:name="_Toc337558826"/>
      <w:bookmarkStart w:id="373" w:name="_Toc296346620"/>
      <w:r>
        <w:rPr>
          <w:rFonts w:hint="eastAsia" w:ascii="宋体" w:hAnsi="宋体" w:eastAsia="宋体" w:cs="宋体"/>
          <w:color w:val="000000"/>
          <w:sz w:val="21"/>
          <w:szCs w:val="21"/>
          <w:highlight w:val="none"/>
        </w:rPr>
        <w:t>17.3 不可抗力后果的承担</w:t>
      </w:r>
      <w:bookmarkEnd w:id="370"/>
    </w:p>
    <w:bookmarkEnd w:id="371"/>
    <w:bookmarkEnd w:id="372"/>
    <w:bookmarkEnd w:id="373"/>
    <w:p w14:paraId="33B42E30">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17.3.1 不可抗力引起</w:t>
      </w:r>
      <w:r>
        <w:rPr>
          <w:rFonts w:hint="eastAsia" w:ascii="宋体" w:hAnsi="宋体" w:cs="宋体"/>
          <w:color w:val="000000"/>
          <w:sz w:val="21"/>
          <w:szCs w:val="21"/>
          <w:highlight w:val="none"/>
        </w:rPr>
        <w:t>的后果及造成的损失由合同当事人按照法律规定及合同约定各自承担。不可抗力发生前已完成的工程应当按照合同约定进行计量支付。</w:t>
      </w:r>
    </w:p>
    <w:p w14:paraId="294B840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17.3.2 不可抗力导致的人员伤亡、财产损失、费用增加和（或）工期延误等后果，由合同当事人按以下原则承担：</w:t>
      </w:r>
    </w:p>
    <w:p w14:paraId="5AD8A324">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（1）永久工程、已运至施工现场的材料和工程设备的损坏，以及因工程损坏造成的第三人人员伤亡和财产损失由发包人承担；</w:t>
      </w:r>
    </w:p>
    <w:p w14:paraId="62B01D3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（2）承包人施工设备的损坏由承包人承担；</w:t>
      </w:r>
    </w:p>
    <w:p w14:paraId="55AF8FD6">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（3）发包人和承包人承担各自人员伤亡和财产的损失；</w:t>
      </w:r>
    </w:p>
    <w:p w14:paraId="13236A0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78D347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（5）因不可抗力引起或将引起工期延误，发包人要求赶工的，由此增加的赶工费用由发包人承担；</w:t>
      </w:r>
    </w:p>
    <w:p w14:paraId="04B05C7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（6）承包人在停工期间按照发包人要求照管、清理和修复工程的费用由发包人承担。</w:t>
      </w:r>
    </w:p>
    <w:p w14:paraId="4EE10824">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不可抗</w:t>
      </w:r>
      <w:r>
        <w:rPr>
          <w:rFonts w:hint="eastAsia" w:ascii="宋体" w:hAnsi="宋体" w:eastAsia="宋体" w:cs="宋体"/>
          <w:color w:val="000000"/>
          <w:sz w:val="21"/>
          <w:szCs w:val="21"/>
          <w:highlight w:val="none"/>
        </w:rPr>
        <w:t>力发生后，合同当事人均应采取措施尽量避免和减少损失的扩大，任何一方当事人没有采取有效措施导致损失扩大的，应对扩大的损失承担责任。</w:t>
      </w:r>
    </w:p>
    <w:p w14:paraId="1F183912">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因合同一方迟延履行合同义务，在迟延履行期间遭遇不可抗力的，不免除其违约责任。</w:t>
      </w:r>
    </w:p>
    <w:p w14:paraId="68BBAAFB">
      <w:pPr>
        <w:spacing w:line="360" w:lineRule="auto"/>
        <w:ind w:firstLine="420" w:firstLineChars="200"/>
        <w:jc w:val="left"/>
        <w:rPr>
          <w:rFonts w:hint="eastAsia" w:ascii="宋体" w:hAnsi="宋体" w:eastAsia="宋体" w:cs="宋体"/>
          <w:color w:val="000000"/>
          <w:sz w:val="21"/>
          <w:szCs w:val="21"/>
          <w:highlight w:val="none"/>
        </w:rPr>
      </w:pPr>
      <w:bookmarkStart w:id="374" w:name="_Toc351203611"/>
      <w:bookmarkStart w:id="375" w:name="_Toc337558827"/>
      <w:r>
        <w:rPr>
          <w:rFonts w:hint="eastAsia" w:ascii="宋体" w:hAnsi="宋体" w:eastAsia="宋体" w:cs="宋体"/>
          <w:color w:val="000000"/>
          <w:sz w:val="21"/>
          <w:szCs w:val="21"/>
          <w:highlight w:val="none"/>
        </w:rPr>
        <w:t>17.4 因不可抗力解除合同</w:t>
      </w:r>
      <w:bookmarkEnd w:id="374"/>
    </w:p>
    <w:bookmarkEnd w:id="375"/>
    <w:p w14:paraId="7CB74BF7">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6A12402A">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（1）合同解除前承包人已完成工作的价款；</w:t>
      </w:r>
    </w:p>
    <w:p w14:paraId="6E37B03D">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（2）承包人为工程订购的并已交付给承包人，或承包人有责任接受交付的材料、工程设备和其他物品</w:t>
      </w:r>
      <w:r>
        <w:rPr>
          <w:rFonts w:hint="eastAsia" w:ascii="宋体" w:hAnsi="宋体" w:cs="宋体"/>
          <w:color w:val="000000"/>
          <w:sz w:val="21"/>
          <w:szCs w:val="21"/>
          <w:highlight w:val="none"/>
        </w:rPr>
        <w:t>的价款；</w:t>
      </w:r>
    </w:p>
    <w:p w14:paraId="4AC99F1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（3）发包人要求承包人退货或解除订货合同而产生的费用，或因不能退货或解除合同而产生的损失；</w:t>
      </w:r>
    </w:p>
    <w:p w14:paraId="7427FB6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（4）承包人撤离施工现场以及遣散承包人人员的费用；</w:t>
      </w:r>
    </w:p>
    <w:p w14:paraId="46B95AC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（5）按照合同约定在合同解除前应支付给承包人的其他款项；</w:t>
      </w:r>
    </w:p>
    <w:p w14:paraId="05D8308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（6）扣减承包人按照合同约定应向发包人支付的款项；</w:t>
      </w:r>
    </w:p>
    <w:p w14:paraId="6EAB1C7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（7）双方商定或确定的其他款项。</w:t>
      </w:r>
    </w:p>
    <w:p w14:paraId="0FEC6A3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除专用合同条款另有约定外，合同解除后，发包人应在商定或确定上述款项后28天内完成上述款</w:t>
      </w:r>
      <w:r>
        <w:rPr>
          <w:rFonts w:hint="eastAsia" w:ascii="宋体" w:hAnsi="宋体" w:eastAsia="宋体" w:cs="宋体"/>
          <w:color w:val="000000"/>
          <w:sz w:val="21"/>
          <w:szCs w:val="21"/>
          <w:highlight w:val="none"/>
        </w:rPr>
        <w:t>项的支付。</w:t>
      </w:r>
    </w:p>
    <w:p w14:paraId="61D3DFFD">
      <w:pPr>
        <w:spacing w:line="360" w:lineRule="auto"/>
        <w:ind w:firstLine="420" w:firstLineChars="200"/>
        <w:jc w:val="left"/>
        <w:rPr>
          <w:rFonts w:hint="default" w:ascii="宋体" w:hAnsi="宋体" w:eastAsia="宋体" w:cs="宋体"/>
          <w:b/>
          <w:bCs/>
          <w:color w:val="000000"/>
          <w:sz w:val="21"/>
          <w:szCs w:val="21"/>
          <w:highlight w:val="none"/>
        </w:rPr>
      </w:pPr>
      <w:bookmarkStart w:id="376" w:name="_Toc351203612"/>
      <w:bookmarkStart w:id="377" w:name="_Toc296503120"/>
      <w:bookmarkStart w:id="378" w:name="_Toc337558828"/>
      <w:bookmarkStart w:id="379" w:name="_Toc296346621"/>
      <w:r>
        <w:rPr>
          <w:rFonts w:hint="eastAsia" w:ascii="宋体" w:hAnsi="宋体" w:eastAsia="宋体" w:cs="宋体"/>
          <w:b/>
          <w:bCs/>
          <w:color w:val="000000"/>
          <w:sz w:val="21"/>
          <w:szCs w:val="21"/>
          <w:highlight w:val="none"/>
        </w:rPr>
        <w:t>18. 保险</w:t>
      </w:r>
      <w:bookmarkEnd w:id="376"/>
    </w:p>
    <w:bookmarkEnd w:id="377"/>
    <w:bookmarkEnd w:id="378"/>
    <w:bookmarkEnd w:id="379"/>
    <w:p w14:paraId="4657D28C">
      <w:pPr>
        <w:spacing w:line="360" w:lineRule="auto"/>
        <w:ind w:firstLine="420" w:firstLineChars="200"/>
        <w:jc w:val="left"/>
        <w:rPr>
          <w:rFonts w:hint="eastAsia" w:ascii="宋体" w:hAnsi="宋体" w:eastAsia="宋体" w:cs="宋体"/>
          <w:b/>
          <w:bCs/>
          <w:color w:val="000000"/>
          <w:sz w:val="21"/>
          <w:szCs w:val="21"/>
          <w:highlight w:val="none"/>
        </w:rPr>
      </w:pPr>
      <w:bookmarkStart w:id="380" w:name="_Toc351203613"/>
      <w:bookmarkStart w:id="381" w:name="_Toc296503121"/>
      <w:bookmarkStart w:id="382" w:name="_Toc337558829"/>
      <w:bookmarkStart w:id="383" w:name="_Toc296346622"/>
      <w:r>
        <w:rPr>
          <w:rFonts w:hint="eastAsia" w:ascii="宋体" w:hAnsi="宋体" w:eastAsia="宋体" w:cs="宋体"/>
          <w:b/>
          <w:bCs/>
          <w:color w:val="000000"/>
          <w:sz w:val="21"/>
          <w:szCs w:val="21"/>
          <w:highlight w:val="none"/>
        </w:rPr>
        <w:t>18.1 工程保险</w:t>
      </w:r>
      <w:bookmarkEnd w:id="380"/>
    </w:p>
    <w:bookmarkEnd w:id="381"/>
    <w:bookmarkEnd w:id="382"/>
    <w:bookmarkEnd w:id="383"/>
    <w:p w14:paraId="321EA6A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除专用合同条款另有约定外，发包人应投保建筑工程一切险或安装工程一切险；发包人委托承包人投保的，因投保产生的保险费和其他相关费用由发包人承担。</w:t>
      </w:r>
    </w:p>
    <w:p w14:paraId="6D3E3058">
      <w:pPr>
        <w:spacing w:line="360" w:lineRule="auto"/>
        <w:ind w:firstLine="420" w:firstLineChars="200"/>
        <w:jc w:val="left"/>
        <w:rPr>
          <w:rFonts w:hint="eastAsia" w:ascii="宋体" w:hAnsi="宋体" w:eastAsia="宋体" w:cs="宋体"/>
          <w:b/>
          <w:bCs/>
          <w:color w:val="000000"/>
          <w:sz w:val="21"/>
          <w:szCs w:val="21"/>
          <w:highlight w:val="none"/>
        </w:rPr>
      </w:pPr>
      <w:bookmarkStart w:id="384" w:name="_Toc351203614"/>
      <w:bookmarkStart w:id="385" w:name="_Toc296346623"/>
      <w:bookmarkStart w:id="386" w:name="_Toc337558830"/>
      <w:bookmarkStart w:id="387" w:name="_Toc296503122"/>
      <w:r>
        <w:rPr>
          <w:rFonts w:hint="eastAsia" w:ascii="宋体" w:hAnsi="宋体" w:eastAsia="宋体" w:cs="宋体"/>
          <w:b/>
          <w:bCs/>
          <w:color w:val="000000"/>
          <w:sz w:val="21"/>
          <w:szCs w:val="21"/>
          <w:highlight w:val="none"/>
        </w:rPr>
        <w:t>18.2 工伤保险</w:t>
      </w:r>
      <w:bookmarkEnd w:id="384"/>
    </w:p>
    <w:bookmarkEnd w:id="385"/>
    <w:bookmarkEnd w:id="386"/>
    <w:bookmarkEnd w:id="387"/>
    <w:p w14:paraId="48E3CE8E">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18.2.1 发包人应依照法</w:t>
      </w:r>
      <w:r>
        <w:rPr>
          <w:rFonts w:hint="eastAsia" w:ascii="宋体" w:hAnsi="宋体" w:cs="宋体"/>
          <w:color w:val="000000"/>
          <w:sz w:val="21"/>
          <w:szCs w:val="21"/>
          <w:highlight w:val="none"/>
        </w:rPr>
        <w:t>律规定参加工伤保险，并为在施工现场的全部员工办理工伤保险，缴纳工伤保险费，并要求监理人及由发包人为履行合同聘请的第三方依法参加工伤保</w:t>
      </w:r>
      <w:r>
        <w:rPr>
          <w:rFonts w:hint="eastAsia" w:ascii="宋体" w:hAnsi="宋体" w:eastAsia="宋体" w:cs="宋体"/>
          <w:color w:val="000000"/>
          <w:sz w:val="21"/>
          <w:szCs w:val="21"/>
          <w:highlight w:val="none"/>
        </w:rPr>
        <w:t>险。</w:t>
      </w:r>
    </w:p>
    <w:p w14:paraId="691DC950">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74D0233D">
      <w:pPr>
        <w:spacing w:line="360" w:lineRule="auto"/>
        <w:ind w:firstLine="420" w:firstLineChars="200"/>
        <w:jc w:val="left"/>
        <w:rPr>
          <w:rFonts w:hint="eastAsia" w:ascii="宋体" w:hAnsi="宋体" w:eastAsia="宋体" w:cs="宋体"/>
          <w:b/>
          <w:bCs/>
          <w:color w:val="000000"/>
          <w:sz w:val="21"/>
          <w:szCs w:val="21"/>
          <w:highlight w:val="none"/>
        </w:rPr>
      </w:pPr>
      <w:bookmarkStart w:id="388" w:name="_Toc351203615"/>
      <w:bookmarkStart w:id="389" w:name="_Toc337558831"/>
      <w:bookmarkStart w:id="390" w:name="_Toc296346626"/>
      <w:bookmarkStart w:id="391" w:name="_Toc296503125"/>
      <w:r>
        <w:rPr>
          <w:rFonts w:hint="eastAsia" w:ascii="宋体" w:hAnsi="宋体" w:eastAsia="宋体" w:cs="宋体"/>
          <w:b/>
          <w:bCs/>
          <w:color w:val="000000"/>
          <w:sz w:val="21"/>
          <w:szCs w:val="21"/>
          <w:highlight w:val="none"/>
        </w:rPr>
        <w:t>18.3其他保险</w:t>
      </w:r>
      <w:bookmarkEnd w:id="388"/>
    </w:p>
    <w:bookmarkEnd w:id="389"/>
    <w:bookmarkEnd w:id="390"/>
    <w:bookmarkEnd w:id="391"/>
    <w:p w14:paraId="0297C8E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268E89C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除专用合同条款另有约定外，承包人应为其施工设备等办理财产保险。</w:t>
      </w:r>
    </w:p>
    <w:p w14:paraId="18520ACE">
      <w:pPr>
        <w:spacing w:line="360" w:lineRule="auto"/>
        <w:ind w:firstLine="420" w:firstLineChars="200"/>
        <w:jc w:val="left"/>
        <w:rPr>
          <w:rFonts w:hint="eastAsia" w:ascii="宋体" w:hAnsi="宋体" w:eastAsia="宋体" w:cs="宋体"/>
          <w:b/>
          <w:bCs/>
          <w:color w:val="000000"/>
          <w:sz w:val="21"/>
          <w:szCs w:val="21"/>
          <w:highlight w:val="none"/>
        </w:rPr>
      </w:pPr>
      <w:bookmarkStart w:id="392" w:name="_Toc351203616"/>
      <w:r>
        <w:rPr>
          <w:rFonts w:hint="eastAsia" w:ascii="宋体" w:hAnsi="宋体" w:eastAsia="宋体" w:cs="宋体"/>
          <w:b/>
          <w:bCs/>
          <w:color w:val="000000"/>
          <w:sz w:val="21"/>
          <w:szCs w:val="21"/>
          <w:highlight w:val="none"/>
        </w:rPr>
        <w:t>18.4持续保险</w:t>
      </w:r>
      <w:bookmarkEnd w:id="392"/>
    </w:p>
    <w:p w14:paraId="08A15A0D">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18.4</w:t>
      </w:r>
      <w:r>
        <w:rPr>
          <w:rFonts w:hint="eastAsia" w:ascii="宋体" w:hAnsi="宋体" w:eastAsia="宋体" w:cs="宋体"/>
          <w:color w:val="000000"/>
          <w:sz w:val="21"/>
          <w:szCs w:val="21"/>
          <w:highlight w:val="none"/>
        </w:rPr>
        <w:t>合同当事人应与保险人保持联系，使保险人能够随时了解工程实施中的变动，并确保按保险合同条款要求持续保险。</w:t>
      </w:r>
    </w:p>
    <w:p w14:paraId="50EEBCAB">
      <w:pPr>
        <w:spacing w:line="360" w:lineRule="auto"/>
        <w:ind w:firstLine="420" w:firstLineChars="200"/>
        <w:jc w:val="left"/>
        <w:rPr>
          <w:rFonts w:hint="eastAsia" w:ascii="宋体" w:hAnsi="宋体" w:eastAsia="宋体" w:cs="宋体"/>
          <w:color w:val="000000"/>
          <w:sz w:val="21"/>
          <w:szCs w:val="21"/>
          <w:highlight w:val="none"/>
        </w:rPr>
      </w:pPr>
      <w:bookmarkStart w:id="393" w:name="_Toc351203617"/>
      <w:bookmarkStart w:id="394" w:name="_Toc337558832"/>
      <w:bookmarkStart w:id="395" w:name="_Toc296346627"/>
      <w:bookmarkStart w:id="396" w:name="_Toc296503126"/>
      <w:r>
        <w:rPr>
          <w:rFonts w:hint="eastAsia" w:ascii="宋体" w:hAnsi="宋体" w:eastAsia="宋体" w:cs="宋体"/>
          <w:color w:val="000000"/>
          <w:sz w:val="21"/>
          <w:szCs w:val="21"/>
          <w:highlight w:val="none"/>
        </w:rPr>
        <w:t>18.5 保险凭证</w:t>
      </w:r>
      <w:bookmarkEnd w:id="393"/>
    </w:p>
    <w:bookmarkEnd w:id="394"/>
    <w:bookmarkEnd w:id="395"/>
    <w:bookmarkEnd w:id="396"/>
    <w:p w14:paraId="78A43900">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合同当事人应及时向另一方当事人提交其已投保的各项保险的凭证和保险单复印件。</w:t>
      </w:r>
      <w:bookmarkStart w:id="397" w:name="_Toc351203618"/>
      <w:bookmarkStart w:id="398" w:name="_Toc296503127"/>
      <w:bookmarkStart w:id="399" w:name="_Toc296346628"/>
      <w:bookmarkStart w:id="400" w:name="_Toc337558833"/>
    </w:p>
    <w:p w14:paraId="15B57E5B">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18.6未按约定投保的补救</w:t>
      </w:r>
      <w:bookmarkEnd w:id="397"/>
    </w:p>
    <w:bookmarkEnd w:id="398"/>
    <w:bookmarkEnd w:id="399"/>
    <w:bookmarkEnd w:id="400"/>
    <w:p w14:paraId="7DAEA3A8">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24D933F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5D0B61FF">
      <w:pPr>
        <w:spacing w:line="360" w:lineRule="auto"/>
        <w:ind w:firstLine="420" w:firstLineChars="200"/>
        <w:jc w:val="left"/>
        <w:rPr>
          <w:rFonts w:hint="eastAsia" w:ascii="宋体" w:hAnsi="宋体" w:eastAsia="宋体" w:cs="宋体"/>
          <w:color w:val="000000"/>
          <w:sz w:val="21"/>
          <w:szCs w:val="21"/>
          <w:highlight w:val="none"/>
        </w:rPr>
      </w:pPr>
      <w:bookmarkStart w:id="401" w:name="_Toc351203619"/>
      <w:bookmarkStart w:id="402" w:name="_Toc337558834"/>
      <w:r>
        <w:rPr>
          <w:rFonts w:hint="eastAsia" w:ascii="宋体" w:hAnsi="宋体" w:eastAsia="宋体" w:cs="宋体"/>
          <w:color w:val="000000"/>
          <w:sz w:val="21"/>
          <w:szCs w:val="21"/>
          <w:highlight w:val="none"/>
        </w:rPr>
        <w:t>18.7 通知义务</w:t>
      </w:r>
      <w:bookmarkEnd w:id="401"/>
    </w:p>
    <w:bookmarkEnd w:id="402"/>
    <w:p w14:paraId="68AB0F6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5E0E5F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保险事故发生时，投保人应按照保险合同规定的条件和期限及时向保险人报告。发包人和承包人应当在知道保险事故发生后及时通知对方。</w:t>
      </w:r>
    </w:p>
    <w:p w14:paraId="5CE797ED">
      <w:pPr>
        <w:spacing w:line="360" w:lineRule="auto"/>
        <w:ind w:firstLine="420" w:firstLineChars="200"/>
        <w:jc w:val="left"/>
        <w:rPr>
          <w:rFonts w:hint="default" w:ascii="宋体" w:hAnsi="宋体" w:eastAsia="宋体" w:cs="宋体"/>
          <w:b/>
          <w:bCs/>
          <w:color w:val="000000"/>
          <w:sz w:val="21"/>
          <w:szCs w:val="21"/>
          <w:highlight w:val="none"/>
        </w:rPr>
      </w:pPr>
      <w:bookmarkStart w:id="403" w:name="_Toc351203620"/>
      <w:bookmarkStart w:id="404" w:name="_Toc296346641"/>
      <w:bookmarkStart w:id="405" w:name="_Toc337558835"/>
      <w:bookmarkStart w:id="406" w:name="_Toc296503140"/>
      <w:r>
        <w:rPr>
          <w:rFonts w:hint="eastAsia" w:ascii="宋体" w:hAnsi="宋体" w:eastAsia="宋体" w:cs="宋体"/>
          <w:b/>
          <w:bCs/>
          <w:color w:val="000000"/>
          <w:sz w:val="21"/>
          <w:szCs w:val="21"/>
          <w:highlight w:val="none"/>
        </w:rPr>
        <w:t>19. 索赔</w:t>
      </w:r>
      <w:bookmarkEnd w:id="403"/>
    </w:p>
    <w:bookmarkEnd w:id="404"/>
    <w:bookmarkEnd w:id="405"/>
    <w:bookmarkEnd w:id="406"/>
    <w:p w14:paraId="0D0C6BB0">
      <w:pPr>
        <w:spacing w:line="360" w:lineRule="auto"/>
        <w:ind w:firstLine="420" w:firstLineChars="200"/>
        <w:jc w:val="left"/>
        <w:rPr>
          <w:rFonts w:hint="eastAsia" w:ascii="宋体" w:hAnsi="宋体" w:eastAsia="宋体" w:cs="宋体"/>
          <w:color w:val="000000"/>
          <w:sz w:val="21"/>
          <w:szCs w:val="21"/>
          <w:highlight w:val="none"/>
        </w:rPr>
      </w:pPr>
      <w:bookmarkStart w:id="407" w:name="_Toc351203621"/>
      <w:bookmarkStart w:id="408" w:name="_Toc337558836"/>
      <w:bookmarkStart w:id="409" w:name="_Toc296346642"/>
      <w:bookmarkStart w:id="410" w:name="_Toc296503141"/>
      <w:r>
        <w:rPr>
          <w:rFonts w:hint="eastAsia" w:ascii="宋体" w:hAnsi="宋体" w:eastAsia="宋体" w:cs="宋体"/>
          <w:color w:val="000000"/>
          <w:sz w:val="21"/>
          <w:szCs w:val="21"/>
          <w:highlight w:val="none"/>
        </w:rPr>
        <w:t>19.1承包人的索赔</w:t>
      </w:r>
      <w:bookmarkEnd w:id="407"/>
    </w:p>
    <w:bookmarkEnd w:id="408"/>
    <w:bookmarkEnd w:id="409"/>
    <w:bookmarkEnd w:id="410"/>
    <w:p w14:paraId="17F4D5E6">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根据合同约定，承包人认为有权得到追加付款和（或）延长工期的，应按以下程序向发包人提出索赔：</w:t>
      </w:r>
    </w:p>
    <w:p w14:paraId="2CA27DB0">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（1）承包人应在知道或应</w:t>
      </w:r>
      <w:r>
        <w:rPr>
          <w:rFonts w:hint="eastAsia" w:ascii="宋体" w:hAnsi="宋体" w:cs="宋体"/>
          <w:color w:val="000000"/>
          <w:sz w:val="21"/>
          <w:szCs w:val="21"/>
          <w:highlight w:val="none"/>
        </w:rPr>
        <w:t>当知道索赔事件发生后28天内，向监理人递交索赔意向通知书，并说明发生索赔事件的事由；承包人未在前述28天内发出索赔意向通知书的，丧失要求追加付款和（或）延长工期的权利；</w:t>
      </w:r>
    </w:p>
    <w:p w14:paraId="16AD4838">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53BBB42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（3）索赔事件具有持续影响的，承包人应按合理时间间隔继续递交延续索赔通知，说明持续影响的实际情况和记录，列出累计的追加付款金额和（或）工期延长天数；</w:t>
      </w:r>
    </w:p>
    <w:p w14:paraId="2CC20526">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（4）在索赔事件影响结束后28天内，承包人应向监理人递交最终索赔报告，说</w:t>
      </w:r>
      <w:r>
        <w:rPr>
          <w:rFonts w:hint="eastAsia" w:ascii="宋体" w:hAnsi="宋体" w:eastAsia="宋体" w:cs="宋体"/>
          <w:color w:val="000000"/>
          <w:sz w:val="21"/>
          <w:szCs w:val="21"/>
          <w:highlight w:val="none"/>
        </w:rPr>
        <w:t>明最终要求索赔的追加付款金额和（或）延长的工期，并附必要的记录和证明材料。</w:t>
      </w:r>
    </w:p>
    <w:p w14:paraId="5335D586">
      <w:pPr>
        <w:spacing w:line="360" w:lineRule="auto"/>
        <w:ind w:firstLine="420" w:firstLineChars="200"/>
        <w:jc w:val="left"/>
        <w:rPr>
          <w:rFonts w:hint="eastAsia" w:ascii="宋体" w:hAnsi="宋体" w:eastAsia="宋体" w:cs="宋体"/>
          <w:color w:val="000000"/>
          <w:sz w:val="21"/>
          <w:szCs w:val="21"/>
          <w:highlight w:val="none"/>
        </w:rPr>
      </w:pPr>
      <w:bookmarkStart w:id="411" w:name="_Toc351203622"/>
      <w:bookmarkStart w:id="412" w:name="_Toc296346643"/>
      <w:bookmarkStart w:id="413" w:name="_Toc296503142"/>
      <w:bookmarkStart w:id="414" w:name="_Toc337558837"/>
      <w:r>
        <w:rPr>
          <w:rFonts w:hint="eastAsia" w:ascii="宋体" w:hAnsi="宋体" w:eastAsia="宋体" w:cs="宋体"/>
          <w:color w:val="000000"/>
          <w:sz w:val="21"/>
          <w:szCs w:val="21"/>
          <w:highlight w:val="none"/>
        </w:rPr>
        <w:t>19.2 对承包人索赔的处理</w:t>
      </w:r>
      <w:bookmarkEnd w:id="411"/>
    </w:p>
    <w:bookmarkEnd w:id="412"/>
    <w:bookmarkEnd w:id="413"/>
    <w:bookmarkEnd w:id="414"/>
    <w:p w14:paraId="09CD1A1C">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对承包人索赔的处理如下：</w:t>
      </w:r>
    </w:p>
    <w:p w14:paraId="4E19082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（1）监理人应在收到索赔报告后14天内完成审查并报送发包人。监理人对索赔报告存在异议的，有权要求承包人提交全部原始记录副本；</w:t>
      </w:r>
    </w:p>
    <w:p w14:paraId="16E4CFB3">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6D74A23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（3）承包人接受索赔处理结果的，索赔款项在当期进度款中进行支付；承包人不接受索赔处理结果的，按照第20条〔争议解决〕约定处理。</w:t>
      </w:r>
    </w:p>
    <w:p w14:paraId="04654B9F">
      <w:pPr>
        <w:spacing w:line="360" w:lineRule="auto"/>
        <w:ind w:firstLine="420" w:firstLineChars="200"/>
        <w:jc w:val="left"/>
        <w:rPr>
          <w:rFonts w:hint="eastAsia" w:ascii="宋体" w:hAnsi="宋体" w:eastAsia="宋体" w:cs="宋体"/>
          <w:color w:val="000000"/>
          <w:sz w:val="21"/>
          <w:szCs w:val="21"/>
          <w:highlight w:val="none"/>
        </w:rPr>
      </w:pPr>
      <w:bookmarkStart w:id="415" w:name="_Toc351203623"/>
      <w:bookmarkStart w:id="416" w:name="_Toc296346644"/>
      <w:bookmarkStart w:id="417" w:name="_Toc337558838"/>
      <w:bookmarkStart w:id="418" w:name="_Toc296503143"/>
      <w:r>
        <w:rPr>
          <w:rFonts w:hint="eastAsia" w:ascii="宋体" w:hAnsi="宋体" w:eastAsia="宋体" w:cs="宋体"/>
          <w:color w:val="000000"/>
          <w:sz w:val="21"/>
          <w:szCs w:val="21"/>
          <w:highlight w:val="none"/>
        </w:rPr>
        <w:t>19.3发包人的索赔</w:t>
      </w:r>
      <w:bookmarkEnd w:id="415"/>
    </w:p>
    <w:bookmarkEnd w:id="416"/>
    <w:bookmarkEnd w:id="417"/>
    <w:bookmarkEnd w:id="418"/>
    <w:p w14:paraId="5C99699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根据合同约定，发包人认为有权得到赔付金额和（或）延长缺陷责任期的，监理人应向承包人发出通知并附有详细的证明。</w:t>
      </w:r>
    </w:p>
    <w:p w14:paraId="4AC24B52">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28B7B8C">
      <w:pPr>
        <w:spacing w:line="360" w:lineRule="auto"/>
        <w:ind w:firstLine="420" w:firstLineChars="200"/>
        <w:jc w:val="left"/>
        <w:rPr>
          <w:rFonts w:hint="eastAsia" w:ascii="宋体" w:hAnsi="宋体" w:eastAsia="宋体" w:cs="宋体"/>
          <w:color w:val="000000"/>
          <w:sz w:val="21"/>
          <w:szCs w:val="21"/>
          <w:highlight w:val="none"/>
        </w:rPr>
      </w:pPr>
      <w:bookmarkStart w:id="419" w:name="_Toc351203624"/>
      <w:bookmarkStart w:id="420" w:name="_Toc296503144"/>
      <w:bookmarkStart w:id="421" w:name="_Toc296346645"/>
      <w:bookmarkStart w:id="422" w:name="_Toc337558839"/>
      <w:r>
        <w:rPr>
          <w:rFonts w:hint="eastAsia" w:ascii="宋体" w:hAnsi="宋体" w:eastAsia="宋体" w:cs="宋体"/>
          <w:color w:val="000000"/>
          <w:sz w:val="21"/>
          <w:szCs w:val="21"/>
          <w:highlight w:val="none"/>
        </w:rPr>
        <w:t>19.4 对发包人索赔的处理</w:t>
      </w:r>
      <w:bookmarkEnd w:id="419"/>
    </w:p>
    <w:bookmarkEnd w:id="420"/>
    <w:bookmarkEnd w:id="421"/>
    <w:bookmarkEnd w:id="422"/>
    <w:p w14:paraId="27FA9A4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对发包人索赔的处理如下：</w:t>
      </w:r>
    </w:p>
    <w:p w14:paraId="506F3C39">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（1）承包人收到发包人提交的索赔报告后，应及时审查索赔报告的内容、查验发包人证明材料；</w:t>
      </w:r>
    </w:p>
    <w:p w14:paraId="110E5B8F">
      <w:pPr>
        <w:spacing w:line="360" w:lineRule="auto"/>
        <w:ind w:firstLine="420" w:firstLineChars="200"/>
        <w:jc w:val="left"/>
        <w:rPr>
          <w:rFonts w:ascii="宋体" w:hAnsi="宋体" w:cs="宋体"/>
          <w:color w:val="000000"/>
          <w:sz w:val="21"/>
          <w:szCs w:val="21"/>
          <w:highlight w:val="none"/>
        </w:rPr>
      </w:pPr>
      <w:r>
        <w:rPr>
          <w:rFonts w:hint="eastAsia" w:ascii="宋体" w:hAnsi="宋体" w:eastAsia="宋体" w:cs="宋体"/>
          <w:color w:val="000000"/>
          <w:sz w:val="21"/>
          <w:szCs w:val="21"/>
          <w:highlight w:val="none"/>
        </w:rPr>
        <w:t>（2）承包人应在</w:t>
      </w:r>
      <w:r>
        <w:rPr>
          <w:rFonts w:hint="eastAsia" w:ascii="宋体" w:hAnsi="宋体" w:cs="宋体"/>
          <w:color w:val="000000"/>
          <w:sz w:val="21"/>
          <w:szCs w:val="21"/>
          <w:highlight w:val="none"/>
        </w:rPr>
        <w:t>收到索赔报告或有关索赔的进一步证明材料后28天内，将索赔处理结果答复发包人。如果承包人未在上述期限内作出答复的，则视为对发包人索赔要求的认可；</w:t>
      </w:r>
    </w:p>
    <w:p w14:paraId="27BE318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（3）承包人接受索赔处理结果的，发包人可从应支付给承包人的合同价款中扣除赔付的金额或延长缺陷责任期；发包人不接受索赔处理结果的，按第20条〔争议解</w:t>
      </w:r>
      <w:r>
        <w:rPr>
          <w:rFonts w:hint="eastAsia" w:ascii="宋体" w:hAnsi="宋体" w:eastAsia="宋体" w:cs="宋体"/>
          <w:color w:val="000000"/>
          <w:sz w:val="21"/>
          <w:szCs w:val="21"/>
          <w:highlight w:val="none"/>
        </w:rPr>
        <w:t>决〕约定处理。</w:t>
      </w:r>
    </w:p>
    <w:p w14:paraId="1E470975">
      <w:pPr>
        <w:spacing w:line="360" w:lineRule="auto"/>
        <w:ind w:firstLine="420" w:firstLineChars="200"/>
        <w:jc w:val="left"/>
        <w:rPr>
          <w:rFonts w:hint="eastAsia" w:ascii="宋体" w:hAnsi="宋体" w:eastAsia="宋体" w:cs="宋体"/>
          <w:color w:val="000000"/>
          <w:sz w:val="21"/>
          <w:szCs w:val="21"/>
          <w:highlight w:val="none"/>
        </w:rPr>
      </w:pPr>
      <w:bookmarkStart w:id="423" w:name="_Toc351203625"/>
      <w:r>
        <w:rPr>
          <w:rFonts w:hint="eastAsia" w:ascii="宋体" w:hAnsi="宋体" w:eastAsia="宋体" w:cs="宋体"/>
          <w:color w:val="000000"/>
          <w:sz w:val="21"/>
          <w:szCs w:val="21"/>
          <w:highlight w:val="none"/>
        </w:rPr>
        <w:t>19.5 提出索赔的期限</w:t>
      </w:r>
      <w:bookmarkEnd w:id="423"/>
    </w:p>
    <w:p w14:paraId="1AE298C2">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（1）承包人按第14.2款〔竣工结算审核〕约定接收竣工付款证书后，应被视为已无权再提出在工程接收证书颁发前所发生的任何索赔。</w:t>
      </w:r>
    </w:p>
    <w:p w14:paraId="55DBA857">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（2）承包人按第14.4款〔最终结清〕提交的最终结清申请单中，只限于提出工程接收证书颁发后发生的索赔。提出索赔的期限自接受最终结清证书时终止。</w:t>
      </w:r>
    </w:p>
    <w:p w14:paraId="57FB4F54">
      <w:pPr>
        <w:spacing w:line="360" w:lineRule="auto"/>
        <w:ind w:firstLine="420" w:firstLineChars="200"/>
        <w:jc w:val="left"/>
        <w:rPr>
          <w:rFonts w:hint="default" w:ascii="宋体" w:hAnsi="宋体" w:eastAsia="宋体" w:cs="宋体"/>
          <w:b/>
          <w:bCs/>
          <w:color w:val="000000"/>
          <w:sz w:val="21"/>
          <w:szCs w:val="21"/>
          <w:highlight w:val="none"/>
        </w:rPr>
      </w:pPr>
      <w:bookmarkStart w:id="424" w:name="_Toc351203626"/>
      <w:r>
        <w:rPr>
          <w:rFonts w:hint="eastAsia" w:ascii="宋体" w:hAnsi="宋体" w:eastAsia="宋体" w:cs="宋体"/>
          <w:b/>
          <w:bCs/>
          <w:color w:val="000000"/>
          <w:sz w:val="21"/>
          <w:szCs w:val="21"/>
          <w:highlight w:val="none"/>
        </w:rPr>
        <w:t>20</w:t>
      </w:r>
      <w:bookmarkStart w:id="425" w:name="_Toc296503146"/>
      <w:bookmarkStart w:id="426" w:name="_Toc296346647"/>
      <w:bookmarkStart w:id="427" w:name="_Toc337558840"/>
      <w:r>
        <w:rPr>
          <w:rFonts w:hint="eastAsia" w:ascii="宋体" w:hAnsi="宋体" w:eastAsia="宋体" w:cs="宋体"/>
          <w:b/>
          <w:bCs/>
          <w:color w:val="000000"/>
          <w:sz w:val="21"/>
          <w:szCs w:val="21"/>
          <w:highlight w:val="none"/>
        </w:rPr>
        <w:t>. 争议解决</w:t>
      </w:r>
      <w:bookmarkEnd w:id="424"/>
      <w:bookmarkEnd w:id="425"/>
      <w:bookmarkEnd w:id="426"/>
      <w:bookmarkEnd w:id="427"/>
      <w:bookmarkStart w:id="428" w:name="_Toc351203627"/>
      <w:bookmarkStart w:id="429" w:name="_Toc296346648"/>
      <w:bookmarkStart w:id="430" w:name="_Toc337558841"/>
      <w:bookmarkStart w:id="431" w:name="_Toc296503147"/>
    </w:p>
    <w:p w14:paraId="264A5F6E">
      <w:pPr>
        <w:spacing w:line="360" w:lineRule="auto"/>
        <w:ind w:firstLine="420" w:firstLineChars="200"/>
        <w:jc w:val="left"/>
        <w:rPr>
          <w:rFonts w:hint="default" w:ascii="宋体" w:hAnsi="宋体" w:eastAsia="宋体" w:cs="宋体"/>
          <w:color w:val="000000"/>
          <w:sz w:val="21"/>
          <w:szCs w:val="21"/>
          <w:highlight w:val="none"/>
        </w:rPr>
      </w:pPr>
      <w:r>
        <w:rPr>
          <w:rFonts w:hint="eastAsia" w:ascii="宋体" w:hAnsi="宋体" w:eastAsia="宋体" w:cs="宋体"/>
          <w:color w:val="000000"/>
          <w:sz w:val="21"/>
          <w:szCs w:val="21"/>
          <w:highlight w:val="none"/>
        </w:rPr>
        <w:t>20.1和解</w:t>
      </w:r>
      <w:bookmarkEnd w:id="428"/>
    </w:p>
    <w:bookmarkEnd w:id="429"/>
    <w:bookmarkEnd w:id="430"/>
    <w:bookmarkEnd w:id="431"/>
    <w:p w14:paraId="049AA1D4">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合同当事人可以就争议自行和解，自行和解达成协议的经双方签字并盖章后作为合同补充文件，双方均应遵照执行。</w:t>
      </w:r>
      <w:bookmarkStart w:id="432" w:name="_Toc351203628"/>
    </w:p>
    <w:p w14:paraId="60F02D5B">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20</w:t>
      </w:r>
      <w:bookmarkStart w:id="433" w:name="_Toc296346649"/>
      <w:bookmarkStart w:id="434" w:name="_Toc296503148"/>
      <w:bookmarkStart w:id="435" w:name="_Toc337558842"/>
      <w:r>
        <w:rPr>
          <w:rFonts w:hint="eastAsia" w:ascii="宋体" w:hAnsi="宋体" w:eastAsia="宋体" w:cs="宋体"/>
          <w:color w:val="000000"/>
          <w:sz w:val="21"/>
          <w:szCs w:val="21"/>
          <w:highlight w:val="none"/>
        </w:rPr>
        <w:t>.2调解</w:t>
      </w:r>
      <w:bookmarkEnd w:id="432"/>
    </w:p>
    <w:bookmarkEnd w:id="433"/>
    <w:bookmarkEnd w:id="434"/>
    <w:bookmarkEnd w:id="435"/>
    <w:p w14:paraId="63CC286A">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合同当事人可以就争议请求建设行政主管部门、行业协会或其他第三方进行调解，调解达成协议的，经双方签字并盖章后作为合同补充文件，双方均应遵照执行。</w:t>
      </w:r>
      <w:bookmarkStart w:id="436" w:name="_Toc351203629"/>
      <w:bookmarkStart w:id="437" w:name="_Toc337558843"/>
      <w:bookmarkStart w:id="438" w:name="_Toc296503149"/>
      <w:bookmarkStart w:id="439" w:name="_Toc296346650"/>
    </w:p>
    <w:p w14:paraId="0FA14043">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20.3争议评审</w:t>
      </w:r>
      <w:bookmarkEnd w:id="436"/>
    </w:p>
    <w:bookmarkEnd w:id="437"/>
    <w:bookmarkEnd w:id="438"/>
    <w:bookmarkEnd w:id="439"/>
    <w:p w14:paraId="691E6FB6">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合同当事人在专用合同条款中约定采取争议评审方式解决争议以及评审规则，并按下列约定执行： </w:t>
      </w:r>
    </w:p>
    <w:p w14:paraId="075470CF">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20.3.1 争议评审小组的确定</w:t>
      </w:r>
    </w:p>
    <w:p w14:paraId="046D5F41">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53A20418">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3A9E098A">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除专用合同条款另有约定外，评审员报酬由发包人和承包人各承担一半。</w:t>
      </w:r>
    </w:p>
    <w:p w14:paraId="001D0C68">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20.3.2 争议评审小组的决定</w:t>
      </w:r>
    </w:p>
    <w:p w14:paraId="2168B828">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450193BE">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20.3.3 争议评审小组决定的效力</w:t>
      </w:r>
    </w:p>
    <w:p w14:paraId="2A3E8B1B">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争议评审小组作出的书面决定经合同当事人签字确认后，对双方具有约束力，双方应遵照执行。</w:t>
      </w:r>
    </w:p>
    <w:p w14:paraId="1D62F3CE">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任何一方当事人不接受争议评审小组决定或不履行争议评审小组决定的，双方可选择采用其他争议解决方式。</w:t>
      </w:r>
    </w:p>
    <w:p w14:paraId="3CA03A8A">
      <w:pPr>
        <w:spacing w:line="360" w:lineRule="auto"/>
        <w:ind w:firstLine="420" w:firstLineChars="200"/>
        <w:jc w:val="left"/>
        <w:rPr>
          <w:rFonts w:hint="eastAsia" w:ascii="宋体" w:hAnsi="宋体" w:eastAsia="宋体" w:cs="宋体"/>
          <w:color w:val="000000"/>
          <w:sz w:val="21"/>
          <w:szCs w:val="21"/>
          <w:highlight w:val="none"/>
        </w:rPr>
      </w:pPr>
      <w:bookmarkStart w:id="440" w:name="_Toc351203630"/>
      <w:bookmarkStart w:id="441" w:name="_Toc296346651"/>
      <w:bookmarkStart w:id="442" w:name="_Toc296503150"/>
      <w:bookmarkStart w:id="443" w:name="_Toc337558844"/>
      <w:r>
        <w:rPr>
          <w:rFonts w:hint="eastAsia" w:ascii="宋体" w:hAnsi="宋体" w:eastAsia="宋体" w:cs="宋体"/>
          <w:color w:val="000000"/>
          <w:sz w:val="21"/>
          <w:szCs w:val="21"/>
          <w:highlight w:val="none"/>
        </w:rPr>
        <w:t>20.4仲裁或诉讼</w:t>
      </w:r>
      <w:bookmarkEnd w:id="440"/>
    </w:p>
    <w:bookmarkEnd w:id="441"/>
    <w:bookmarkEnd w:id="442"/>
    <w:bookmarkEnd w:id="443"/>
    <w:p w14:paraId="35C7B7CA">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因合同及合同有关事项产生的争议，合同当事人可以在专用合同条款中约定以下一种方式解决争议：</w:t>
      </w:r>
    </w:p>
    <w:p w14:paraId="10DF1B7E">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（1）向约定的仲裁委员会申请仲裁；</w:t>
      </w:r>
    </w:p>
    <w:p w14:paraId="59C2BB15">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（2）向有管辖权的人民法院起诉。</w:t>
      </w:r>
    </w:p>
    <w:p w14:paraId="2443549E">
      <w:pPr>
        <w:spacing w:line="360" w:lineRule="auto"/>
        <w:ind w:firstLine="420" w:firstLineChars="200"/>
        <w:jc w:val="left"/>
        <w:rPr>
          <w:rFonts w:hint="eastAsia" w:ascii="宋体" w:hAnsi="宋体" w:eastAsia="宋体" w:cs="宋体"/>
          <w:color w:val="000000"/>
          <w:sz w:val="21"/>
          <w:szCs w:val="21"/>
          <w:highlight w:val="none"/>
        </w:rPr>
      </w:pPr>
      <w:bookmarkStart w:id="444" w:name="_Toc351203631"/>
      <w:bookmarkStart w:id="445" w:name="_Toc337558845"/>
      <w:bookmarkStart w:id="446" w:name="_Toc296503152"/>
      <w:bookmarkStart w:id="447" w:name="_Toc296346653"/>
      <w:r>
        <w:rPr>
          <w:rFonts w:hint="eastAsia" w:ascii="宋体" w:hAnsi="宋体" w:eastAsia="宋体" w:cs="宋体"/>
          <w:color w:val="000000"/>
          <w:sz w:val="21"/>
          <w:szCs w:val="21"/>
          <w:highlight w:val="none"/>
        </w:rPr>
        <w:t>20.5争议解决条款效力</w:t>
      </w:r>
      <w:bookmarkEnd w:id="444"/>
    </w:p>
    <w:bookmarkEnd w:id="445"/>
    <w:bookmarkEnd w:id="446"/>
    <w:bookmarkEnd w:id="447"/>
    <w:p w14:paraId="609B1CF0">
      <w:pPr>
        <w:spacing w:line="360" w:lineRule="auto"/>
        <w:ind w:firstLine="420" w:firstLineChars="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合同有关争议解决的条款独立存在，合同的变更、解除、终止、无效或者被撤销均不影响其效力。 </w:t>
      </w:r>
    </w:p>
    <w:p w14:paraId="24930CBB">
      <w:pPr>
        <w:widowControl/>
        <w:spacing w:line="360" w:lineRule="auto"/>
        <w:ind w:firstLine="420" w:firstLineChars="200"/>
        <w:jc w:val="center"/>
        <w:rPr>
          <w:rFonts w:ascii="宋体" w:hAnsi="宋体" w:cs="宋体"/>
          <w:b/>
          <w:bCs/>
          <w:color w:val="000000"/>
          <w:kern w:val="36"/>
          <w:sz w:val="21"/>
          <w:szCs w:val="21"/>
          <w:highlight w:val="none"/>
        </w:rPr>
      </w:pPr>
      <w:r>
        <w:rPr>
          <w:rFonts w:hint="eastAsia" w:ascii="宋体" w:hAnsi="宋体" w:cs="宋体"/>
          <w:b/>
          <w:bCs/>
          <w:color w:val="000000"/>
          <w:kern w:val="36"/>
          <w:sz w:val="21"/>
          <w:szCs w:val="21"/>
          <w:highlight w:val="none"/>
        </w:rPr>
        <w:br w:type="page"/>
      </w:r>
      <w:r>
        <w:rPr>
          <w:rFonts w:hint="eastAsia" w:ascii="宋体" w:hAnsi="宋体" w:cs="宋体"/>
          <w:b/>
          <w:bCs/>
          <w:color w:val="000000"/>
          <w:kern w:val="36"/>
          <w:sz w:val="21"/>
          <w:szCs w:val="21"/>
          <w:highlight w:val="none"/>
        </w:rPr>
        <w:t>第三部分 专用合同条款</w:t>
      </w:r>
      <w:bookmarkEnd w:id="19"/>
      <w:bookmarkEnd w:id="20"/>
      <w:bookmarkEnd w:id="21"/>
    </w:p>
    <w:p w14:paraId="78DA8ED6">
      <w:pPr>
        <w:spacing w:line="360" w:lineRule="auto"/>
        <w:ind w:firstLine="420" w:firstLineChars="200"/>
        <w:jc w:val="left"/>
        <w:rPr>
          <w:rFonts w:ascii="宋体" w:hAnsi="宋体" w:cs="宋体"/>
          <w:b/>
          <w:color w:val="000000"/>
          <w:kern w:val="0"/>
          <w:sz w:val="21"/>
          <w:szCs w:val="21"/>
          <w:highlight w:val="none"/>
        </w:rPr>
      </w:pPr>
      <w:bookmarkStart w:id="448" w:name="_Toc351203633"/>
      <w:bookmarkStart w:id="449" w:name="_Toc292559866"/>
      <w:bookmarkStart w:id="450" w:name="_Toc297048342"/>
      <w:bookmarkStart w:id="451" w:name="_Toc296890984"/>
      <w:bookmarkStart w:id="452" w:name="_Toc296503156"/>
      <w:bookmarkStart w:id="453" w:name="_Toc296347155"/>
      <w:bookmarkStart w:id="454" w:name="_Toc296944495"/>
      <w:bookmarkStart w:id="455" w:name="_Toc292559361"/>
      <w:bookmarkStart w:id="456" w:name="_Toc296891196"/>
      <w:bookmarkStart w:id="457" w:name="_Toc296346657"/>
      <w:bookmarkStart w:id="458" w:name="_Toc297120456"/>
      <w:r>
        <w:rPr>
          <w:rFonts w:hint="eastAsia" w:ascii="宋体" w:hAnsi="宋体" w:cs="宋体"/>
          <w:b/>
          <w:color w:val="000000"/>
          <w:sz w:val="21"/>
          <w:szCs w:val="21"/>
          <w:highlight w:val="none"/>
        </w:rPr>
        <w:t>一、一般约定</w:t>
      </w:r>
      <w:bookmarkEnd w:id="448"/>
    </w:p>
    <w:bookmarkEnd w:id="449"/>
    <w:bookmarkEnd w:id="450"/>
    <w:bookmarkEnd w:id="451"/>
    <w:bookmarkEnd w:id="452"/>
    <w:bookmarkEnd w:id="453"/>
    <w:bookmarkEnd w:id="454"/>
    <w:bookmarkEnd w:id="455"/>
    <w:bookmarkEnd w:id="456"/>
    <w:bookmarkEnd w:id="457"/>
    <w:bookmarkEnd w:id="458"/>
    <w:p w14:paraId="63A338A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 词语定义</w:t>
      </w:r>
    </w:p>
    <w:p w14:paraId="42A9BD0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1.1.1合同</w:t>
      </w:r>
    </w:p>
    <w:p w14:paraId="7300B3FC">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1.1.1.10其他合同文件包括：</w:t>
      </w:r>
      <w:r>
        <w:rPr>
          <w:rFonts w:hint="eastAsia" w:ascii="宋体" w:hAnsi="宋体" w:cs="宋体"/>
          <w:color w:val="000000"/>
          <w:sz w:val="21"/>
          <w:szCs w:val="21"/>
          <w:highlight w:val="none"/>
          <w:u w:val="single"/>
        </w:rPr>
        <w:t>（1）合同协议书；（2）本合同专用条款；（3）本合同补充条款；（4）本合同通用条款；（5）中标通知书；（6）投标书及其附件；（7）标准规范及其有关文件；（8）</w:t>
      </w:r>
      <w:r>
        <w:rPr>
          <w:rFonts w:hint="eastAsia" w:ascii="宋体" w:hAnsi="宋体" w:cs="宋体"/>
          <w:color w:val="000000"/>
          <w:sz w:val="21"/>
          <w:szCs w:val="21"/>
          <w:highlight w:val="none"/>
          <w:u w:val="single"/>
          <w:lang w:eastAsia="zh-CN"/>
        </w:rPr>
        <w:t>竞争性磋商文件</w:t>
      </w:r>
      <w:r>
        <w:rPr>
          <w:rFonts w:hint="eastAsia" w:ascii="宋体" w:hAnsi="宋体" w:cs="宋体"/>
          <w:color w:val="000000"/>
          <w:sz w:val="21"/>
          <w:szCs w:val="21"/>
          <w:highlight w:val="none"/>
          <w:u w:val="single"/>
        </w:rPr>
        <w:t>及补遗文件（答疑文件）；（9）已标价工程量清单或预算书；（10）履行合同过程中双方书面确认的对合同内容有实质性影响的会议纪要、签证、设计变更等资料。</w:t>
      </w:r>
    </w:p>
    <w:p w14:paraId="59CF4041">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1.1.2 合同当事人及其他相关方</w:t>
      </w:r>
    </w:p>
    <w:p w14:paraId="3C5BF28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1.1.2.4监理人：见监理合同</w:t>
      </w:r>
    </w:p>
    <w:p w14:paraId="2195C42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名    称：</w:t>
      </w:r>
      <w:r>
        <w:rPr>
          <w:rFonts w:hint="eastAsia" w:ascii="宋体" w:hAnsi="宋体" w:cs="宋体"/>
          <w:color w:val="000000"/>
          <w:sz w:val="21"/>
          <w:szCs w:val="21"/>
          <w:highlight w:val="none"/>
          <w:u w:val="single"/>
        </w:rPr>
        <w:t xml:space="preserve">         </w:t>
      </w:r>
    </w:p>
    <w:p w14:paraId="509CC094">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资质类别和等级：</w:t>
      </w:r>
      <w:r>
        <w:rPr>
          <w:rFonts w:hint="eastAsia" w:ascii="宋体" w:hAnsi="宋体" w:cs="宋体"/>
          <w:color w:val="000000"/>
          <w:sz w:val="21"/>
          <w:szCs w:val="21"/>
          <w:highlight w:val="none"/>
          <w:u w:val="single"/>
        </w:rPr>
        <w:t xml:space="preserve">          </w:t>
      </w:r>
    </w:p>
    <w:p w14:paraId="476FCD0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联系电话：</w:t>
      </w:r>
      <w:r>
        <w:rPr>
          <w:rFonts w:hint="eastAsia" w:ascii="宋体" w:hAnsi="宋体" w:cs="宋体"/>
          <w:color w:val="000000"/>
          <w:sz w:val="21"/>
          <w:szCs w:val="21"/>
          <w:highlight w:val="none"/>
          <w:u w:val="single"/>
        </w:rPr>
        <w:t xml:space="preserve">             </w:t>
      </w:r>
    </w:p>
    <w:p w14:paraId="45D273D1">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 xml:space="preserve">1.1.2.5 设计人： </w:t>
      </w:r>
    </w:p>
    <w:p w14:paraId="6ED06A13">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名    称：/</w:t>
      </w:r>
    </w:p>
    <w:p w14:paraId="6A45A5BC">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资质类别和等级：/</w:t>
      </w:r>
    </w:p>
    <w:p w14:paraId="19740943">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联系电话：/</w:t>
      </w:r>
    </w:p>
    <w:p w14:paraId="21E07BC4">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1.1.3 工程和设备</w:t>
      </w:r>
    </w:p>
    <w:p w14:paraId="6A810A2C">
      <w:pPr>
        <w:widowControl/>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1.1.3.7 作为施工现场组成部分的其他场所包括：</w:t>
      </w:r>
      <w:r>
        <w:rPr>
          <w:rFonts w:hint="eastAsia" w:ascii="宋体" w:hAnsi="宋体" w:cs="宋体"/>
          <w:color w:val="000000"/>
          <w:sz w:val="21"/>
          <w:szCs w:val="21"/>
          <w:highlight w:val="none"/>
          <w:u w:val="single"/>
        </w:rPr>
        <w:t>符合通用条款规定的发包人提供的施工场地和发包人指定的施工作业区域。</w:t>
      </w:r>
    </w:p>
    <w:p w14:paraId="129395A2">
      <w:pPr>
        <w:spacing w:line="360" w:lineRule="auto"/>
        <w:ind w:firstLine="420" w:firstLineChars="200"/>
        <w:jc w:val="left"/>
        <w:rPr>
          <w:rFonts w:ascii="宋体" w:hAnsi="宋体" w:cs="宋体"/>
          <w:b/>
          <w:bCs/>
          <w:color w:val="000000"/>
          <w:sz w:val="21"/>
          <w:szCs w:val="21"/>
          <w:highlight w:val="none"/>
        </w:rPr>
      </w:pPr>
      <w:r>
        <w:rPr>
          <w:rFonts w:hint="eastAsia" w:ascii="宋体" w:hAnsi="宋体" w:cs="宋体"/>
          <w:color w:val="000000"/>
          <w:sz w:val="21"/>
          <w:szCs w:val="21"/>
          <w:highlight w:val="none"/>
        </w:rPr>
        <w:t>1.1.3.9 永久占地包括：</w:t>
      </w:r>
      <w:r>
        <w:rPr>
          <w:rFonts w:hint="eastAsia" w:ascii="宋体" w:hAnsi="宋体" w:cs="宋体"/>
          <w:color w:val="000000"/>
          <w:sz w:val="21"/>
          <w:szCs w:val="21"/>
          <w:highlight w:val="none"/>
          <w:u w:val="single"/>
        </w:rPr>
        <w:t>依据设计图纸确定</w:t>
      </w:r>
    </w:p>
    <w:p w14:paraId="4170AD19">
      <w:pPr>
        <w:widowControl/>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1.1.3.10 临时占地包括：</w:t>
      </w:r>
      <w:r>
        <w:rPr>
          <w:rFonts w:hint="eastAsia" w:ascii="宋体" w:hAnsi="宋体" w:cs="宋体"/>
          <w:color w:val="000000"/>
          <w:sz w:val="21"/>
          <w:szCs w:val="21"/>
          <w:u w:val="single"/>
        </w:rPr>
        <w:t>为完成本工程施工所需的临时占地，具体位置、面积和使用期限由发包人指定，以不影响施工为前提。</w:t>
      </w:r>
    </w:p>
    <w:p w14:paraId="79D756EC">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 xml:space="preserve">1.3法律 </w:t>
      </w:r>
    </w:p>
    <w:p w14:paraId="07659B4A">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适用于合同的其他规范性文件：</w:t>
      </w:r>
      <w:r>
        <w:rPr>
          <w:rFonts w:hint="eastAsia" w:ascii="宋体" w:hAnsi="宋体" w:cs="宋体"/>
          <w:sz w:val="21"/>
          <w:szCs w:val="21"/>
          <w:highlight w:val="none"/>
          <w:u w:val="single"/>
        </w:rPr>
        <w:t>《中华人民共和国民法典》、《中华人民共和国建筑法》、《陕西省教育厅陕西省住房和城乡建设厅 陕西省消防救援总队关于开展排查化解高校校内建筑消防安全隐患专项行动的通知》及《已交楼未进行消防验收三年攻坚行动工作指南（试行）》等现行国家法律、行政法规、部委规章，陕西省、西安市的现行地方法规、规章、规范性文件。项目过程中颁布施行的强制性法律法规按照新的规定及标准执行</w:t>
      </w:r>
      <w:r>
        <w:rPr>
          <w:rFonts w:hint="eastAsia" w:ascii="宋体" w:hAnsi="宋体" w:cs="宋体"/>
          <w:color w:val="000000"/>
          <w:sz w:val="21"/>
          <w:szCs w:val="21"/>
          <w:highlight w:val="none"/>
          <w:u w:val="single"/>
        </w:rPr>
        <w:t>。</w:t>
      </w:r>
    </w:p>
    <w:p w14:paraId="7477480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1.4 标准和规范</w:t>
      </w:r>
    </w:p>
    <w:p w14:paraId="2507BD57">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1.4.1适用于工程的标准规范包括：</w:t>
      </w:r>
      <w:r>
        <w:rPr>
          <w:rFonts w:hint="eastAsia" w:ascii="宋体" w:hAnsi="宋体" w:cs="宋体"/>
          <w:color w:val="000000"/>
          <w:sz w:val="21"/>
          <w:szCs w:val="21"/>
          <w:highlight w:val="none"/>
          <w:u w:val="single"/>
        </w:rPr>
        <w:t>1、现行国家标准、规范和建设部等有关施工技术标准、规程、规范以及本工程设计要求，陕西省和西安市有关工程质量、安全文明施工、竣工验收等规定。2、工程招投标及施工期间，如果有新版的规范和标准颁布，原则上应执行新版的规范和标准，仍需执行非最新版本规范和标准的，需征得发包人和监理工程师的同意。3、对不在规范验评范围内项目，执行发包人和承包人双方议定的补充技术标准、本</w:t>
      </w:r>
      <w:r>
        <w:rPr>
          <w:rFonts w:hint="eastAsia" w:ascii="宋体" w:hAnsi="宋体" w:cs="宋体"/>
          <w:color w:val="000000"/>
          <w:sz w:val="21"/>
          <w:szCs w:val="21"/>
          <w:highlight w:val="none"/>
          <w:u w:val="single"/>
          <w:lang w:eastAsia="zh-CN"/>
        </w:rPr>
        <w:t>竞争性磋商文件</w:t>
      </w:r>
      <w:r>
        <w:rPr>
          <w:rFonts w:hint="eastAsia" w:ascii="宋体" w:hAnsi="宋体" w:cs="宋体"/>
          <w:color w:val="000000"/>
          <w:sz w:val="21"/>
          <w:szCs w:val="21"/>
          <w:highlight w:val="none"/>
          <w:u w:val="single"/>
        </w:rPr>
        <w:t>、设计院、制造厂家的施工技术要求，如有冲突，按上述排序解释。4、如遇设计与国家相关规范、标准对同一问题的处理出现相互矛盾的情况时，原则上以设计单位解释为准，同时承包人尚应及时通知发包人、监理工程师，并提出解决办法，征得发包人、设计单位、监理工程师的同意后实施。5、新材料、新工艺必须具有省级以上行业主管部门技术鉴定。</w:t>
      </w:r>
    </w:p>
    <w:p w14:paraId="57F4AF90">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1.4.2 发包人提供国外标准、规范的名称：</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721472D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1.4.3发包人对工程的技术标准和功能要求的特殊要求：</w:t>
      </w:r>
      <w:r>
        <w:rPr>
          <w:rFonts w:hint="eastAsia" w:ascii="宋体" w:hAnsi="宋体" w:cs="宋体"/>
          <w:color w:val="000000"/>
          <w:sz w:val="21"/>
          <w:szCs w:val="21"/>
          <w:highlight w:val="none"/>
          <w:u w:val="single"/>
        </w:rPr>
        <w:t xml:space="preserve">  /   </w:t>
      </w:r>
      <w:r>
        <w:rPr>
          <w:rFonts w:hint="eastAsia" w:ascii="宋体" w:hAnsi="宋体" w:cs="宋体"/>
          <w:color w:val="000000"/>
          <w:sz w:val="21"/>
          <w:szCs w:val="21"/>
          <w:highlight w:val="none"/>
        </w:rPr>
        <w:t>。</w:t>
      </w:r>
    </w:p>
    <w:p w14:paraId="623B11EC">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1.5 合同文件的优先顺序</w:t>
      </w:r>
    </w:p>
    <w:p w14:paraId="5F0EE896">
      <w:pPr>
        <w:spacing w:line="360" w:lineRule="auto"/>
        <w:ind w:firstLine="420" w:firstLineChars="20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合同文件组成及优先顺序为：</w:t>
      </w:r>
      <w:r>
        <w:rPr>
          <w:rFonts w:hint="eastAsia" w:ascii="宋体" w:hAnsi="宋体" w:cs="宋体"/>
          <w:color w:val="000000" w:themeColor="text1"/>
          <w:sz w:val="21"/>
          <w:szCs w:val="21"/>
          <w:highlight w:val="none"/>
          <w:u w:val="single"/>
          <w14:textFill>
            <w14:solidFill>
              <w14:schemeClr w14:val="tx1"/>
            </w14:solidFill>
          </w14:textFill>
        </w:rPr>
        <w:t>（1）合同协议书；（2）本合同专用条款；（3）本合同补充条款；（4）本合同通用条款；（5）中标通知书；（6）投标书及其附件；（7）标准规范及其有关文件；（</w:t>
      </w:r>
      <w:r>
        <w:rPr>
          <w:rFonts w:ascii="宋体" w:hAnsi="宋体" w:cs="宋体"/>
          <w:color w:val="000000" w:themeColor="text1"/>
          <w:sz w:val="21"/>
          <w:szCs w:val="21"/>
          <w:highlight w:val="none"/>
          <w:u w:val="single"/>
          <w14:textFill>
            <w14:solidFill>
              <w14:schemeClr w14:val="tx1"/>
            </w14:solidFill>
          </w14:textFill>
        </w:rPr>
        <w:t>8）</w:t>
      </w:r>
      <w:r>
        <w:rPr>
          <w:rFonts w:hint="eastAsia" w:ascii="宋体" w:hAnsi="宋体" w:cs="宋体"/>
          <w:color w:val="000000" w:themeColor="text1"/>
          <w:sz w:val="21"/>
          <w:szCs w:val="21"/>
          <w:highlight w:val="none"/>
          <w:u w:val="single"/>
          <w:lang w:eastAsia="zh-CN"/>
          <w14:textFill>
            <w14:solidFill>
              <w14:schemeClr w14:val="tx1"/>
            </w14:solidFill>
          </w14:textFill>
        </w:rPr>
        <w:t>竞争性磋商文件</w:t>
      </w:r>
      <w:r>
        <w:rPr>
          <w:rFonts w:ascii="宋体" w:hAnsi="宋体" w:cs="宋体"/>
          <w:color w:val="000000" w:themeColor="text1"/>
          <w:sz w:val="21"/>
          <w:szCs w:val="21"/>
          <w:highlight w:val="none"/>
          <w:u w:val="single"/>
          <w14:textFill>
            <w14:solidFill>
              <w14:schemeClr w14:val="tx1"/>
            </w14:solidFill>
          </w14:textFill>
        </w:rPr>
        <w:t>及补遗文件（答疑文件）；（9）已标价工程量清单或预算书</w:t>
      </w:r>
      <w:r>
        <w:rPr>
          <w:rFonts w:hint="eastAsia" w:ascii="宋体" w:hAnsi="宋体" w:cs="宋体"/>
          <w:color w:val="000000" w:themeColor="text1"/>
          <w:sz w:val="21"/>
          <w:szCs w:val="21"/>
          <w:highlight w:val="none"/>
          <w:u w:val="single"/>
          <w14:textFill>
            <w14:solidFill>
              <w14:schemeClr w14:val="tx1"/>
            </w14:solidFill>
          </w14:textFill>
        </w:rPr>
        <w:t>（如有修正，指经算术性错误修正后的已标价工程量清单，包括其说明和表格）；（</w:t>
      </w:r>
      <w:r>
        <w:rPr>
          <w:rFonts w:ascii="宋体" w:hAnsi="宋体" w:cs="宋体"/>
          <w:color w:val="000000" w:themeColor="text1"/>
          <w:sz w:val="21"/>
          <w:szCs w:val="21"/>
          <w:highlight w:val="none"/>
          <w:u w:val="single"/>
          <w14:textFill>
            <w14:solidFill>
              <w14:schemeClr w14:val="tx1"/>
            </w14:solidFill>
          </w14:textFill>
        </w:rPr>
        <w:t>10）履行合同过程中双方书面确认的</w:t>
      </w:r>
      <w:r>
        <w:rPr>
          <w:rFonts w:hint="eastAsia" w:ascii="宋体" w:hAnsi="宋体" w:cs="宋体"/>
          <w:color w:val="000000" w:themeColor="text1"/>
          <w:sz w:val="21"/>
          <w:szCs w:val="21"/>
          <w:highlight w:val="none"/>
          <w:u w:val="single"/>
          <w14:textFill>
            <w14:solidFill>
              <w14:schemeClr w14:val="tx1"/>
            </w14:solidFill>
          </w14:textFill>
        </w:rPr>
        <w:t>对合同内容有实质性影响的会议纪要、签证、设计变更等资料。</w:t>
      </w:r>
    </w:p>
    <w:p w14:paraId="53CE0365">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1.6 图纸和承包人文件</w:t>
      </w:r>
      <w:r>
        <w:rPr>
          <w:rFonts w:hint="eastAsia" w:ascii="宋体" w:hAnsi="宋体" w:cs="宋体"/>
          <w:color w:val="000000"/>
          <w:sz w:val="21"/>
          <w:szCs w:val="21"/>
          <w:highlight w:val="none"/>
        </w:rPr>
        <w:tab/>
      </w:r>
    </w:p>
    <w:p w14:paraId="3EE2FEA9">
      <w:pPr>
        <w:spacing w:line="360" w:lineRule="auto"/>
        <w:ind w:firstLine="420" w:firstLineChars="200"/>
        <w:rPr>
          <w:rFonts w:ascii="宋体" w:hAnsi="宋体" w:cs="宋体"/>
          <w:b/>
          <w:sz w:val="21"/>
          <w:szCs w:val="21"/>
          <w:highlight w:val="none"/>
        </w:rPr>
      </w:pPr>
      <w:r>
        <w:rPr>
          <w:rFonts w:hint="eastAsia" w:ascii="宋体" w:hAnsi="宋体" w:cs="宋体"/>
          <w:color w:val="000000"/>
          <w:sz w:val="21"/>
          <w:szCs w:val="21"/>
          <w:highlight w:val="none"/>
        </w:rPr>
        <w:t>1.6.1 图纸的提供</w:t>
      </w:r>
    </w:p>
    <w:p w14:paraId="22B5F54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发包人向承包人提供前期建筑施工图，供承包人施工时参考。</w:t>
      </w:r>
    </w:p>
    <w:p w14:paraId="65DEB0C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1.6.4 承包人文件</w:t>
      </w:r>
    </w:p>
    <w:p w14:paraId="6CF410F2">
      <w:pPr>
        <w:spacing w:line="360" w:lineRule="auto"/>
        <w:ind w:firstLine="420" w:firstLineChars="200"/>
        <w:rPr>
          <w:rFonts w:ascii="宋体" w:hAnsi="宋体" w:cs="宋体"/>
          <w:sz w:val="21"/>
          <w:szCs w:val="21"/>
          <w:highlight w:val="none"/>
        </w:rPr>
      </w:pPr>
      <w:r>
        <w:rPr>
          <w:rFonts w:hint="eastAsia" w:ascii="宋体" w:hAnsi="宋体" w:cs="宋体"/>
          <w:color w:val="000000"/>
          <w:sz w:val="21"/>
          <w:szCs w:val="21"/>
          <w:highlight w:val="none"/>
        </w:rPr>
        <w:t>需要由承包人提供的文件，包括：</w:t>
      </w:r>
    </w:p>
    <w:p w14:paraId="7C93537E">
      <w:pPr>
        <w:pStyle w:val="3"/>
        <w:spacing w:line="36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收到甲方进场通知</w:t>
      </w:r>
      <w:r>
        <w:rPr>
          <w:rFonts w:ascii="宋体" w:hAnsi="宋体" w:cs="宋体"/>
          <w:sz w:val="21"/>
          <w:szCs w:val="21"/>
          <w:highlight w:val="none"/>
          <w:u w:val="single"/>
        </w:rPr>
        <w:t>7日内提供项目部人员组成、资质，开工前7天向发包人提交详细施工组织设计</w:t>
      </w:r>
      <w:r>
        <w:rPr>
          <w:rFonts w:hint="eastAsia" w:ascii="宋体" w:hAnsi="宋体" w:cs="宋体"/>
          <w:sz w:val="21"/>
          <w:szCs w:val="21"/>
          <w:highlight w:val="none"/>
        </w:rPr>
        <w:t>。</w:t>
      </w:r>
      <w:r>
        <w:rPr>
          <w:rFonts w:ascii="宋体" w:hAnsi="宋体" w:cs="宋体"/>
          <w:sz w:val="21"/>
          <w:szCs w:val="21"/>
          <w:highlight w:val="none"/>
        </w:rPr>
        <w:t xml:space="preserve"> </w:t>
      </w:r>
    </w:p>
    <w:p w14:paraId="73EC113D">
      <w:pPr>
        <w:pStyle w:val="3"/>
        <w:spacing w:line="360" w:lineRule="auto"/>
        <w:ind w:firstLine="420" w:firstLineChars="200"/>
        <w:rPr>
          <w:rFonts w:ascii="宋体" w:hAnsi="宋体" w:cs="宋体"/>
          <w:sz w:val="21"/>
          <w:szCs w:val="21"/>
          <w:highlight w:val="none"/>
        </w:rPr>
      </w:pPr>
      <w:r>
        <w:rPr>
          <w:rFonts w:hint="eastAsia" w:ascii="宋体" w:hAnsi="宋体" w:cs="宋体"/>
          <w:sz w:val="21"/>
          <w:szCs w:val="21"/>
          <w:highlight w:val="none"/>
        </w:rPr>
        <w:fldChar w:fldCharType="begin"/>
      </w:r>
      <w:r>
        <w:rPr>
          <w:rFonts w:ascii="宋体" w:hAnsi="宋体" w:cs="宋体"/>
          <w:sz w:val="21"/>
          <w:szCs w:val="21"/>
          <w:highlight w:val="none"/>
        </w:rPr>
        <w:instrText xml:space="preserve"> = 3 \* GB3 \* MERGEFORMAT </w:instrText>
      </w:r>
      <w:r>
        <w:rPr>
          <w:rFonts w:hint="eastAsia" w:ascii="宋体" w:hAnsi="宋体" w:cs="宋体"/>
          <w:sz w:val="21"/>
          <w:szCs w:val="21"/>
          <w:highlight w:val="none"/>
        </w:rPr>
        <w:fldChar w:fldCharType="separate"/>
      </w:r>
      <w:r>
        <w:rPr>
          <w:rFonts w:hint="eastAsia" w:ascii="宋体" w:hAnsi="宋体" w:cs="宋体"/>
          <w:sz w:val="21"/>
          <w:szCs w:val="21"/>
          <w:highlight w:val="none"/>
        </w:rPr>
        <w:t>③</w:t>
      </w:r>
      <w:r>
        <w:rPr>
          <w:rFonts w:hint="eastAsia" w:ascii="宋体" w:hAnsi="宋体" w:cs="宋体"/>
          <w:sz w:val="21"/>
          <w:szCs w:val="21"/>
          <w:highlight w:val="none"/>
        </w:rPr>
        <w:fldChar w:fldCharType="end"/>
      </w:r>
      <w:r>
        <w:rPr>
          <w:rFonts w:hint="eastAsia" w:ascii="宋体" w:hAnsi="宋体" w:cs="宋体"/>
          <w:sz w:val="21"/>
          <w:szCs w:val="21"/>
          <w:highlight w:val="none"/>
        </w:rPr>
        <w:t>合同签订后</w:t>
      </w:r>
      <w:r>
        <w:rPr>
          <w:rFonts w:ascii="宋体" w:hAnsi="宋体" w:cs="宋体"/>
          <w:sz w:val="21"/>
          <w:szCs w:val="21"/>
          <w:highlight w:val="none"/>
        </w:rPr>
        <w:t>5日内，</w:t>
      </w:r>
      <w:r>
        <w:rPr>
          <w:rFonts w:hint="eastAsia" w:ascii="宋体" w:hAnsi="宋体" w:cs="宋体"/>
          <w:sz w:val="21"/>
          <w:szCs w:val="21"/>
          <w:highlight w:val="none"/>
        </w:rPr>
        <w:t>承包人负责提供有资质的设计单位编制的消防整改工程设计图纸</w:t>
      </w:r>
      <w:r>
        <w:rPr>
          <w:rFonts w:ascii="宋体" w:hAnsi="宋体" w:cs="宋体"/>
          <w:sz w:val="21"/>
          <w:szCs w:val="21"/>
          <w:highlight w:val="none"/>
        </w:rPr>
        <w:t>4套（含电子版）</w:t>
      </w:r>
    </w:p>
    <w:p w14:paraId="43C1F5B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承包人提供的文件的数量为：</w:t>
      </w:r>
      <w:r>
        <w:rPr>
          <w:rFonts w:hint="eastAsia" w:ascii="宋体" w:hAnsi="宋体" w:cs="宋体"/>
          <w:color w:val="000000"/>
          <w:sz w:val="21"/>
          <w:szCs w:val="21"/>
          <w:highlight w:val="none"/>
          <w:u w:val="single"/>
        </w:rPr>
        <w:t>4份</w:t>
      </w:r>
      <w:r>
        <w:rPr>
          <w:rFonts w:hint="eastAsia" w:ascii="宋体" w:hAnsi="宋体" w:cs="宋体"/>
          <w:color w:val="000000"/>
          <w:sz w:val="21"/>
          <w:szCs w:val="21"/>
          <w:highlight w:val="none"/>
        </w:rPr>
        <w:t>；</w:t>
      </w:r>
    </w:p>
    <w:p w14:paraId="32F08C5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承包人提供的文件的形式为：</w:t>
      </w:r>
      <w:r>
        <w:rPr>
          <w:rFonts w:hint="eastAsia" w:ascii="宋体" w:hAnsi="宋体" w:cs="宋体"/>
          <w:color w:val="000000"/>
          <w:sz w:val="21"/>
          <w:szCs w:val="21"/>
          <w:highlight w:val="none"/>
          <w:u w:val="single"/>
        </w:rPr>
        <w:t>经项目经理签字、项目部盖章并经监理人审核后书面提交；</w:t>
      </w:r>
    </w:p>
    <w:p w14:paraId="1871B777">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发包人审批承包人文件的期限：</w:t>
      </w:r>
      <w:r>
        <w:rPr>
          <w:rFonts w:hint="eastAsia" w:ascii="宋体" w:hAnsi="宋体" w:cs="宋体"/>
          <w:color w:val="000000"/>
          <w:sz w:val="21"/>
          <w:szCs w:val="21"/>
          <w:highlight w:val="none"/>
          <w:u w:val="single"/>
        </w:rPr>
        <w:t>接到相关文件后七天内审定确认或提出修改意见。</w:t>
      </w:r>
    </w:p>
    <w:p w14:paraId="4FB95AF8">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1.6.5 现场图纸准备</w:t>
      </w:r>
    </w:p>
    <w:p w14:paraId="4F2C0B2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关于现场图纸准备的约定：</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4CAA596B">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1.7 联络</w:t>
      </w:r>
    </w:p>
    <w:p w14:paraId="02031D0B">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1.7.1发包人和承包人应当在</w:t>
      </w:r>
      <w:r>
        <w:rPr>
          <w:rFonts w:hint="eastAsia" w:ascii="宋体" w:hAnsi="宋体" w:cs="宋体"/>
          <w:color w:val="000000"/>
          <w:sz w:val="21"/>
          <w:szCs w:val="21"/>
          <w:highlight w:val="none"/>
          <w:u w:val="single"/>
        </w:rPr>
        <w:t>5</w:t>
      </w:r>
      <w:r>
        <w:rPr>
          <w:rFonts w:hint="eastAsia" w:ascii="宋体" w:hAnsi="宋体" w:cs="宋体"/>
          <w:color w:val="000000"/>
          <w:sz w:val="21"/>
          <w:szCs w:val="21"/>
          <w:highlight w:val="none"/>
        </w:rPr>
        <w:t>天内将与合同有关的通知、批准、证明、证书、指示、指令、要求、请求、同意、意见、确定和决定等书面函件送达对方当事人。</w:t>
      </w:r>
    </w:p>
    <w:p w14:paraId="7E2D73D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1.7.2 发包人接收文件的地点：</w:t>
      </w:r>
      <w:r>
        <w:rPr>
          <w:rFonts w:hint="eastAsia" w:ascii="宋体" w:hAnsi="宋体" w:cs="宋体"/>
          <w:color w:val="000000"/>
          <w:sz w:val="21"/>
          <w:szCs w:val="21"/>
          <w:highlight w:val="none"/>
          <w:u w:val="single"/>
          <w:lang w:eastAsia="zh-CN"/>
        </w:rPr>
        <w:t>西安市第一社会福利院</w:t>
      </w:r>
      <w:r>
        <w:rPr>
          <w:rFonts w:hint="eastAsia" w:ascii="宋体" w:hAnsi="宋体" w:cs="宋体"/>
          <w:color w:val="000000"/>
          <w:sz w:val="21"/>
          <w:szCs w:val="21"/>
          <w:highlight w:val="none"/>
          <w:u w:val="single"/>
        </w:rPr>
        <w:t>发包人办公室</w:t>
      </w:r>
      <w:r>
        <w:rPr>
          <w:rFonts w:hint="eastAsia" w:ascii="宋体" w:hAnsi="宋体" w:cs="宋体"/>
          <w:color w:val="000000"/>
          <w:sz w:val="21"/>
          <w:szCs w:val="21"/>
          <w:highlight w:val="none"/>
        </w:rPr>
        <w:t></w:t>
      </w:r>
    </w:p>
    <w:p w14:paraId="3150AAD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承包人接收文件的地点：</w:t>
      </w:r>
      <w:r>
        <w:rPr>
          <w:rFonts w:hint="eastAsia" w:ascii="宋体" w:hAnsi="宋体" w:cs="宋体"/>
          <w:color w:val="000000"/>
          <w:sz w:val="21"/>
          <w:szCs w:val="21"/>
          <w:highlight w:val="none"/>
          <w:u w:val="single"/>
          <w:lang w:eastAsia="zh-CN"/>
        </w:rPr>
        <w:t>西安市第一社会福利院</w:t>
      </w:r>
      <w:r>
        <w:rPr>
          <w:rFonts w:hint="eastAsia" w:ascii="宋体" w:hAnsi="宋体" w:cs="宋体"/>
          <w:color w:val="000000"/>
          <w:sz w:val="21"/>
          <w:szCs w:val="21"/>
          <w:highlight w:val="none"/>
          <w:u w:val="single"/>
        </w:rPr>
        <w:t>承包人现场项目部</w:t>
      </w:r>
    </w:p>
    <w:p w14:paraId="2451709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1.10 交通运输</w:t>
      </w:r>
    </w:p>
    <w:p w14:paraId="1179EBF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w:t>
      </w:r>
      <w:bookmarkStart w:id="459" w:name="_Toc312677986"/>
      <w:bookmarkStart w:id="460" w:name="_Toc318581155"/>
      <w:bookmarkStart w:id="461" w:name="_Toc303539100"/>
      <w:bookmarkStart w:id="462" w:name="_Toc300934943"/>
      <w:bookmarkStart w:id="463" w:name="_Toc304295521"/>
      <w:r>
        <w:rPr>
          <w:rFonts w:hint="eastAsia" w:ascii="宋体" w:hAnsi="宋体" w:cs="宋体"/>
          <w:color w:val="000000"/>
          <w:sz w:val="21"/>
          <w:szCs w:val="21"/>
          <w:highlight w:val="none"/>
        </w:rPr>
        <w:t>.10.1 出入现场的权利</w:t>
      </w:r>
    </w:p>
    <w:p w14:paraId="3040705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关于出入现场的权利的约定：</w:t>
      </w:r>
      <w:r>
        <w:rPr>
          <w:rFonts w:hint="eastAsia" w:ascii="宋体" w:hAnsi="宋体" w:cs="宋体"/>
          <w:color w:val="000000"/>
          <w:sz w:val="21"/>
          <w:szCs w:val="21"/>
          <w:highlight w:val="none"/>
          <w:u w:val="single"/>
        </w:rPr>
        <w:t>由承包人按发包人要求负责取得出入施工现场所需的批准手续和全部权利，以及取得因施工所需修建临时道路以及其他基础设施的权利，并承担相关手续费用和建设费用</w:t>
      </w:r>
      <w:r>
        <w:rPr>
          <w:rFonts w:hint="eastAsia" w:ascii="宋体" w:hAnsi="宋体" w:cs="宋体"/>
          <w:color w:val="000000"/>
          <w:sz w:val="21"/>
          <w:szCs w:val="21"/>
          <w:highlight w:val="none"/>
        </w:rPr>
        <w:t>。</w:t>
      </w:r>
    </w:p>
    <w:bookmarkEnd w:id="459"/>
    <w:bookmarkEnd w:id="460"/>
    <w:bookmarkEnd w:id="461"/>
    <w:bookmarkEnd w:id="462"/>
    <w:bookmarkEnd w:id="463"/>
    <w:p w14:paraId="6E8E4FE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w:t>
      </w:r>
      <w:bookmarkStart w:id="464" w:name="_Toc304295522"/>
      <w:bookmarkStart w:id="465" w:name="_Toc312677987"/>
      <w:bookmarkStart w:id="466" w:name="_Toc300934944"/>
      <w:bookmarkStart w:id="467" w:name="_Toc318581156"/>
      <w:bookmarkStart w:id="468" w:name="_Toc303539101"/>
      <w:r>
        <w:rPr>
          <w:rFonts w:hint="eastAsia" w:ascii="宋体" w:hAnsi="宋体" w:cs="宋体"/>
          <w:color w:val="000000"/>
          <w:sz w:val="21"/>
          <w:szCs w:val="21"/>
          <w:highlight w:val="none"/>
        </w:rPr>
        <w:t>.10.3 场内交通</w:t>
      </w:r>
    </w:p>
    <w:p w14:paraId="5F9F1F0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关于场外交通和场内交通的边界的约定：</w:t>
      </w:r>
      <w:r>
        <w:rPr>
          <w:rFonts w:hint="eastAsia" w:ascii="宋体" w:hAnsi="宋体" w:cs="宋体"/>
          <w:color w:val="000000"/>
          <w:sz w:val="21"/>
          <w:szCs w:val="21"/>
          <w:highlight w:val="none"/>
          <w:u w:val="single"/>
        </w:rPr>
        <w:t>本项目施工现场划定的区域为准</w:t>
      </w:r>
      <w:r>
        <w:rPr>
          <w:rFonts w:hint="eastAsia" w:ascii="宋体" w:hAnsi="宋体" w:cs="宋体"/>
          <w:color w:val="000000"/>
          <w:sz w:val="21"/>
          <w:szCs w:val="21"/>
          <w:highlight w:val="none"/>
        </w:rPr>
        <w:t>。</w:t>
      </w:r>
    </w:p>
    <w:p w14:paraId="19E9A46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关于发包人向承包人免费提供满足工程施工需要的场内道路和交通设施的约定：</w:t>
      </w:r>
      <w:r>
        <w:rPr>
          <w:rFonts w:hint="eastAsia" w:ascii="宋体" w:hAnsi="宋体" w:cs="宋体"/>
          <w:color w:val="000000"/>
          <w:sz w:val="21"/>
          <w:szCs w:val="21"/>
          <w:highlight w:val="none"/>
          <w:u w:val="single"/>
        </w:rPr>
        <w:t>场内的施工便道由承包人自行修建并承担相关费用</w:t>
      </w:r>
      <w:r>
        <w:rPr>
          <w:rFonts w:hint="eastAsia" w:ascii="宋体" w:hAnsi="宋体" w:cs="宋体"/>
          <w:color w:val="000000"/>
          <w:sz w:val="21"/>
          <w:szCs w:val="21"/>
          <w:highlight w:val="none"/>
        </w:rPr>
        <w:t>。</w:t>
      </w:r>
      <w:bookmarkEnd w:id="464"/>
      <w:bookmarkEnd w:id="465"/>
      <w:bookmarkEnd w:id="466"/>
      <w:bookmarkEnd w:id="467"/>
      <w:bookmarkEnd w:id="468"/>
      <w:bookmarkStart w:id="469" w:name="_Toc318581157"/>
    </w:p>
    <w:p w14:paraId="74F6B91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1.10.4超大件和超重件的运输</w:t>
      </w:r>
    </w:p>
    <w:p w14:paraId="6469D2D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运输超大件或超重件所需的道路和桥梁临时加固改造费用和其他有关费用由</w:t>
      </w:r>
      <w:r>
        <w:rPr>
          <w:rFonts w:hint="eastAsia" w:ascii="宋体" w:hAnsi="宋体" w:cs="宋体"/>
          <w:color w:val="000000"/>
          <w:sz w:val="21"/>
          <w:szCs w:val="21"/>
          <w:highlight w:val="none"/>
          <w:u w:val="single"/>
        </w:rPr>
        <w:t>承包人</w:t>
      </w:r>
      <w:r>
        <w:rPr>
          <w:rFonts w:hint="eastAsia" w:ascii="宋体" w:hAnsi="宋体" w:cs="宋体"/>
          <w:color w:val="000000"/>
          <w:sz w:val="21"/>
          <w:szCs w:val="21"/>
          <w:highlight w:val="none"/>
        </w:rPr>
        <w:t>承担。</w:t>
      </w:r>
    </w:p>
    <w:bookmarkEnd w:id="469"/>
    <w:p w14:paraId="4907B53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1.11 知识产权</w:t>
      </w:r>
    </w:p>
    <w:p w14:paraId="20872392">
      <w:pPr>
        <w:spacing w:line="360" w:lineRule="auto"/>
        <w:rPr>
          <w:rFonts w:ascii="宋体" w:hAnsi="宋体" w:cs="宋体"/>
          <w:color w:val="000000"/>
          <w:sz w:val="21"/>
          <w:szCs w:val="21"/>
          <w:highlight w:val="none"/>
        </w:rPr>
      </w:pPr>
      <w:r>
        <w:rPr>
          <w:rFonts w:hint="eastAsia" w:ascii="宋体" w:hAnsi="宋体" w:cs="宋体"/>
          <w:color w:val="000000"/>
          <w:sz w:val="21"/>
          <w:szCs w:val="21"/>
          <w:highlight w:val="none"/>
        </w:rPr>
        <w:t xml:space="preserve">   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sz w:val="21"/>
          <w:szCs w:val="21"/>
          <w:highlight w:val="none"/>
          <w:u w:val="single"/>
        </w:rPr>
        <w:t>属于发包人</w:t>
      </w:r>
      <w:r>
        <w:rPr>
          <w:rFonts w:hint="eastAsia" w:ascii="宋体" w:hAnsi="宋体" w:cs="宋体"/>
          <w:color w:val="000000"/>
          <w:sz w:val="21"/>
          <w:szCs w:val="21"/>
          <w:highlight w:val="none"/>
        </w:rPr>
        <w:t>。</w:t>
      </w:r>
    </w:p>
    <w:p w14:paraId="4DB8832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关于发包人提供的上述文件的使用限制的要求：</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5B70E39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1.11.2 关于承包人为实施工程所编制文件的著作权的归属：</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。关于承包人提供的上述文件的使用限制的要求：</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4411457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1.11.4 承包人在施工过程中所采用的专利、专有技术、技术秘密的使用费的承担方式：</w:t>
      </w:r>
      <w:r>
        <w:rPr>
          <w:rFonts w:hint="eastAsia" w:ascii="宋体" w:hAnsi="宋体" w:cs="宋体"/>
          <w:color w:val="000000"/>
          <w:sz w:val="21"/>
          <w:szCs w:val="21"/>
          <w:highlight w:val="none"/>
          <w:u w:val="single"/>
        </w:rPr>
        <w:t>承包人承担</w:t>
      </w:r>
      <w:r>
        <w:rPr>
          <w:rFonts w:hint="eastAsia" w:ascii="宋体" w:hAnsi="宋体" w:cs="宋体"/>
          <w:color w:val="000000"/>
          <w:sz w:val="21"/>
          <w:szCs w:val="21"/>
          <w:highlight w:val="none"/>
        </w:rPr>
        <w:t>。</w:t>
      </w:r>
    </w:p>
    <w:p w14:paraId="31113D4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1.13工程量清单错误的修正</w:t>
      </w:r>
    </w:p>
    <w:p w14:paraId="73FA2A28">
      <w:pPr>
        <w:spacing w:line="360" w:lineRule="auto"/>
        <w:ind w:firstLine="420" w:firstLineChars="200"/>
        <w:rPr>
          <w:rFonts w:ascii="宋体" w:hAnsi="宋体" w:cs="华文中宋"/>
          <w:b/>
          <w:bCs/>
          <w:sz w:val="21"/>
          <w:szCs w:val="21"/>
          <w:highlight w:val="none"/>
          <w:u w:val="single"/>
        </w:rPr>
      </w:pPr>
      <w:bookmarkStart w:id="470" w:name="_Toc351203634"/>
      <w:r>
        <w:rPr>
          <w:rFonts w:hint="eastAsia" w:ascii="宋体" w:hAnsi="宋体" w:cs="宋体"/>
          <w:color w:val="000000" w:themeColor="text1"/>
          <w:sz w:val="21"/>
          <w:szCs w:val="21"/>
          <w:highlight w:val="none"/>
          <w14:textFill>
            <w14:solidFill>
              <w14:schemeClr w14:val="tx1"/>
            </w14:solidFill>
          </w14:textFill>
        </w:rPr>
        <w:t>出现工程量清单错误时，是否调整合同价格：</w:t>
      </w:r>
      <w:r>
        <w:rPr>
          <w:rFonts w:hint="eastAsia" w:ascii="宋体" w:hAnsi="宋体" w:cs="华文中宋"/>
          <w:b/>
          <w:bCs/>
          <w:sz w:val="21"/>
          <w:szCs w:val="21"/>
          <w:highlight w:val="none"/>
          <w:u w:val="single"/>
        </w:rPr>
        <w:t>否。</w:t>
      </w:r>
    </w:p>
    <w:p w14:paraId="2FEFF690">
      <w:pPr>
        <w:widowControl/>
        <w:spacing w:line="360" w:lineRule="auto"/>
        <w:ind w:firstLine="420" w:firstLineChars="200"/>
        <w:textAlignment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华文中宋"/>
          <w:sz w:val="21"/>
          <w:szCs w:val="21"/>
          <w:highlight w:val="none"/>
        </w:rPr>
        <w:t>允许调整合同价格的工程量偏差范围：</w:t>
      </w:r>
      <w:r>
        <w:rPr>
          <w:rFonts w:hint="eastAsia" w:ascii="宋体" w:hAnsi="宋体" w:cs="华文中宋"/>
          <w:b/>
          <w:bCs/>
          <w:sz w:val="21"/>
          <w:szCs w:val="21"/>
          <w:highlight w:val="none"/>
          <w:u w:val="single"/>
          <w:lang w:val="en-US" w:eastAsia="zh-CN"/>
        </w:rPr>
        <w:t>本项目不适用</w:t>
      </w:r>
      <w:r>
        <w:rPr>
          <w:rFonts w:hint="eastAsia" w:ascii="宋体" w:hAnsi="宋体" w:cs="华文中宋"/>
          <w:b/>
          <w:bCs/>
          <w:sz w:val="21"/>
          <w:szCs w:val="21"/>
          <w:highlight w:val="none"/>
        </w:rPr>
        <w:t>。</w:t>
      </w:r>
    </w:p>
    <w:p w14:paraId="0C61673B">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b/>
          <w:color w:val="000000"/>
          <w:sz w:val="21"/>
          <w:szCs w:val="21"/>
          <w:highlight w:val="none"/>
        </w:rPr>
        <w:t>二、发包人</w:t>
      </w:r>
    </w:p>
    <w:p w14:paraId="3E2E21E8">
      <w:pPr>
        <w:spacing w:line="360" w:lineRule="auto"/>
        <w:ind w:firstLine="420" w:firstLineChars="200"/>
        <w:rPr>
          <w:rFonts w:ascii="宋体" w:hAnsi="宋体" w:cs="宋体"/>
          <w:b/>
          <w:color w:val="000000"/>
          <w:sz w:val="21"/>
          <w:szCs w:val="21"/>
          <w:highlight w:val="none"/>
        </w:rPr>
      </w:pPr>
      <w:r>
        <w:rPr>
          <w:rFonts w:hint="eastAsia" w:ascii="宋体" w:hAnsi="宋体" w:cs="宋体"/>
          <w:color w:val="000000"/>
          <w:sz w:val="21"/>
          <w:szCs w:val="21"/>
          <w:highlight w:val="none"/>
        </w:rPr>
        <w:t>2.2 发包人代表</w:t>
      </w:r>
    </w:p>
    <w:p w14:paraId="39B1BF9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发包人代表：</w:t>
      </w:r>
      <w:r>
        <w:rPr>
          <w:rFonts w:ascii="宋体" w:hAnsi="宋体" w:cs="宋体"/>
          <w:color w:val="000000"/>
          <w:sz w:val="21"/>
          <w:szCs w:val="21"/>
          <w:highlight w:val="none"/>
        </w:rPr>
        <w:t xml:space="preserve"> </w:t>
      </w:r>
    </w:p>
    <w:p w14:paraId="4A6A880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姓    名：</w:t>
      </w:r>
    </w:p>
    <w:p w14:paraId="41F0FB0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职    务：</w:t>
      </w:r>
    </w:p>
    <w:p w14:paraId="2AED5394">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联系电话</w:t>
      </w:r>
      <w:r>
        <w:rPr>
          <w:rFonts w:hint="eastAsia" w:ascii="宋体" w:hAnsi="宋体" w:cs="宋体"/>
          <w:color w:val="000000"/>
          <w:sz w:val="21"/>
          <w:szCs w:val="21"/>
          <w:highlight w:val="none"/>
          <w:u w:val="single"/>
        </w:rPr>
        <w:t xml:space="preserve">： </w:t>
      </w:r>
    </w:p>
    <w:p w14:paraId="5246A68C">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通信地址：</w:t>
      </w:r>
      <w:r>
        <w:rPr>
          <w:rFonts w:hint="eastAsia" w:ascii="宋体" w:hAnsi="宋体" w:cs="宋体"/>
          <w:color w:val="000000"/>
          <w:sz w:val="21"/>
          <w:szCs w:val="21"/>
          <w:highlight w:val="none"/>
          <w:u w:val="single"/>
          <w:lang w:eastAsia="zh-CN"/>
        </w:rPr>
        <w:t>西安市第一社会福利院</w:t>
      </w:r>
    </w:p>
    <w:p w14:paraId="40FD27FD">
      <w:pPr>
        <w:spacing w:line="360" w:lineRule="auto"/>
        <w:ind w:firstLine="420" w:firstLineChars="200"/>
        <w:rPr>
          <w:rFonts w:ascii="宋体" w:hAnsi="宋体" w:cs="宋体"/>
          <w:b/>
          <w:color w:val="000000"/>
          <w:sz w:val="21"/>
          <w:szCs w:val="21"/>
          <w:highlight w:val="none"/>
        </w:rPr>
      </w:pPr>
      <w:r>
        <w:rPr>
          <w:rFonts w:hint="eastAsia" w:ascii="宋体" w:hAnsi="宋体" w:cs="宋体"/>
          <w:color w:val="000000"/>
          <w:sz w:val="21"/>
          <w:szCs w:val="21"/>
          <w:highlight w:val="none"/>
        </w:rPr>
        <w:t>发包人对发包人代表的授权范围如下：</w:t>
      </w:r>
      <w:r>
        <w:rPr>
          <w:rFonts w:hint="eastAsia" w:ascii="宋体" w:hAnsi="宋体" w:cs="宋体"/>
          <w:spacing w:val="-6"/>
          <w:sz w:val="21"/>
          <w:szCs w:val="21"/>
          <w:highlight w:val="none"/>
          <w:u w:val="single"/>
        </w:rPr>
        <w:t>监督管理施工现场的各项工作实施。负责</w:t>
      </w:r>
      <w:r>
        <w:rPr>
          <w:rFonts w:hint="eastAsia" w:ascii="宋体" w:hAnsi="宋体" w:cs="宋体"/>
          <w:w w:val="101"/>
          <w:sz w:val="21"/>
          <w:szCs w:val="21"/>
          <w:highlight w:val="none"/>
        </w:rPr>
        <w:t xml:space="preserve">  </w:t>
      </w:r>
      <w:r>
        <w:rPr>
          <w:rFonts w:hint="eastAsia" w:ascii="宋体" w:hAnsi="宋体" w:cs="宋体"/>
          <w:spacing w:val="-1"/>
          <w:sz w:val="21"/>
          <w:szCs w:val="21"/>
          <w:highlight w:val="none"/>
          <w:u w:val="single"/>
        </w:rPr>
        <w:t>施工全过程内、外部关系协调、处理往来文件；对工程进度、质量、变更指令、签证、</w:t>
      </w:r>
      <w:r>
        <w:rPr>
          <w:rFonts w:hint="eastAsia" w:ascii="宋体" w:hAnsi="宋体" w:cs="宋体"/>
          <w:spacing w:val="20"/>
          <w:sz w:val="21"/>
          <w:szCs w:val="21"/>
          <w:highlight w:val="none"/>
        </w:rPr>
        <w:t xml:space="preserve"> </w:t>
      </w:r>
      <w:r>
        <w:rPr>
          <w:rFonts w:hint="eastAsia" w:ascii="宋体" w:hAnsi="宋体" w:cs="宋体"/>
          <w:spacing w:val="-13"/>
          <w:sz w:val="21"/>
          <w:szCs w:val="21"/>
          <w:highlight w:val="none"/>
          <w:u w:val="single"/>
        </w:rPr>
        <w:t>材料的认质认价、工程款支付、结算等进行管理。对可能严重影响工程质量安全、工期、</w:t>
      </w:r>
      <w:r>
        <w:rPr>
          <w:rFonts w:hint="eastAsia" w:ascii="宋体" w:hAnsi="宋体" w:cs="宋体"/>
          <w:spacing w:val="-2"/>
          <w:sz w:val="21"/>
          <w:szCs w:val="21"/>
          <w:highlight w:val="none"/>
          <w:u w:val="single"/>
        </w:rPr>
        <w:t>投资的审核权限</w:t>
      </w:r>
      <w:r>
        <w:rPr>
          <w:rFonts w:hint="eastAsia" w:ascii="宋体" w:hAnsi="宋体" w:cs="宋体"/>
          <w:spacing w:val="-2"/>
          <w:sz w:val="21"/>
          <w:szCs w:val="21"/>
          <w:highlight w:val="none"/>
        </w:rPr>
        <w:t>。</w:t>
      </w:r>
    </w:p>
    <w:p w14:paraId="49EBD79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2.4 施工现场、施工条件和基础资料的提供</w:t>
      </w:r>
    </w:p>
    <w:p w14:paraId="7859A37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2.4.1 提供施工现场</w:t>
      </w:r>
    </w:p>
    <w:p w14:paraId="263248B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关于发包人移交施工现场的期限要求：</w:t>
      </w:r>
      <w:r>
        <w:rPr>
          <w:rFonts w:hint="eastAsia" w:ascii="宋体" w:hAnsi="宋体" w:cs="宋体"/>
          <w:color w:val="000000"/>
          <w:sz w:val="21"/>
          <w:szCs w:val="21"/>
          <w:highlight w:val="none"/>
          <w:u w:val="single"/>
        </w:rPr>
        <w:t xml:space="preserve"> 开工前满足施工要求</w:t>
      </w:r>
    </w:p>
    <w:p w14:paraId="30FE00F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2.4.2提供施工条件</w:t>
      </w:r>
    </w:p>
    <w:p w14:paraId="1732914E">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关于发包人应负责提供施工所需要的条件，包括：</w:t>
      </w:r>
    </w:p>
    <w:p w14:paraId="08773DA5">
      <w:pPr>
        <w:spacing w:line="360" w:lineRule="auto"/>
        <w:ind w:firstLine="420" w:firstLineChars="200"/>
        <w:jc w:val="left"/>
        <w:rPr>
          <w:rFonts w:ascii="宋体" w:hAnsi="宋体" w:cs="宋体"/>
          <w:sz w:val="21"/>
          <w:szCs w:val="21"/>
          <w:highlight w:val="none"/>
          <w:u w:val="single"/>
        </w:rPr>
      </w:pPr>
      <w:r>
        <w:rPr>
          <w:rFonts w:hint="eastAsia" w:ascii="宋体" w:hAnsi="宋体" w:cs="宋体"/>
          <w:sz w:val="21"/>
          <w:szCs w:val="21"/>
          <w:highlight w:val="none"/>
        </w:rPr>
        <w:t>（1）将施工所需的水、电力、通讯线路接至施工场地的时间、地点和供应要求：</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。其计量和计价方法为：</w:t>
      </w:r>
      <w:r>
        <w:rPr>
          <w:rFonts w:hint="eastAsia" w:ascii="宋体" w:hAnsi="宋体" w:cs="宋体"/>
          <w:sz w:val="21"/>
          <w:szCs w:val="21"/>
          <w:highlight w:val="none"/>
          <w:u w:val="single"/>
        </w:rPr>
        <w:t>施工及生活用水、电由承包人自行装表计量，水、电费用由承包人直接向发包人后勤管理处缴纳。</w:t>
      </w:r>
    </w:p>
    <w:p w14:paraId="52B276D3">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（2）施工场地与公共道路的通道开通时间和要求：</w:t>
      </w:r>
      <w:r>
        <w:rPr>
          <w:rFonts w:hint="eastAsia" w:ascii="宋体" w:hAnsi="宋体" w:cs="宋体"/>
          <w:sz w:val="21"/>
          <w:szCs w:val="21"/>
          <w:highlight w:val="none"/>
          <w:u w:val="single"/>
        </w:rPr>
        <w:t xml:space="preserve">    /     </w:t>
      </w:r>
      <w:r>
        <w:rPr>
          <w:rFonts w:hint="eastAsia" w:ascii="宋体" w:hAnsi="宋体" w:cs="宋体"/>
          <w:sz w:val="21"/>
          <w:szCs w:val="21"/>
          <w:highlight w:val="none"/>
        </w:rPr>
        <w:t xml:space="preserve">  。</w:t>
      </w:r>
    </w:p>
    <w:p w14:paraId="7F106185">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（3）工程地质和地下管线资料的提供时间：</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14:paraId="5CE8B1E0">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（4）水准点与坐标控制点交验要求：</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14:paraId="3C8035AE">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（5）图纸会审和设计交底时间：</w:t>
      </w:r>
      <w:r>
        <w:rPr>
          <w:rFonts w:hint="eastAsia" w:ascii="宋体" w:hAnsi="宋体" w:cs="宋体"/>
          <w:sz w:val="21"/>
          <w:szCs w:val="21"/>
          <w:highlight w:val="none"/>
          <w:u w:val="single"/>
        </w:rPr>
        <w:t xml:space="preserve"> 开工后七日内组织承包人和设计单位进行图纸会审，向承包人进行设计交底，及时签发交底会议纪要 </w:t>
      </w:r>
      <w:r>
        <w:rPr>
          <w:rFonts w:hint="eastAsia" w:ascii="宋体" w:hAnsi="宋体" w:cs="宋体"/>
          <w:sz w:val="21"/>
          <w:szCs w:val="21"/>
          <w:highlight w:val="none"/>
        </w:rPr>
        <w:t>。</w:t>
      </w:r>
    </w:p>
    <w:p w14:paraId="5473B820">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双方约定发包人应做的其他工作：</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14:paraId="042AEEFC">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2.5 资金来源证明及支付担保</w:t>
      </w:r>
    </w:p>
    <w:p w14:paraId="6482C3C7">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发包人提供资金来源证明的期限要求：</w:t>
      </w:r>
      <w:r>
        <w:rPr>
          <w:rFonts w:hint="eastAsia" w:ascii="宋体" w:hAnsi="宋体" w:cs="宋体"/>
          <w:color w:val="000000"/>
          <w:sz w:val="21"/>
          <w:szCs w:val="21"/>
          <w:highlight w:val="none"/>
          <w:u w:val="single"/>
        </w:rPr>
        <w:t xml:space="preserve"> /      </w:t>
      </w:r>
    </w:p>
    <w:p w14:paraId="5881F55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发包人是否提供支付担保：</w:t>
      </w:r>
      <w:r>
        <w:rPr>
          <w:rFonts w:hint="eastAsia" w:ascii="宋体" w:hAnsi="宋体" w:cs="宋体"/>
          <w:color w:val="000000"/>
          <w:sz w:val="21"/>
          <w:szCs w:val="21"/>
          <w:highlight w:val="none"/>
          <w:u w:val="single"/>
        </w:rPr>
        <w:t xml:space="preserve">    否    </w:t>
      </w:r>
    </w:p>
    <w:p w14:paraId="4EAF51BC">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发包人提供支付担保的形式:</w:t>
      </w:r>
      <w:r>
        <w:rPr>
          <w:rFonts w:hint="eastAsia" w:ascii="宋体" w:hAnsi="宋体" w:cs="宋体"/>
          <w:color w:val="000000"/>
          <w:sz w:val="21"/>
          <w:szCs w:val="21"/>
          <w:highlight w:val="none"/>
          <w:u w:val="single"/>
        </w:rPr>
        <w:t xml:space="preserve">  /    </w:t>
      </w:r>
    </w:p>
    <w:p w14:paraId="7E58AF8E">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b/>
          <w:color w:val="000000"/>
          <w:sz w:val="21"/>
          <w:szCs w:val="21"/>
          <w:highlight w:val="none"/>
        </w:rPr>
        <w:t>三、承包人</w:t>
      </w:r>
    </w:p>
    <w:p w14:paraId="4D995BA4">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3.1 承包人的一般义务</w:t>
      </w:r>
    </w:p>
    <w:p w14:paraId="3103F244">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承包人提交的竣工资料的内容：</w:t>
      </w:r>
      <w:r>
        <w:rPr>
          <w:rFonts w:hint="eastAsia" w:ascii="宋体" w:hAnsi="宋体" w:cs="宋体"/>
          <w:sz w:val="21"/>
          <w:szCs w:val="21"/>
          <w:highlight w:val="none"/>
          <w:u w:val="single"/>
        </w:rPr>
        <w:t>竣工图及完整的施工资料</w:t>
      </w:r>
      <w:r>
        <w:rPr>
          <w:rFonts w:hint="eastAsia" w:ascii="宋体" w:hAnsi="宋体" w:cs="宋体"/>
          <w:sz w:val="21"/>
          <w:szCs w:val="21"/>
          <w:highlight w:val="none"/>
          <w:u w:val="single"/>
        </w:rPr>
        <w:tab/>
      </w:r>
      <w:r>
        <w:rPr>
          <w:rFonts w:hint="eastAsia" w:ascii="宋体" w:hAnsi="宋体" w:cs="宋体"/>
          <w:sz w:val="21"/>
          <w:szCs w:val="21"/>
          <w:highlight w:val="none"/>
        </w:rPr>
        <w:t>。</w:t>
      </w:r>
    </w:p>
    <w:p w14:paraId="6B0529BE">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承包人需要提交的竣工资料套数：</w:t>
      </w:r>
      <w:r>
        <w:rPr>
          <w:rFonts w:hint="eastAsia" w:ascii="宋体" w:hAnsi="宋体" w:cs="宋体"/>
          <w:sz w:val="21"/>
          <w:szCs w:val="21"/>
          <w:highlight w:val="none"/>
          <w:u w:val="single"/>
        </w:rPr>
        <w:t>书面文件一式三份和电子文档一份</w:t>
      </w:r>
      <w:r>
        <w:rPr>
          <w:rFonts w:hint="eastAsia" w:ascii="宋体" w:hAnsi="宋体" w:cs="宋体"/>
          <w:sz w:val="21"/>
          <w:szCs w:val="21"/>
          <w:highlight w:val="none"/>
        </w:rPr>
        <w:t>。</w:t>
      </w:r>
    </w:p>
    <w:p w14:paraId="4D46696B">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承包人提交的竣工资料的费用承担：</w:t>
      </w:r>
      <w:r>
        <w:rPr>
          <w:rFonts w:hint="eastAsia" w:ascii="宋体" w:hAnsi="宋体" w:cs="宋体"/>
          <w:sz w:val="21"/>
          <w:szCs w:val="21"/>
          <w:highlight w:val="none"/>
          <w:u w:val="single"/>
        </w:rPr>
        <w:t>由承包人承担</w:t>
      </w:r>
      <w:r>
        <w:rPr>
          <w:rFonts w:hint="eastAsia" w:ascii="宋体" w:hAnsi="宋体" w:cs="宋体"/>
          <w:sz w:val="21"/>
          <w:szCs w:val="21"/>
          <w:highlight w:val="none"/>
        </w:rPr>
        <w:t>。</w:t>
      </w:r>
    </w:p>
    <w:p w14:paraId="5503F858">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承包人提交的竣工资料移交时间：</w:t>
      </w:r>
      <w:r>
        <w:rPr>
          <w:rFonts w:hint="eastAsia" w:ascii="宋体" w:hAnsi="宋体" w:cs="宋体"/>
          <w:sz w:val="21"/>
          <w:szCs w:val="21"/>
          <w:highlight w:val="none"/>
          <w:u w:val="single"/>
        </w:rPr>
        <w:t xml:space="preserve">按发包人要求执行，且不晚于竣工验收合格之日起30日内 </w:t>
      </w:r>
      <w:r>
        <w:rPr>
          <w:rFonts w:hint="eastAsia" w:ascii="宋体" w:hAnsi="宋体" w:cs="宋体"/>
          <w:sz w:val="21"/>
          <w:szCs w:val="21"/>
          <w:highlight w:val="none"/>
        </w:rPr>
        <w:t>。</w:t>
      </w:r>
    </w:p>
    <w:p w14:paraId="4229D282">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承包人提交的竣工资料形式要求：</w:t>
      </w:r>
      <w:r>
        <w:rPr>
          <w:rFonts w:hint="eastAsia" w:ascii="宋体" w:hAnsi="宋体" w:cs="宋体"/>
          <w:sz w:val="21"/>
          <w:szCs w:val="21"/>
          <w:highlight w:val="none"/>
          <w:u w:val="single"/>
        </w:rPr>
        <w:t>纸质版及电子版</w:t>
      </w:r>
      <w:r>
        <w:rPr>
          <w:rFonts w:hint="eastAsia" w:ascii="宋体" w:hAnsi="宋体" w:cs="宋体"/>
          <w:sz w:val="21"/>
          <w:szCs w:val="21"/>
          <w:highlight w:val="none"/>
        </w:rPr>
        <w:t>。</w:t>
      </w:r>
    </w:p>
    <w:p w14:paraId="001F43A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（10）承包人应履行的其他义务：</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w:t>
      </w:r>
    </w:p>
    <w:p w14:paraId="59C312F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3.2 项目经理</w:t>
      </w:r>
    </w:p>
    <w:p w14:paraId="30521B5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3.2.1 项目经理：</w:t>
      </w:r>
    </w:p>
    <w:p w14:paraId="2557057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姓    名：</w:t>
      </w:r>
      <w:r>
        <w:rPr>
          <w:rFonts w:hint="eastAsia" w:ascii="宋体" w:hAnsi="宋体" w:cs="宋体"/>
          <w:color w:val="000000"/>
          <w:sz w:val="21"/>
          <w:szCs w:val="21"/>
          <w:highlight w:val="none"/>
          <w:u w:val="single"/>
        </w:rPr>
        <w:t xml:space="preserve">      </w:t>
      </w:r>
    </w:p>
    <w:p w14:paraId="4162770C">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身份证号：</w:t>
      </w:r>
      <w:r>
        <w:rPr>
          <w:rFonts w:hint="eastAsia" w:ascii="宋体" w:hAnsi="宋体" w:cs="宋体"/>
          <w:color w:val="000000"/>
          <w:sz w:val="21"/>
          <w:szCs w:val="21"/>
          <w:highlight w:val="none"/>
          <w:u w:val="single"/>
        </w:rPr>
        <w:t>     ；</w:t>
      </w:r>
    </w:p>
    <w:p w14:paraId="566A32F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建造师执业资格等级：</w:t>
      </w:r>
      <w:r>
        <w:rPr>
          <w:rFonts w:hint="eastAsia" w:ascii="宋体" w:hAnsi="宋体" w:cs="宋体"/>
          <w:color w:val="000000"/>
          <w:sz w:val="21"/>
          <w:szCs w:val="21"/>
          <w:highlight w:val="none"/>
          <w:u w:val="single"/>
        </w:rPr>
        <w:t>         ；</w:t>
      </w:r>
    </w:p>
    <w:p w14:paraId="26DB65A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建造师注册证书号：</w:t>
      </w:r>
      <w:r>
        <w:rPr>
          <w:rFonts w:hint="eastAsia" w:ascii="宋体" w:hAnsi="宋体" w:cs="宋体"/>
          <w:color w:val="000000"/>
          <w:sz w:val="21"/>
          <w:szCs w:val="21"/>
          <w:highlight w:val="none"/>
          <w:u w:val="single"/>
        </w:rPr>
        <w:t>     ；</w:t>
      </w:r>
    </w:p>
    <w:p w14:paraId="76A3FDD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建造师执业印章号：</w:t>
      </w:r>
      <w:r>
        <w:rPr>
          <w:rFonts w:hint="eastAsia" w:ascii="宋体" w:hAnsi="宋体" w:cs="宋体"/>
          <w:color w:val="000000"/>
          <w:sz w:val="21"/>
          <w:szCs w:val="21"/>
          <w:highlight w:val="none"/>
          <w:u w:val="single"/>
        </w:rPr>
        <w:t>     /     </w:t>
      </w:r>
      <w:r>
        <w:rPr>
          <w:rFonts w:hint="eastAsia" w:ascii="宋体" w:hAnsi="宋体" w:cs="宋体"/>
          <w:color w:val="000000"/>
          <w:sz w:val="21"/>
          <w:szCs w:val="21"/>
          <w:highlight w:val="none"/>
        </w:rPr>
        <w:t>；</w:t>
      </w:r>
    </w:p>
    <w:p w14:paraId="2E52BE2F">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 xml:space="preserve">安全生产考核合格证书号： </w:t>
      </w:r>
      <w:r>
        <w:rPr>
          <w:rFonts w:hint="eastAsia" w:ascii="宋体" w:hAnsi="宋体" w:cs="宋体"/>
          <w:color w:val="000000"/>
          <w:sz w:val="21"/>
          <w:szCs w:val="21"/>
          <w:highlight w:val="none"/>
          <w:u w:val="single"/>
        </w:rPr>
        <w:t xml:space="preserve">      ；</w:t>
      </w:r>
    </w:p>
    <w:p w14:paraId="6A1E562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联系电话：</w:t>
      </w:r>
      <w:r>
        <w:rPr>
          <w:rFonts w:hint="eastAsia" w:ascii="宋体" w:hAnsi="宋体" w:cs="宋体"/>
          <w:color w:val="000000"/>
          <w:sz w:val="21"/>
          <w:szCs w:val="21"/>
          <w:highlight w:val="none"/>
          <w:u w:val="single"/>
        </w:rPr>
        <w:t xml:space="preserve">      </w:t>
      </w:r>
    </w:p>
    <w:p w14:paraId="2DE7080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承包人对项目经理的授权范围如下：</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4ED8EF2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关于项目经理每月在施工现场的时间要求：</w:t>
      </w:r>
      <w:r>
        <w:rPr>
          <w:rFonts w:hint="eastAsia" w:ascii="宋体" w:hAnsi="宋体" w:cs="宋体"/>
          <w:color w:val="000000"/>
          <w:sz w:val="21"/>
          <w:szCs w:val="21"/>
          <w:highlight w:val="none"/>
          <w:u w:val="single"/>
        </w:rPr>
        <w:t xml:space="preserve">不少于22天，每天不少于8小时  </w:t>
      </w:r>
      <w:r>
        <w:rPr>
          <w:rFonts w:hint="eastAsia" w:ascii="宋体" w:hAnsi="宋体" w:cs="宋体"/>
          <w:color w:val="000000"/>
          <w:sz w:val="21"/>
          <w:szCs w:val="21"/>
          <w:highlight w:val="none"/>
        </w:rPr>
        <w:t>。</w:t>
      </w:r>
    </w:p>
    <w:p w14:paraId="41106A94">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承包人未提交劳动合同，以及没有为项目经理缴纳社会保险证明的违约责任：</w:t>
      </w:r>
      <w:r>
        <w:rPr>
          <w:rFonts w:hint="eastAsia" w:ascii="宋体" w:hAnsi="宋体" w:cs="宋体"/>
          <w:color w:val="000000"/>
          <w:sz w:val="21"/>
          <w:szCs w:val="21"/>
          <w:highlight w:val="none"/>
          <w:u w:val="single"/>
        </w:rPr>
        <w:t xml:space="preserve">发包人有权要求更换项目经理，并要求承包人承担5万元的违约金，由此增加的费用和延误的工期由承包人承担 </w:t>
      </w:r>
      <w:r>
        <w:rPr>
          <w:rFonts w:hint="eastAsia" w:ascii="宋体" w:hAnsi="宋体" w:cs="宋体"/>
          <w:color w:val="000000"/>
          <w:sz w:val="21"/>
          <w:szCs w:val="21"/>
          <w:highlight w:val="none"/>
        </w:rPr>
        <w:t>。</w:t>
      </w:r>
    </w:p>
    <w:p w14:paraId="418AD031">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项目经理未经批准，擅自离开施工现场的违约责任：</w:t>
      </w:r>
      <w:r>
        <w:rPr>
          <w:rFonts w:hint="eastAsia" w:ascii="宋体" w:hAnsi="宋体" w:cs="宋体"/>
          <w:color w:val="000000"/>
          <w:sz w:val="21"/>
          <w:szCs w:val="21"/>
          <w:highlight w:val="none"/>
          <w:u w:val="single"/>
        </w:rPr>
        <w:t>承包人委派的项目经理必须保证在施工现场对工程进行管理，如请假，必须提前通知发包人现场负责人并经同意后可不到场，发包人现场负责人每天对项目经理实施在岗时间考核，如项目经理未经同意缺勤累计超过 3 次，则应支付 5000 元的违约金，如项目经理未经同意缺勤超过 5次，除应支付 10000 元违约金外，发包人有权要求承包人更换项目经理。</w:t>
      </w:r>
    </w:p>
    <w:p w14:paraId="72D14C10">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3.2.3 承包人擅自更换项目经理的违约责任：</w:t>
      </w:r>
      <w:r>
        <w:rPr>
          <w:rFonts w:hint="eastAsia" w:ascii="宋体" w:hAnsi="宋体" w:cs="宋体"/>
          <w:kern w:val="0"/>
          <w:sz w:val="21"/>
          <w:szCs w:val="21"/>
          <w:highlight w:val="none"/>
          <w:u w:val="single"/>
        </w:rPr>
        <w:t>未经发包人同意，承包人不得擅自更换项目经理，否则发包人有权予以纠正，并由承包人支付10000 元/人/次违约金。</w:t>
      </w:r>
    </w:p>
    <w:p w14:paraId="145D6FF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3.2.4 承包人无正当理由拒绝更换项目经理的违约责任：</w:t>
      </w:r>
      <w:r>
        <w:rPr>
          <w:rFonts w:hint="eastAsia" w:ascii="宋体" w:hAnsi="宋体" w:cs="宋体"/>
          <w:color w:val="000000"/>
          <w:sz w:val="21"/>
          <w:szCs w:val="21"/>
          <w:highlight w:val="none"/>
          <w:u w:val="single"/>
        </w:rPr>
        <w:t xml:space="preserve"> 执行《通用条款》 </w:t>
      </w:r>
      <w:r>
        <w:rPr>
          <w:rFonts w:hint="eastAsia" w:ascii="宋体" w:hAnsi="宋体" w:cs="宋体"/>
          <w:color w:val="000000"/>
          <w:sz w:val="21"/>
          <w:szCs w:val="21"/>
          <w:highlight w:val="none"/>
        </w:rPr>
        <w:t>。</w:t>
      </w:r>
    </w:p>
    <w:p w14:paraId="6C41F42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3.3 承包人人员</w:t>
      </w:r>
    </w:p>
    <w:p w14:paraId="55043456">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3.3.1 承包人提交项目管理机构及施工现场管理人员安排报告的期限：</w:t>
      </w:r>
      <w:r>
        <w:rPr>
          <w:rFonts w:hint="eastAsia" w:ascii="宋体" w:hAnsi="宋体" w:cs="宋体"/>
          <w:color w:val="000000"/>
          <w:sz w:val="21"/>
          <w:szCs w:val="21"/>
          <w:highlight w:val="none"/>
          <w:u w:val="single"/>
        </w:rPr>
        <w:t>开工前7日 。</w:t>
      </w:r>
    </w:p>
    <w:p w14:paraId="12EE61A6">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3.3.3 承包人无正当理由拒绝撤换主要施工管理人员的违约责任：</w:t>
      </w:r>
      <w:r>
        <w:rPr>
          <w:rFonts w:hint="eastAsia" w:ascii="宋体" w:hAnsi="宋体" w:cs="宋体"/>
          <w:kern w:val="0"/>
          <w:sz w:val="21"/>
          <w:szCs w:val="21"/>
          <w:highlight w:val="none"/>
          <w:u w:val="single"/>
        </w:rPr>
        <w:t>承包人进入现场的主要施工管理人员须与投标时所报人员一致，承包人在工程开工后未经发包人同意不得随意更换主要施工管理人员，否则应支付10000元人/次的违约金</w:t>
      </w:r>
      <w:r>
        <w:rPr>
          <w:rFonts w:hint="eastAsia" w:ascii="宋体" w:hAnsi="宋体" w:cs="宋体"/>
          <w:color w:val="000000"/>
          <w:sz w:val="21"/>
          <w:szCs w:val="21"/>
          <w:highlight w:val="none"/>
          <w:u w:val="single"/>
        </w:rPr>
        <w:t>。</w:t>
      </w:r>
    </w:p>
    <w:p w14:paraId="67A685A8">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3.3.4 承包人主要施工管理人员离开施工现场的批准要求:</w:t>
      </w:r>
      <w:r>
        <w:rPr>
          <w:rFonts w:hint="eastAsia" w:ascii="宋体" w:hAnsi="宋体" w:cs="宋体"/>
          <w:color w:val="000000"/>
          <w:sz w:val="21"/>
          <w:szCs w:val="21"/>
          <w:highlight w:val="none"/>
          <w:u w:val="single"/>
        </w:rPr>
        <w:t xml:space="preserve"> 由发包人代表批准</w:t>
      </w:r>
      <w:r>
        <w:rPr>
          <w:rFonts w:hint="eastAsia" w:ascii="宋体" w:hAnsi="宋体" w:cs="宋体"/>
          <w:color w:val="000000"/>
          <w:sz w:val="21"/>
          <w:szCs w:val="21"/>
          <w:highlight w:val="none"/>
        </w:rPr>
        <w:t>。</w:t>
      </w:r>
    </w:p>
    <w:p w14:paraId="5921F59A">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3.3.5承包人擅自更换主要施工管理人员的违约责任：</w:t>
      </w:r>
      <w:r>
        <w:rPr>
          <w:rFonts w:hint="eastAsia" w:ascii="宋体" w:hAnsi="宋体" w:cs="宋体"/>
          <w:color w:val="000000"/>
          <w:sz w:val="21"/>
          <w:szCs w:val="21"/>
          <w:highlight w:val="none"/>
          <w:u w:val="single"/>
        </w:rPr>
        <w:t xml:space="preserve">承包人进入现场的主要施工 </w:t>
      </w:r>
    </w:p>
    <w:p w14:paraId="34179743">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管理人员须与投标时所报人员一致，承包人在工程开工后未经发包人同意不得随意更 换主要施工管理人员，否则应支付 10000 元的违约金。</w:t>
      </w:r>
    </w:p>
    <w:p w14:paraId="7E8451A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承包人主要施工管理人员擅自离开施工现场的违约责任：</w:t>
      </w:r>
      <w:r>
        <w:rPr>
          <w:rFonts w:hint="eastAsia" w:ascii="宋体" w:hAnsi="宋体" w:cs="宋体"/>
          <w:color w:val="000000"/>
          <w:sz w:val="21"/>
          <w:szCs w:val="21"/>
          <w:highlight w:val="none"/>
          <w:u w:val="single"/>
        </w:rPr>
        <w:t>主要管理人员拖期到岗或擅离工地的，违约金按1000元/人·天计算</w:t>
      </w:r>
      <w:r>
        <w:rPr>
          <w:rFonts w:hint="eastAsia" w:ascii="宋体" w:hAnsi="宋体" w:cs="宋体"/>
          <w:color w:val="000000"/>
          <w:sz w:val="21"/>
          <w:szCs w:val="21"/>
          <w:highlight w:val="none"/>
        </w:rPr>
        <w:t>。</w:t>
      </w:r>
    </w:p>
    <w:p w14:paraId="15C52D1A">
      <w:pPr>
        <w:spacing w:line="360" w:lineRule="auto"/>
        <w:ind w:firstLine="420" w:firstLineChars="20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3.5 分包</w:t>
      </w:r>
    </w:p>
    <w:p w14:paraId="7B0BDDB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3.5.1 分包的一般约定</w:t>
      </w:r>
    </w:p>
    <w:p w14:paraId="505BDFC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禁止分包的工程包括：</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7BD0FFA6">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主体结构、关键性工作的范围：</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0EB98C9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3.5.2分包的确定</w:t>
      </w:r>
    </w:p>
    <w:p w14:paraId="15A15576">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允许分包的专业工程包括：</w:t>
      </w:r>
      <w:r>
        <w:rPr>
          <w:rFonts w:hint="eastAsia" w:ascii="宋体" w:hAnsi="宋体" w:cs="宋体"/>
          <w:color w:val="000000"/>
          <w:sz w:val="21"/>
          <w:szCs w:val="21"/>
          <w:highlight w:val="none"/>
          <w:u w:val="single"/>
        </w:rPr>
        <w:t xml:space="preserve">  / </w:t>
      </w:r>
      <w:r>
        <w:rPr>
          <w:rFonts w:hint="eastAsia" w:ascii="宋体" w:hAnsi="宋体" w:cs="宋体"/>
          <w:color w:val="000000"/>
          <w:sz w:val="21"/>
          <w:szCs w:val="21"/>
          <w:highlight w:val="none"/>
        </w:rPr>
        <w:t>。</w:t>
      </w:r>
    </w:p>
    <w:p w14:paraId="37549533">
      <w:pPr>
        <w:spacing w:line="360" w:lineRule="auto"/>
        <w:ind w:firstLine="420" w:firstLineChars="200"/>
        <w:rPr>
          <w:rFonts w:ascii="宋体" w:hAnsi="宋体" w:cs="宋体"/>
          <w:color w:val="FF0000"/>
          <w:sz w:val="21"/>
          <w:szCs w:val="21"/>
          <w:highlight w:val="none"/>
          <w:u w:val="single"/>
        </w:rPr>
      </w:pPr>
      <w:r>
        <w:rPr>
          <w:rFonts w:hint="eastAsia" w:ascii="宋体" w:hAnsi="宋体" w:cs="宋体"/>
          <w:color w:val="000000"/>
          <w:sz w:val="21"/>
          <w:szCs w:val="21"/>
          <w:highlight w:val="none"/>
        </w:rPr>
        <w:t>其他关于分包的约定：</w:t>
      </w:r>
      <w:r>
        <w:rPr>
          <w:rFonts w:hint="eastAsia" w:ascii="宋体" w:hAnsi="宋体" w:cs="宋体"/>
          <w:color w:val="000000"/>
          <w:sz w:val="21"/>
          <w:szCs w:val="21"/>
          <w:highlight w:val="none"/>
          <w:u w:val="single"/>
        </w:rPr>
        <w:t xml:space="preserve">   /  。</w:t>
      </w:r>
    </w:p>
    <w:p w14:paraId="4B9AE9D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3.5.4 分包合同价款</w:t>
      </w:r>
    </w:p>
    <w:p w14:paraId="4293791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关于分包合同价款支付的约定：</w:t>
      </w:r>
      <w:r>
        <w:rPr>
          <w:rFonts w:hint="eastAsia" w:ascii="宋体" w:hAnsi="宋体" w:cs="宋体"/>
          <w:color w:val="000000"/>
          <w:sz w:val="21"/>
          <w:szCs w:val="21"/>
          <w:highlight w:val="none"/>
          <w:u w:val="single"/>
        </w:rPr>
        <w:t xml:space="preserve">   /    </w:t>
      </w:r>
      <w:r>
        <w:rPr>
          <w:rFonts w:hint="eastAsia" w:ascii="宋体" w:hAnsi="宋体" w:cs="宋体"/>
          <w:color w:val="000000"/>
          <w:sz w:val="21"/>
          <w:szCs w:val="21"/>
          <w:highlight w:val="none"/>
        </w:rPr>
        <w:t>。</w:t>
      </w:r>
    </w:p>
    <w:p w14:paraId="3DBE5D5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3.6 工程照管与成品、半成品保护</w:t>
      </w:r>
    </w:p>
    <w:p w14:paraId="2426FD11">
      <w:pPr>
        <w:spacing w:before="120" w:after="120"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承包人负责照管工程及工程相关的材料、工程设备的起始时间：</w:t>
      </w:r>
      <w:r>
        <w:rPr>
          <w:rFonts w:hint="eastAsia" w:ascii="宋体" w:hAnsi="宋体" w:cs="宋体"/>
          <w:color w:val="000000"/>
          <w:sz w:val="21"/>
          <w:szCs w:val="21"/>
          <w:highlight w:val="none"/>
          <w:u w:val="single"/>
        </w:rPr>
        <w:t>设备、人员进场至验收交付使用前由承包人负责，费用由承包人承担。</w:t>
      </w:r>
    </w:p>
    <w:p w14:paraId="0F8579C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3.7 履约担保</w:t>
      </w:r>
    </w:p>
    <w:p w14:paraId="0B9FA2D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承包人是否提供履约担保：</w:t>
      </w:r>
      <w:r>
        <w:rPr>
          <w:rFonts w:hint="eastAsia" w:ascii="宋体" w:hAnsi="宋体" w:cs="宋体"/>
          <w:color w:val="000000"/>
          <w:sz w:val="21"/>
          <w:szCs w:val="21"/>
          <w:highlight w:val="none"/>
          <w:u w:val="single"/>
        </w:rPr>
        <w:t xml:space="preserve"> 否 </w:t>
      </w:r>
    </w:p>
    <w:p w14:paraId="0D4DC7ED">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b/>
          <w:color w:val="000000"/>
          <w:sz w:val="21"/>
          <w:szCs w:val="21"/>
          <w:highlight w:val="none"/>
        </w:rPr>
        <w:t>四、监理人</w:t>
      </w:r>
    </w:p>
    <w:p w14:paraId="66E27A51">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4.1监理人的一般规定</w:t>
      </w:r>
    </w:p>
    <w:p w14:paraId="42BD4C2C">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关于监理人的监理内容：</w:t>
      </w:r>
      <w:r>
        <w:rPr>
          <w:rFonts w:hint="eastAsia" w:ascii="宋体" w:hAnsi="宋体" w:cs="宋体"/>
          <w:color w:val="000000"/>
          <w:sz w:val="21"/>
          <w:szCs w:val="21"/>
          <w:highlight w:val="none"/>
          <w:u w:val="single"/>
        </w:rPr>
        <w:t>本合同内所有的监理工作内容(详见监理合同)。</w:t>
      </w:r>
    </w:p>
    <w:p w14:paraId="3EBFDC4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关于监理人的监理权限：</w:t>
      </w:r>
    </w:p>
    <w:p w14:paraId="16A6055E">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(1)施工过程的质量、进度控制、合同管理和信息管理，施工中各种矛盾组织协调工作及全程监理；</w:t>
      </w:r>
    </w:p>
    <w:p w14:paraId="541C6D20">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(2)对工程建设有关事项包括工程规模、设计标准、规划设计、生产工艺设计和使用功能要求，向委托人的建议权；</w:t>
      </w:r>
    </w:p>
    <w:p w14:paraId="6371E3A6">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设计合同约定的质量标准时，监理人应当书面报告发包人并要求设计人更正；</w:t>
      </w:r>
    </w:p>
    <w:p w14:paraId="4D2249FB">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(4)审批工程施工组织设计和技术方案，按照保质量、保工期和降低成本的原则，向承包人提出建议，并向发包人提出书面报告；主持工程建设有关协作单位的组织协调，重要协调事项应当事先向发包人报告；征得发包人同意，监理人有权发布开工令、停工令、复工令，但应当事先向发包人报告。如在紧急情况下未能事先报告时，则应在24小时内向发包人作出书面报告；</w:t>
      </w:r>
    </w:p>
    <w:p w14:paraId="73DA5009">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(5)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2E56A1DA">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(6)工程施工进度的检查、监督权，以及工程实际竣工日期提前或超过工程施工合同规定的竣工期限的签认权；</w:t>
      </w:r>
    </w:p>
    <w:p w14:paraId="4FF38B44">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(7) 在工程施工合同约定的工程价格范围内，工程款支付的审核和签认权，以及工程结算的复核确认权与否决权。未经总监理工程师签字确认，发包人不支付工程款。</w:t>
      </w:r>
    </w:p>
    <w:p w14:paraId="54A68331">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关于监理人在施工现场的办公场所、生活场所的提供和费用承担的约定：</w:t>
      </w:r>
      <w:r>
        <w:rPr>
          <w:rFonts w:hint="eastAsia" w:ascii="宋体" w:hAnsi="宋体" w:cs="宋体"/>
          <w:color w:val="000000"/>
          <w:sz w:val="21"/>
          <w:szCs w:val="21"/>
          <w:highlight w:val="none"/>
          <w:u w:val="single"/>
        </w:rPr>
        <w:t>监理人在施工现场的办公场所由承包人提供，并由承包人承担办公场所的相关费用。</w:t>
      </w:r>
    </w:p>
    <w:p w14:paraId="39AB1543">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4.2 监理人员</w:t>
      </w:r>
    </w:p>
    <w:p w14:paraId="66D219FC">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总监理工程师：</w:t>
      </w:r>
    </w:p>
    <w:p w14:paraId="378C0BF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姓    名：</w:t>
      </w:r>
      <w:r>
        <w:rPr>
          <w:rFonts w:hint="eastAsia" w:ascii="宋体" w:hAnsi="宋体" w:cs="宋体"/>
          <w:color w:val="000000"/>
          <w:sz w:val="21"/>
          <w:szCs w:val="21"/>
          <w:highlight w:val="none"/>
          <w:u w:val="single"/>
        </w:rPr>
        <w:t xml:space="preserve">       </w:t>
      </w:r>
    </w:p>
    <w:p w14:paraId="40A5BD3D">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职    务：</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 xml:space="preserve">  </w:t>
      </w:r>
    </w:p>
    <w:p w14:paraId="66168B98">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监理工程师执业资格证书编号：</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w:t>
      </w:r>
    </w:p>
    <w:p w14:paraId="32B441E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注册号：</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w:t>
      </w:r>
    </w:p>
    <w:p w14:paraId="31D5D74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联系电话：</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w:t>
      </w:r>
    </w:p>
    <w:p w14:paraId="3D21CA2C">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关于监理人的其他约定：</w:t>
      </w:r>
      <w:r>
        <w:rPr>
          <w:rFonts w:hint="eastAsia" w:ascii="宋体" w:hAnsi="宋体" w:cs="宋体"/>
          <w:color w:val="000000"/>
          <w:sz w:val="21"/>
          <w:szCs w:val="21"/>
          <w:highlight w:val="none"/>
          <w:u w:val="single"/>
        </w:rPr>
        <w:t>需要取得发包人书面批准才能行使的职权：重大洽商、设计变更、工程签证、清单工程量的变动、工程款支付结算等。承包人知悉并接受该约定，未经发包人书面批准而监理人行使的职权所形成的书面文件视为无效文件，对发包人不具有法律约束力。</w:t>
      </w:r>
    </w:p>
    <w:p w14:paraId="0132410B">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b/>
          <w:color w:val="000000"/>
          <w:sz w:val="21"/>
          <w:szCs w:val="21"/>
          <w:highlight w:val="none"/>
        </w:rPr>
        <w:t>五、工程质量</w:t>
      </w:r>
    </w:p>
    <w:p w14:paraId="23D4491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5.1 质量要求</w:t>
      </w:r>
    </w:p>
    <w:p w14:paraId="1F7D3DEE">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5.1.1 特殊质量标准和要求：</w:t>
      </w:r>
      <w:r>
        <w:rPr>
          <w:rFonts w:hint="eastAsia" w:ascii="宋体" w:hAnsi="宋体" w:cs="宋体"/>
          <w:color w:val="000000"/>
          <w:sz w:val="21"/>
          <w:szCs w:val="21"/>
          <w:highlight w:val="none"/>
          <w:u w:val="single"/>
        </w:rPr>
        <w:t xml:space="preserve"> 执行《通用条款》 </w:t>
      </w:r>
      <w:r>
        <w:rPr>
          <w:rFonts w:hint="eastAsia" w:ascii="宋体" w:hAnsi="宋体" w:cs="宋体"/>
          <w:color w:val="000000"/>
          <w:sz w:val="21"/>
          <w:szCs w:val="21"/>
          <w:highlight w:val="none"/>
        </w:rPr>
        <w:t>。</w:t>
      </w:r>
    </w:p>
    <w:p w14:paraId="36CF9E28">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关于工程奖项的约定：</w:t>
      </w:r>
      <w:r>
        <w:rPr>
          <w:rFonts w:hint="eastAsia" w:ascii="宋体" w:hAnsi="宋体" w:cs="宋体"/>
          <w:color w:val="000000"/>
          <w:sz w:val="21"/>
          <w:szCs w:val="21"/>
          <w:highlight w:val="none"/>
          <w:u w:val="single"/>
        </w:rPr>
        <w:t xml:space="preserve">  无  </w:t>
      </w:r>
      <w:r>
        <w:rPr>
          <w:rFonts w:hint="eastAsia" w:ascii="宋体" w:hAnsi="宋体" w:cs="宋体"/>
          <w:color w:val="000000"/>
          <w:sz w:val="21"/>
          <w:szCs w:val="21"/>
          <w:highlight w:val="none"/>
        </w:rPr>
        <w:t>。</w:t>
      </w:r>
    </w:p>
    <w:p w14:paraId="61809FA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5.3 隐蔽工程检查</w:t>
      </w:r>
    </w:p>
    <w:p w14:paraId="39F4B49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5.3.2承包人提前通知监理人隐蔽工程检查的期限的约定：</w:t>
      </w:r>
      <w:r>
        <w:rPr>
          <w:rFonts w:hint="eastAsia" w:ascii="宋体" w:hAnsi="宋体" w:cs="宋体"/>
          <w:color w:val="000000"/>
          <w:sz w:val="21"/>
          <w:szCs w:val="21"/>
          <w:highlight w:val="none"/>
          <w:u w:val="single"/>
        </w:rPr>
        <w:t xml:space="preserve"> 共同检查前48小时书面通知监理人。</w:t>
      </w:r>
    </w:p>
    <w:p w14:paraId="42996D4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监理人不能按时进行检查时，应提前</w:t>
      </w:r>
      <w:r>
        <w:rPr>
          <w:rFonts w:hint="eastAsia" w:ascii="宋体" w:hAnsi="宋体" w:cs="宋体"/>
          <w:color w:val="000000"/>
          <w:sz w:val="21"/>
          <w:szCs w:val="21"/>
          <w:highlight w:val="none"/>
          <w:u w:val="single"/>
        </w:rPr>
        <w:t xml:space="preserve"> 24</w:t>
      </w:r>
      <w:r>
        <w:rPr>
          <w:rFonts w:hint="eastAsia" w:ascii="宋体" w:hAnsi="宋体" w:cs="宋体"/>
          <w:color w:val="000000"/>
          <w:sz w:val="21"/>
          <w:szCs w:val="21"/>
          <w:highlight w:val="none"/>
        </w:rPr>
        <w:t>小时提交书面延期要求。</w:t>
      </w:r>
    </w:p>
    <w:p w14:paraId="756E7D0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关于延期最长不得超过：</w:t>
      </w:r>
      <w:r>
        <w:rPr>
          <w:rFonts w:hint="eastAsia" w:ascii="宋体" w:hAnsi="宋体" w:cs="宋体"/>
          <w:color w:val="000000"/>
          <w:sz w:val="21"/>
          <w:szCs w:val="21"/>
          <w:highlight w:val="none"/>
          <w:u w:val="single"/>
        </w:rPr>
        <w:t xml:space="preserve"> 48 </w:t>
      </w:r>
      <w:r>
        <w:rPr>
          <w:rFonts w:hint="eastAsia" w:ascii="宋体" w:hAnsi="宋体" w:cs="宋体"/>
          <w:color w:val="000000"/>
          <w:sz w:val="21"/>
          <w:szCs w:val="21"/>
          <w:highlight w:val="none"/>
        </w:rPr>
        <w:t>小时。</w:t>
      </w:r>
    </w:p>
    <w:p w14:paraId="466EC5AB">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b/>
          <w:color w:val="000000"/>
          <w:sz w:val="21"/>
          <w:szCs w:val="21"/>
          <w:highlight w:val="none"/>
        </w:rPr>
        <w:t>六、安全文明施工与环境保护</w:t>
      </w:r>
    </w:p>
    <w:p w14:paraId="3FD05197">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6.1安全文明施工</w:t>
      </w:r>
    </w:p>
    <w:p w14:paraId="7C4E431A">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6.1.1 项目安全生产的达标目标及相应事项的约定：</w:t>
      </w:r>
      <w:r>
        <w:rPr>
          <w:rFonts w:hint="eastAsia" w:ascii="宋体" w:hAnsi="宋体" w:cs="宋体"/>
          <w:color w:val="000000"/>
          <w:sz w:val="21"/>
          <w:szCs w:val="21"/>
          <w:highlight w:val="none"/>
          <w:u w:val="single"/>
        </w:rPr>
        <w:t>承包人严格按西安市文明工地检查（验收）标准、西安市新冠疫情防疫方案等实施，安全施工。承包人按照国家和当地政府有关规定应采取的任何必要安全防护措施所需价款已包含在发包人支付的合同价款当中，发包人无需另行支付。</w:t>
      </w:r>
    </w:p>
    <w:p w14:paraId="40567428">
      <w:pPr>
        <w:pStyle w:val="13"/>
        <w:spacing w:line="360" w:lineRule="auto"/>
        <w:ind w:right="491" w:rightChars="234" w:firstLine="420" w:firstLineChars="200"/>
        <w:rPr>
          <w:rFonts w:hint="default"/>
          <w:kern w:val="2"/>
          <w:sz w:val="21"/>
          <w:szCs w:val="21"/>
          <w:highlight w:val="none"/>
          <w:u w:val="single"/>
        </w:rPr>
      </w:pPr>
      <w:r>
        <w:rPr>
          <w:kern w:val="2"/>
          <w:sz w:val="21"/>
          <w:szCs w:val="21"/>
          <w:highlight w:val="none"/>
          <w:u w:val="single"/>
        </w:rPr>
        <w:t xml:space="preserve">承包人承担由于自身措施不力造成事故的全部责任和因此发生的全部费用。安全目标为无死亡事故，工伤频率控制在西安市建筑施工安全管理法规规定的指标要求范围内。若发生工伤事故、传染病流行等，有关费用全部由承包人承担，因此给发包人造成损失的，还应按照发包人的实际损失承担赔偿责任。 </w:t>
      </w:r>
    </w:p>
    <w:p w14:paraId="55257526">
      <w:pPr>
        <w:spacing w:line="360" w:lineRule="auto"/>
        <w:ind w:firstLine="420" w:firstLineChars="200"/>
        <w:rPr>
          <w:rFonts w:ascii="宋体" w:hAnsi="宋体" w:cs="宋体"/>
          <w:sz w:val="21"/>
          <w:szCs w:val="21"/>
          <w:highlight w:val="none"/>
          <w:u w:val="single"/>
        </w:rPr>
      </w:pPr>
      <w:r>
        <w:rPr>
          <w:rFonts w:hint="eastAsia" w:ascii="宋体" w:hAnsi="宋体" w:cs="宋体"/>
          <w:sz w:val="21"/>
          <w:szCs w:val="21"/>
          <w:highlight w:val="none"/>
          <w:u w:val="single"/>
        </w:rPr>
        <w:t>承包人向发包人提交的施工组织设计须包含专项安全施工方案（包括高空作业、防坠落、施工防护等安全技术措施），并且须经过发包人评审通过后方可实施。</w:t>
      </w:r>
    </w:p>
    <w:p w14:paraId="3509F434">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6.1.4 关于治安保卫的特别约定：</w:t>
      </w:r>
      <w:r>
        <w:rPr>
          <w:rFonts w:hint="eastAsia" w:ascii="宋体" w:hAnsi="宋体" w:cs="宋体"/>
          <w:color w:val="000000"/>
          <w:sz w:val="21"/>
          <w:szCs w:val="21"/>
          <w:highlight w:val="none"/>
          <w:u w:val="single"/>
        </w:rPr>
        <w:t>由承包人负责</w:t>
      </w:r>
      <w:r>
        <w:rPr>
          <w:rFonts w:hint="eastAsia" w:ascii="宋体" w:hAnsi="宋体" w:cs="宋体"/>
          <w:color w:val="000000"/>
          <w:sz w:val="21"/>
          <w:szCs w:val="21"/>
          <w:highlight w:val="none"/>
        </w:rPr>
        <w:t>。</w:t>
      </w:r>
    </w:p>
    <w:p w14:paraId="0F87E73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关于编制施工场地治安管理计划的约定：</w:t>
      </w:r>
      <w:r>
        <w:rPr>
          <w:rFonts w:hint="eastAsia" w:ascii="宋体" w:hAnsi="宋体" w:cs="宋体"/>
          <w:color w:val="000000"/>
          <w:sz w:val="21"/>
          <w:szCs w:val="21"/>
          <w:highlight w:val="none"/>
          <w:u w:val="single"/>
        </w:rPr>
        <w:t>由承包人负责</w:t>
      </w:r>
      <w:r>
        <w:rPr>
          <w:rFonts w:hint="eastAsia" w:ascii="宋体" w:hAnsi="宋体" w:cs="宋体"/>
          <w:color w:val="000000"/>
          <w:sz w:val="21"/>
          <w:szCs w:val="21"/>
          <w:highlight w:val="none"/>
        </w:rPr>
        <w:t>。</w:t>
      </w:r>
    </w:p>
    <w:p w14:paraId="20CAB0F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6.1.5 文明施工</w:t>
      </w:r>
    </w:p>
    <w:p w14:paraId="1D014DD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合同当事人对文明施工的要求：</w:t>
      </w:r>
      <w:r>
        <w:rPr>
          <w:rFonts w:hint="eastAsia" w:ascii="宋体" w:hAnsi="宋体" w:cs="宋体"/>
          <w:color w:val="000000"/>
          <w:sz w:val="21"/>
          <w:szCs w:val="21"/>
          <w:highlight w:val="none"/>
          <w:u w:val="single"/>
        </w:rPr>
        <w:t>安全防护、文明施工达到国家、地区政府有关安全和文明施工各项条款规定</w:t>
      </w:r>
      <w:r>
        <w:rPr>
          <w:rFonts w:hint="eastAsia" w:ascii="宋体" w:hAnsi="宋体" w:cs="宋体"/>
          <w:color w:val="000000"/>
          <w:sz w:val="21"/>
          <w:szCs w:val="21"/>
          <w:highlight w:val="none"/>
        </w:rPr>
        <w:t>。</w:t>
      </w:r>
    </w:p>
    <w:p w14:paraId="722DE01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6.1.6 关于安全文明施工费支付比例和支付期限的约定：</w:t>
      </w:r>
      <w:r>
        <w:rPr>
          <w:rFonts w:hint="eastAsia" w:ascii="宋体" w:hAnsi="宋体" w:cs="宋体"/>
          <w:color w:val="000000"/>
          <w:sz w:val="21"/>
          <w:szCs w:val="21"/>
          <w:highlight w:val="none"/>
          <w:u w:val="single"/>
        </w:rPr>
        <w:t>安全及文明施工措施费在施工合同签订并进场后7个工作日内一次性100%付给施工单位。</w:t>
      </w:r>
    </w:p>
    <w:p w14:paraId="6D53DE3A">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b/>
          <w:color w:val="000000"/>
          <w:sz w:val="21"/>
          <w:szCs w:val="21"/>
          <w:highlight w:val="none"/>
        </w:rPr>
        <w:t>七、工期和进度</w:t>
      </w:r>
    </w:p>
    <w:p w14:paraId="3619CDC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7.1 施工组织设计</w:t>
      </w:r>
    </w:p>
    <w:p w14:paraId="1C44770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7.1.1 合同当事人约定的施工组织设计应包括的其他内容：</w:t>
      </w:r>
      <w:r>
        <w:rPr>
          <w:rFonts w:hint="eastAsia" w:ascii="宋体" w:hAnsi="宋体" w:cs="宋体"/>
          <w:color w:val="000000"/>
          <w:sz w:val="21"/>
          <w:szCs w:val="21"/>
          <w:highlight w:val="none"/>
          <w:u w:val="single"/>
        </w:rPr>
        <w:t xml:space="preserve">  /   </w:t>
      </w:r>
      <w:r>
        <w:rPr>
          <w:rFonts w:hint="eastAsia" w:ascii="宋体" w:hAnsi="宋体" w:cs="宋体"/>
          <w:color w:val="000000"/>
          <w:sz w:val="21"/>
          <w:szCs w:val="21"/>
          <w:highlight w:val="none"/>
        </w:rPr>
        <w:t>。</w:t>
      </w:r>
    </w:p>
    <w:p w14:paraId="0AFEC91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7.1.2 施工组织设计的提交和修改</w:t>
      </w:r>
    </w:p>
    <w:p w14:paraId="798DAD71">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承包人提交详细施工组织设计的期限的约定：</w:t>
      </w:r>
      <w:r>
        <w:rPr>
          <w:rFonts w:hint="eastAsia" w:ascii="宋体" w:hAnsi="宋体" w:cs="宋体"/>
          <w:sz w:val="21"/>
          <w:szCs w:val="21"/>
          <w:highlight w:val="none"/>
          <w:u w:val="single"/>
        </w:rPr>
        <w:t>开工前3日内提供施工组织设计</w:t>
      </w:r>
      <w:r>
        <w:rPr>
          <w:rFonts w:hint="eastAsia" w:ascii="宋体" w:hAnsi="宋体" w:cs="宋体"/>
          <w:sz w:val="21"/>
          <w:szCs w:val="21"/>
          <w:highlight w:val="none"/>
        </w:rPr>
        <w:t>。</w:t>
      </w:r>
    </w:p>
    <w:p w14:paraId="17304B7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发包人和监理人在收到详细的施工组织设计后确认或提出修改意见的期限：</w:t>
      </w:r>
      <w:r>
        <w:rPr>
          <w:rFonts w:hint="eastAsia" w:ascii="宋体" w:hAnsi="宋体" w:cs="宋体"/>
          <w:sz w:val="21"/>
          <w:szCs w:val="21"/>
          <w:highlight w:val="none"/>
          <w:u w:val="single"/>
        </w:rPr>
        <w:t>收到施工组织设计后7日内确认或提出修改意见</w:t>
      </w:r>
      <w:r>
        <w:rPr>
          <w:rFonts w:hint="eastAsia" w:ascii="宋体" w:hAnsi="宋体" w:cs="宋体"/>
          <w:sz w:val="21"/>
          <w:szCs w:val="21"/>
          <w:highlight w:val="none"/>
        </w:rPr>
        <w:t>。</w:t>
      </w:r>
    </w:p>
    <w:p w14:paraId="2009981C">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7.2 施工进度计划</w:t>
      </w:r>
    </w:p>
    <w:p w14:paraId="276A402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7.2.2施工进度计划的修订</w:t>
      </w:r>
    </w:p>
    <w:p w14:paraId="40973AF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发包人和监理人在收到修订的施工进度计划后确认或提出修改意见的期限：</w:t>
      </w:r>
      <w:r>
        <w:rPr>
          <w:rFonts w:hint="eastAsia" w:ascii="宋体" w:hAnsi="宋体" w:cs="宋体"/>
          <w:color w:val="000000"/>
          <w:sz w:val="21"/>
          <w:szCs w:val="21"/>
          <w:highlight w:val="none"/>
          <w:u w:val="single"/>
        </w:rPr>
        <w:t>接到相关文件后七天内审定</w:t>
      </w:r>
      <w:r>
        <w:rPr>
          <w:rFonts w:hint="eastAsia" w:ascii="宋体" w:hAnsi="宋体" w:cs="宋体"/>
          <w:color w:val="000000"/>
          <w:sz w:val="21"/>
          <w:szCs w:val="21"/>
          <w:highlight w:val="none"/>
        </w:rPr>
        <w:t>。</w:t>
      </w:r>
    </w:p>
    <w:p w14:paraId="0C14C9A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7.3 开工</w:t>
      </w:r>
    </w:p>
    <w:p w14:paraId="321A53B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7.3.1开工准备</w:t>
      </w:r>
    </w:p>
    <w:p w14:paraId="06A2685F">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关于承包人提交工程开工报审表的期限：</w:t>
      </w:r>
      <w:r>
        <w:rPr>
          <w:rFonts w:hint="eastAsia" w:ascii="宋体" w:hAnsi="宋体" w:cs="宋体"/>
          <w:color w:val="000000"/>
          <w:sz w:val="21"/>
          <w:szCs w:val="21"/>
          <w:highlight w:val="none"/>
          <w:u w:val="single"/>
        </w:rPr>
        <w:t>开工前3日内。</w:t>
      </w:r>
    </w:p>
    <w:p w14:paraId="6F7063B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关于发包人应完成的其他开工准备工作及期限：</w:t>
      </w:r>
      <w:r>
        <w:rPr>
          <w:rFonts w:hint="eastAsia" w:ascii="宋体" w:hAnsi="宋体" w:cs="宋体"/>
          <w:color w:val="000000"/>
          <w:sz w:val="21"/>
          <w:szCs w:val="21"/>
          <w:highlight w:val="none"/>
          <w:u w:val="single"/>
        </w:rPr>
        <w:t xml:space="preserve"> 执行《通用条款》</w:t>
      </w:r>
      <w:r>
        <w:rPr>
          <w:rFonts w:hint="eastAsia" w:ascii="宋体" w:hAnsi="宋体" w:cs="宋体"/>
          <w:color w:val="000000"/>
          <w:sz w:val="21"/>
          <w:szCs w:val="21"/>
          <w:highlight w:val="none"/>
        </w:rPr>
        <w:t>。</w:t>
      </w:r>
    </w:p>
    <w:p w14:paraId="271939D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关于承包人应完成的其他开工准备工作及期限：</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3465491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7.4 测量放线</w:t>
      </w:r>
    </w:p>
    <w:p w14:paraId="03DDEC67">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7.4.1发包人通过监理人向承包人提供测量基准点、基准线和水准点及其书面资料的期限：</w:t>
      </w:r>
      <w:r>
        <w:rPr>
          <w:rFonts w:hint="eastAsia" w:ascii="宋体" w:hAnsi="宋体" w:cs="宋体"/>
          <w:color w:val="000000"/>
          <w:sz w:val="21"/>
          <w:szCs w:val="21"/>
          <w:highlight w:val="none"/>
          <w:u w:val="single"/>
        </w:rPr>
        <w:t>开工前7日</w:t>
      </w:r>
      <w:r>
        <w:rPr>
          <w:rFonts w:hint="eastAsia" w:ascii="宋体" w:hAnsi="宋体" w:cs="宋体"/>
          <w:color w:val="000000"/>
          <w:sz w:val="21"/>
          <w:szCs w:val="21"/>
          <w:highlight w:val="none"/>
        </w:rPr>
        <w:t>。</w:t>
      </w:r>
    </w:p>
    <w:p w14:paraId="59D088B1">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7.5 工期延误</w:t>
      </w:r>
    </w:p>
    <w:p w14:paraId="2316AC3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7.5.1 因发包人原因导致工期延误</w:t>
      </w:r>
    </w:p>
    <w:p w14:paraId="06E3858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因发包人原因导致工期延误的其他情形</w:t>
      </w:r>
      <w:r>
        <w:rPr>
          <w:rFonts w:hint="eastAsia" w:ascii="宋体" w:hAnsi="宋体" w:cs="宋体"/>
          <w:color w:val="000000"/>
          <w:sz w:val="21"/>
          <w:szCs w:val="21"/>
          <w:highlight w:val="none"/>
          <w:u w:val="single"/>
        </w:rPr>
        <w:t>：（1）若发包人临时停电、停水在8小时以内对施工造成影响，不顺延工期。如连续停电、停水8小时以上并给承包人施工造成实质性延误（主要指塔吊不能正常运行，施工电梯不能正常运行）的在承包人申请工期延期后做相应顺延。（2）在施工过程中因设计变更引起承包人不能正常施工，承包人应随时进行工种调整，不计取误工费。</w:t>
      </w:r>
    </w:p>
    <w:p w14:paraId="3F1385E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7.5.2 因承包人原因导致工期延误</w:t>
      </w:r>
    </w:p>
    <w:p w14:paraId="2EA67AB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因承包人原因造成工期延误，</w:t>
      </w:r>
      <w:r>
        <w:rPr>
          <w:rFonts w:hint="eastAsia" w:ascii="宋体" w:hAnsi="宋体" w:cs="宋体"/>
          <w:color w:val="000000"/>
          <w:sz w:val="21"/>
          <w:szCs w:val="21"/>
          <w:highlight w:val="none"/>
          <w:u w:val="single"/>
        </w:rPr>
        <w:t>逾期竣工违约金的计算方法为：工期每推迟一天除承担5000元/天的违约金外，若影响到发包人使用时，应另赔偿由此给发包人造成的损失。逾期天数超出30天的，发包人有权单方解除合同。</w:t>
      </w:r>
    </w:p>
    <w:p w14:paraId="40CE899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因承包人原因造成工期延误，逾期竣工违约金的上限：</w:t>
      </w:r>
      <w:r>
        <w:rPr>
          <w:rFonts w:hint="eastAsia" w:ascii="宋体" w:hAnsi="宋体" w:cs="宋体"/>
          <w:color w:val="000000"/>
          <w:sz w:val="21"/>
          <w:szCs w:val="21"/>
          <w:highlight w:val="none"/>
          <w:u w:val="single"/>
          <w:lang w:eastAsia="zh-CN"/>
        </w:rPr>
        <w:t>签约</w:t>
      </w:r>
      <w:r>
        <w:rPr>
          <w:rFonts w:hint="eastAsia" w:ascii="宋体" w:hAnsi="宋体" w:cs="宋体"/>
          <w:color w:val="000000"/>
          <w:sz w:val="21"/>
          <w:szCs w:val="21"/>
          <w:highlight w:val="none"/>
          <w:u w:val="single"/>
        </w:rPr>
        <w:t>合同总价的10%</w:t>
      </w:r>
      <w:r>
        <w:rPr>
          <w:rFonts w:hint="eastAsia" w:ascii="宋体" w:hAnsi="宋体" w:cs="宋体"/>
          <w:color w:val="000000"/>
          <w:sz w:val="21"/>
          <w:szCs w:val="21"/>
          <w:highlight w:val="none"/>
        </w:rPr>
        <w:t xml:space="preserve"> 。</w:t>
      </w:r>
    </w:p>
    <w:p w14:paraId="21667EA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7.6 不利物质条件</w:t>
      </w:r>
    </w:p>
    <w:p w14:paraId="7FFC779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不利物质条件的其他情形和有关约定</w:t>
      </w:r>
      <w:r>
        <w:rPr>
          <w:rFonts w:hint="eastAsia" w:ascii="宋体" w:hAnsi="宋体" w:cs="宋体"/>
          <w:color w:val="000000"/>
          <w:sz w:val="21"/>
          <w:szCs w:val="21"/>
          <w:highlight w:val="none"/>
          <w:u w:val="single"/>
        </w:rPr>
        <w:t>：执行《通用条款》</w:t>
      </w:r>
    </w:p>
    <w:p w14:paraId="65F18A6B">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7.7异常恶劣的气候条件</w:t>
      </w:r>
    </w:p>
    <w:p w14:paraId="23F865A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发包人和承包人同意以下情形视为异常恶劣的气候条件：</w:t>
      </w:r>
    </w:p>
    <w:p w14:paraId="34E9A1ED">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（1）</w:t>
      </w:r>
      <w:r>
        <w:rPr>
          <w:rFonts w:hint="eastAsia" w:ascii="宋体" w:hAnsi="宋体" w:cs="宋体"/>
          <w:sz w:val="21"/>
          <w:szCs w:val="21"/>
          <w:highlight w:val="none"/>
          <w:u w:val="single"/>
        </w:rPr>
        <w:t>七级以上大风连续8小时</w:t>
      </w:r>
      <w:r>
        <w:rPr>
          <w:rFonts w:hint="eastAsia" w:ascii="宋体" w:hAnsi="宋体" w:cs="宋体"/>
          <w:sz w:val="21"/>
          <w:szCs w:val="21"/>
          <w:highlight w:val="none"/>
        </w:rPr>
        <w:t>；</w:t>
      </w:r>
    </w:p>
    <w:p w14:paraId="0941D18B">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（2）</w:t>
      </w:r>
      <w:r>
        <w:rPr>
          <w:rFonts w:hint="eastAsia" w:ascii="宋体" w:hAnsi="宋体" w:cs="宋体"/>
          <w:sz w:val="21"/>
          <w:szCs w:val="21"/>
          <w:highlight w:val="none"/>
          <w:u w:val="single"/>
        </w:rPr>
        <w:t>降雨量30~50毫米/小时的突降暴雨连续日气</w:t>
      </w:r>
      <w:r>
        <w:rPr>
          <w:rFonts w:hint="eastAsia" w:ascii="宋体" w:hAnsi="宋体" w:cs="宋体"/>
          <w:sz w:val="21"/>
          <w:szCs w:val="21"/>
          <w:highlight w:val="none"/>
        </w:rPr>
        <w:t>；</w:t>
      </w:r>
    </w:p>
    <w:p w14:paraId="54765E21">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（3）</w:t>
      </w:r>
      <w:r>
        <w:rPr>
          <w:rFonts w:hint="eastAsia" w:ascii="宋体" w:hAnsi="宋体" w:cs="宋体"/>
          <w:sz w:val="21"/>
          <w:szCs w:val="21"/>
          <w:highlight w:val="none"/>
          <w:u w:val="single"/>
        </w:rPr>
        <w:t>降雪量为100MM/H以上或连续三日降雪量300MM</w:t>
      </w:r>
      <w:r>
        <w:rPr>
          <w:rFonts w:hint="eastAsia" w:ascii="宋体" w:hAnsi="宋体" w:cs="宋体"/>
          <w:sz w:val="21"/>
          <w:szCs w:val="21"/>
          <w:highlight w:val="none"/>
        </w:rPr>
        <w:t>；</w:t>
      </w:r>
    </w:p>
    <w:p w14:paraId="2B3ECE20">
      <w:pPr>
        <w:spacing w:line="360" w:lineRule="auto"/>
        <w:ind w:firstLine="420" w:firstLineChars="200"/>
        <w:jc w:val="left"/>
        <w:rPr>
          <w:rFonts w:ascii="宋体" w:hAnsi="宋体" w:cs="宋体"/>
          <w:sz w:val="21"/>
          <w:szCs w:val="21"/>
          <w:highlight w:val="none"/>
          <w:u w:val="single"/>
        </w:rPr>
      </w:pPr>
      <w:r>
        <w:rPr>
          <w:rFonts w:hint="eastAsia" w:ascii="宋体" w:hAnsi="宋体" w:cs="宋体"/>
          <w:sz w:val="21"/>
          <w:szCs w:val="21"/>
          <w:highlight w:val="none"/>
        </w:rPr>
        <w:t>（4）</w:t>
      </w:r>
      <w:r>
        <w:rPr>
          <w:rFonts w:hint="eastAsia" w:ascii="宋体" w:hAnsi="宋体" w:cs="宋体"/>
          <w:sz w:val="21"/>
          <w:szCs w:val="21"/>
          <w:highlight w:val="none"/>
          <w:u w:val="single"/>
        </w:rPr>
        <w:t>特大洪水</w:t>
      </w:r>
      <w:r>
        <w:rPr>
          <w:rFonts w:hint="eastAsia" w:ascii="宋体" w:hAnsi="宋体" w:cs="宋体"/>
          <w:sz w:val="21"/>
          <w:szCs w:val="21"/>
          <w:highlight w:val="none"/>
        </w:rPr>
        <w:t>。</w:t>
      </w:r>
    </w:p>
    <w:p w14:paraId="6E3CF03E">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b/>
          <w:color w:val="000000"/>
          <w:sz w:val="21"/>
          <w:szCs w:val="21"/>
          <w:highlight w:val="none"/>
        </w:rPr>
        <w:t>八、材料与设备</w:t>
      </w:r>
    </w:p>
    <w:p w14:paraId="68BEDEEA">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8.2承包人采购材料与工程设备</w:t>
      </w:r>
    </w:p>
    <w:p w14:paraId="114F772A">
      <w:pPr>
        <w:spacing w:line="360" w:lineRule="auto"/>
        <w:ind w:firstLine="420" w:firstLineChars="200"/>
        <w:jc w:val="left"/>
        <w:rPr>
          <w:rFonts w:ascii="宋体" w:hAnsi="宋体" w:cs="宋体"/>
          <w:sz w:val="21"/>
          <w:szCs w:val="21"/>
          <w:highlight w:val="none"/>
          <w:u w:val="single"/>
        </w:rPr>
      </w:pPr>
      <w:r>
        <w:rPr>
          <w:rFonts w:hint="eastAsia" w:ascii="宋体" w:hAnsi="宋体" w:cs="宋体"/>
          <w:sz w:val="21"/>
          <w:szCs w:val="21"/>
          <w:highlight w:val="none"/>
          <w:u w:val="single"/>
        </w:rPr>
        <w:t>1、本工程所用材料、设备由承包人自行采购部分要求如下：</w:t>
      </w:r>
    </w:p>
    <w:p w14:paraId="64B05B60">
      <w:pPr>
        <w:spacing w:line="360" w:lineRule="auto"/>
        <w:ind w:firstLine="420" w:firstLineChars="200"/>
        <w:jc w:val="left"/>
        <w:rPr>
          <w:rFonts w:ascii="宋体" w:hAnsi="宋体" w:cs="宋体"/>
          <w:sz w:val="21"/>
          <w:szCs w:val="21"/>
          <w:highlight w:val="none"/>
          <w:u w:val="single"/>
        </w:rPr>
      </w:pPr>
      <w:r>
        <w:rPr>
          <w:rFonts w:hint="eastAsia" w:ascii="宋体" w:hAnsi="宋体" w:cs="宋体"/>
          <w:sz w:val="21"/>
          <w:szCs w:val="21"/>
          <w:highlight w:val="none"/>
        </w:rPr>
        <w:t>（1）</w:t>
      </w:r>
      <w:r>
        <w:rPr>
          <w:rFonts w:hint="eastAsia" w:ascii="宋体" w:hAnsi="宋体" w:cs="宋体"/>
          <w:sz w:val="21"/>
          <w:szCs w:val="21"/>
          <w:highlight w:val="none"/>
          <w:u w:val="single"/>
        </w:rPr>
        <w:t>承包人提供自购计划的要求：</w:t>
      </w:r>
    </w:p>
    <w:p w14:paraId="07AE990D">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u w:val="single"/>
        </w:rPr>
        <w:t xml:space="preserve">材料设备总计划在施工图具备后一个月内提交发包人，并于每月20日前提交次月材料进场月计划，承包人不及时上报计划，每延误一日支付3000元违约金 </w:t>
      </w:r>
      <w:r>
        <w:rPr>
          <w:rFonts w:hint="eastAsia" w:ascii="宋体" w:hAnsi="宋体" w:cs="宋体"/>
          <w:sz w:val="21"/>
          <w:szCs w:val="21"/>
          <w:highlight w:val="none"/>
        </w:rPr>
        <w:t>。</w:t>
      </w:r>
    </w:p>
    <w:p w14:paraId="40489F34">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（2）</w:t>
      </w:r>
      <w:r>
        <w:rPr>
          <w:rFonts w:hint="eastAsia" w:ascii="宋体" w:hAnsi="宋体" w:cs="宋体"/>
          <w:sz w:val="21"/>
          <w:szCs w:val="21"/>
          <w:highlight w:val="none"/>
          <w:u w:val="single"/>
        </w:rPr>
        <w:t>施工过程中必须按</w:t>
      </w:r>
      <w:r>
        <w:rPr>
          <w:rFonts w:hint="eastAsia" w:ascii="宋体" w:hAnsi="宋体" w:cs="宋体"/>
          <w:sz w:val="21"/>
          <w:szCs w:val="21"/>
          <w:highlight w:val="none"/>
          <w:u w:val="single"/>
          <w:lang w:eastAsia="zh-CN"/>
        </w:rPr>
        <w:t>竞争性磋商文件</w:t>
      </w:r>
      <w:r>
        <w:rPr>
          <w:rFonts w:hint="eastAsia" w:ascii="宋体" w:hAnsi="宋体" w:cs="宋体"/>
          <w:sz w:val="21"/>
          <w:szCs w:val="21"/>
          <w:highlight w:val="none"/>
          <w:u w:val="single"/>
        </w:rPr>
        <w:t>、图纸及本合同推荐的品牌档次进行采购，不允许承包人擅自降低材料、设备档次，采购前报监理单位和建设单位的相关部门批准后，方可进行采购，所选材料设备必须符合国家行业部门检测的合格产品，符合国家环境污染控制有关规定，具备出厂证明、质量检验证、产品合格证及相关检验证明。使用前报监理单位、发包人确认后方可用于本工程，否则按照不合格产品对待，由此造成的经济损失由承包人承担。承包人在</w:t>
      </w:r>
      <w:r>
        <w:rPr>
          <w:rFonts w:hint="eastAsia" w:ascii="宋体" w:hAnsi="宋体" w:cs="宋体"/>
          <w:sz w:val="21"/>
          <w:szCs w:val="21"/>
          <w:highlight w:val="none"/>
          <w:u w:val="single"/>
          <w:lang w:eastAsia="zh-CN"/>
        </w:rPr>
        <w:t>磋商</w:t>
      </w:r>
      <w:r>
        <w:rPr>
          <w:rFonts w:hint="eastAsia" w:ascii="宋体" w:hAnsi="宋体" w:cs="宋体"/>
          <w:sz w:val="21"/>
          <w:szCs w:val="21"/>
          <w:highlight w:val="none"/>
          <w:u w:val="single"/>
        </w:rPr>
        <w:t>报价时未按</w:t>
      </w:r>
      <w:r>
        <w:rPr>
          <w:rFonts w:hint="eastAsia" w:ascii="宋体" w:hAnsi="宋体" w:cs="宋体"/>
          <w:sz w:val="21"/>
          <w:szCs w:val="21"/>
          <w:highlight w:val="none"/>
          <w:u w:val="single"/>
          <w:lang w:eastAsia="zh-CN"/>
        </w:rPr>
        <w:t>竞争性磋商文件</w:t>
      </w:r>
      <w:r>
        <w:rPr>
          <w:rFonts w:hint="eastAsia" w:ascii="宋体" w:hAnsi="宋体" w:cs="宋体"/>
          <w:sz w:val="21"/>
          <w:szCs w:val="21"/>
          <w:highlight w:val="none"/>
          <w:u w:val="single"/>
        </w:rPr>
        <w:t>要求注明材料、设备品牌的，发包人有权更换推荐的品牌，且材料、设备价以不利于承包人的价格进行结算。工程施工中承包人应使用符合设计和规范要求的合格产品，施工前须经发包人和监理方认质后（发包人特殊材料需提前封样，进场材料需要与封样产品保持一致，否则发包人不予确认且不得进入结算），方可用于本工程。因承包人对市场价格波动考虑不周导致投标时的价格与实际发生偏差，发包人对此不予调整</w:t>
      </w:r>
      <w:r>
        <w:rPr>
          <w:rFonts w:hint="eastAsia" w:ascii="宋体" w:hAnsi="宋体" w:cs="宋体"/>
          <w:sz w:val="21"/>
          <w:szCs w:val="21"/>
          <w:highlight w:val="none"/>
        </w:rPr>
        <w:t>。</w:t>
      </w:r>
    </w:p>
    <w:p w14:paraId="44628B6B">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8.4材料与工程设备的保管与使用</w:t>
      </w:r>
    </w:p>
    <w:p w14:paraId="774B6175">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8.4.1发包人供应的材料设备的保管费用的承担：</w:t>
      </w:r>
      <w:r>
        <w:rPr>
          <w:rFonts w:hint="eastAsia" w:ascii="宋体" w:hAnsi="宋体" w:cs="宋体"/>
          <w:sz w:val="21"/>
          <w:szCs w:val="21"/>
          <w:highlight w:val="none"/>
          <w:u w:val="single"/>
        </w:rPr>
        <w:t>发包人不供应材料设备</w:t>
      </w:r>
      <w:r>
        <w:rPr>
          <w:rFonts w:hint="eastAsia" w:ascii="宋体" w:hAnsi="宋体" w:cs="宋体"/>
          <w:sz w:val="21"/>
          <w:szCs w:val="21"/>
          <w:highlight w:val="none"/>
        </w:rPr>
        <w:t>。</w:t>
      </w:r>
    </w:p>
    <w:p w14:paraId="6A1485CD">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8.6 样品</w:t>
      </w:r>
    </w:p>
    <w:p w14:paraId="158447FF">
      <w:pPr>
        <w:spacing w:line="360" w:lineRule="auto"/>
        <w:ind w:firstLine="420" w:firstLineChars="200"/>
        <w:jc w:val="left"/>
        <w:rPr>
          <w:rFonts w:ascii="宋体" w:hAnsi="宋体" w:cs="宋体"/>
          <w:kern w:val="0"/>
          <w:sz w:val="21"/>
          <w:szCs w:val="21"/>
          <w:highlight w:val="none"/>
        </w:rPr>
      </w:pPr>
      <w:r>
        <w:rPr>
          <w:rFonts w:hint="eastAsia" w:ascii="宋体" w:hAnsi="宋体" w:cs="宋体"/>
          <w:kern w:val="0"/>
          <w:sz w:val="21"/>
          <w:szCs w:val="21"/>
          <w:highlight w:val="none"/>
        </w:rPr>
        <w:t>8.6.1样品的报送与封存</w:t>
      </w:r>
    </w:p>
    <w:p w14:paraId="2AD62C66">
      <w:pPr>
        <w:spacing w:line="360" w:lineRule="auto"/>
        <w:ind w:firstLine="420" w:firstLineChars="200"/>
        <w:jc w:val="left"/>
        <w:rPr>
          <w:rFonts w:ascii="宋体" w:hAnsi="宋体" w:cs="宋体"/>
          <w:sz w:val="21"/>
          <w:szCs w:val="21"/>
          <w:highlight w:val="none"/>
        </w:rPr>
      </w:pPr>
      <w:r>
        <w:rPr>
          <w:rFonts w:hint="eastAsia" w:ascii="宋体" w:hAnsi="宋体" w:cs="宋体"/>
          <w:kern w:val="0"/>
          <w:sz w:val="21"/>
          <w:szCs w:val="21"/>
          <w:highlight w:val="none"/>
        </w:rPr>
        <w:t>需要承包人报送样品的材料或工程设备，样品的种类、名称、规格、数量要求：</w:t>
      </w:r>
      <w:r>
        <w:rPr>
          <w:rFonts w:hint="eastAsia" w:ascii="宋体" w:hAnsi="宋体" w:cs="宋体"/>
          <w:sz w:val="21"/>
          <w:szCs w:val="21"/>
          <w:highlight w:val="none"/>
          <w:u w:val="single"/>
        </w:rPr>
        <w:t>按照发包人材料管理相关制度要求执行，并满足现场发包人代表及监理的要求</w:t>
      </w:r>
      <w:r>
        <w:rPr>
          <w:rFonts w:hint="eastAsia" w:ascii="宋体" w:hAnsi="宋体" w:cs="宋体"/>
          <w:sz w:val="21"/>
          <w:szCs w:val="21"/>
          <w:highlight w:val="none"/>
        </w:rPr>
        <w:t>。</w:t>
      </w:r>
    </w:p>
    <w:p w14:paraId="13206C08">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8.8 施工设备和临时设施</w:t>
      </w:r>
    </w:p>
    <w:p w14:paraId="0DD0D6C7">
      <w:pPr>
        <w:spacing w:line="360" w:lineRule="auto"/>
        <w:ind w:firstLine="420" w:firstLineChars="200"/>
        <w:jc w:val="left"/>
        <w:rPr>
          <w:rFonts w:ascii="宋体" w:hAnsi="宋体" w:cs="宋体"/>
          <w:sz w:val="21"/>
          <w:szCs w:val="21"/>
          <w:highlight w:val="none"/>
        </w:rPr>
      </w:pPr>
      <w:r>
        <w:rPr>
          <w:rFonts w:hint="eastAsia" w:ascii="宋体" w:hAnsi="宋体" w:cs="宋体"/>
          <w:sz w:val="21"/>
          <w:szCs w:val="21"/>
          <w:highlight w:val="none"/>
        </w:rPr>
        <w:t>8.8.1 承包人提供的施工设备和临时设施</w:t>
      </w:r>
    </w:p>
    <w:p w14:paraId="3939339C">
      <w:pPr>
        <w:spacing w:line="360" w:lineRule="auto"/>
        <w:ind w:firstLine="420" w:firstLineChars="200"/>
        <w:jc w:val="left"/>
        <w:rPr>
          <w:rFonts w:ascii="宋体" w:hAnsi="宋体" w:cs="宋体"/>
          <w:color w:val="000000"/>
          <w:sz w:val="21"/>
          <w:szCs w:val="21"/>
          <w:highlight w:val="none"/>
        </w:rPr>
      </w:pPr>
      <w:r>
        <w:rPr>
          <w:rFonts w:hint="eastAsia" w:ascii="宋体" w:hAnsi="宋体" w:cs="宋体"/>
          <w:sz w:val="21"/>
          <w:szCs w:val="21"/>
          <w:highlight w:val="none"/>
        </w:rPr>
        <w:t>关于修建临时设施费用承担的约定：</w:t>
      </w:r>
      <w:r>
        <w:rPr>
          <w:rFonts w:hint="eastAsia" w:ascii="宋体" w:hAnsi="宋体" w:cs="宋体"/>
          <w:sz w:val="21"/>
          <w:szCs w:val="21"/>
          <w:highlight w:val="none"/>
          <w:u w:val="single"/>
        </w:rPr>
        <w:t>由承包人承担。</w:t>
      </w:r>
    </w:p>
    <w:p w14:paraId="152841EE">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b/>
          <w:color w:val="000000"/>
          <w:sz w:val="21"/>
          <w:szCs w:val="21"/>
          <w:highlight w:val="none"/>
        </w:rPr>
        <w:t>九、试验与检验</w:t>
      </w:r>
    </w:p>
    <w:p w14:paraId="5D60F39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9.1试验设备与试验人员</w:t>
      </w:r>
    </w:p>
    <w:p w14:paraId="5006C5A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9.1.2试验设备</w:t>
      </w:r>
    </w:p>
    <w:p w14:paraId="6F6F73D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施工现场需要配置的试验场所：</w:t>
      </w:r>
      <w:r>
        <w:rPr>
          <w:rFonts w:hint="eastAsia" w:ascii="宋体" w:hAnsi="宋体" w:cs="宋体"/>
          <w:color w:val="000000"/>
          <w:sz w:val="21"/>
          <w:szCs w:val="21"/>
          <w:highlight w:val="none"/>
          <w:u w:val="single"/>
        </w:rPr>
        <w:t xml:space="preserve">  由承包人提供  </w:t>
      </w:r>
    </w:p>
    <w:p w14:paraId="5D09ADE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施工现场需要配备的试验设备：</w:t>
      </w:r>
      <w:r>
        <w:rPr>
          <w:rFonts w:hint="eastAsia" w:ascii="宋体" w:hAnsi="宋体" w:cs="宋体"/>
          <w:color w:val="000000"/>
          <w:sz w:val="21"/>
          <w:szCs w:val="21"/>
          <w:highlight w:val="none"/>
          <w:u w:val="single"/>
        </w:rPr>
        <w:t xml:space="preserve">  由承包人提供   </w:t>
      </w:r>
    </w:p>
    <w:p w14:paraId="2D19A9F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施工现场需要具备的其他试验条件：</w:t>
      </w:r>
      <w:r>
        <w:rPr>
          <w:rFonts w:hint="eastAsia" w:ascii="宋体" w:hAnsi="宋体" w:cs="宋体"/>
          <w:color w:val="000000"/>
          <w:sz w:val="21"/>
          <w:szCs w:val="21"/>
          <w:highlight w:val="none"/>
          <w:u w:val="single"/>
        </w:rPr>
        <w:t xml:space="preserve">  / </w:t>
      </w:r>
      <w:r>
        <w:rPr>
          <w:rFonts w:hint="eastAsia" w:ascii="宋体" w:hAnsi="宋体" w:cs="宋体"/>
          <w:color w:val="000000"/>
          <w:sz w:val="21"/>
          <w:szCs w:val="21"/>
          <w:highlight w:val="none"/>
        </w:rPr>
        <w:t>。</w:t>
      </w:r>
    </w:p>
    <w:p w14:paraId="4EDD4883">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 xml:space="preserve">9.4现场工艺试验 </w:t>
      </w:r>
    </w:p>
    <w:p w14:paraId="25C7121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现场工艺试验的有关约定：</w:t>
      </w:r>
      <w:r>
        <w:rPr>
          <w:rFonts w:hint="eastAsia" w:ascii="宋体" w:hAnsi="宋体" w:cs="宋体"/>
          <w:color w:val="000000"/>
          <w:sz w:val="21"/>
          <w:szCs w:val="21"/>
          <w:highlight w:val="none"/>
          <w:u w:val="single"/>
        </w:rPr>
        <w:t xml:space="preserve"> 执行《通用条款》</w:t>
      </w:r>
      <w:r>
        <w:rPr>
          <w:rFonts w:hint="eastAsia" w:ascii="宋体" w:hAnsi="宋体" w:cs="宋体"/>
          <w:color w:val="000000"/>
          <w:sz w:val="21"/>
          <w:szCs w:val="21"/>
          <w:highlight w:val="none"/>
        </w:rPr>
        <w:t>。</w:t>
      </w:r>
      <w:bookmarkEnd w:id="470"/>
      <w:bookmarkStart w:id="471" w:name="_Toc304295562"/>
      <w:bookmarkStart w:id="472" w:name="_Toc296944512"/>
      <w:bookmarkStart w:id="473" w:name="_Toc296891213"/>
      <w:bookmarkStart w:id="474" w:name="_Toc267251427"/>
      <w:bookmarkStart w:id="475" w:name="_Toc303539142"/>
      <w:bookmarkStart w:id="476" w:name="_Toc300934985"/>
      <w:bookmarkStart w:id="477" w:name="_Toc318581174"/>
      <w:bookmarkStart w:id="478" w:name="_Toc297123536"/>
      <w:bookmarkStart w:id="479" w:name="_Toc297216195"/>
      <w:bookmarkStart w:id="480" w:name="_Toc267251428"/>
      <w:bookmarkStart w:id="481" w:name="_Toc296346674"/>
      <w:bookmarkStart w:id="482" w:name="_Toc312678024"/>
      <w:bookmarkStart w:id="483" w:name="_Toc296347172"/>
      <w:bookmarkStart w:id="484" w:name="_Toc292559883"/>
      <w:bookmarkStart w:id="485" w:name="_Toc296891001"/>
      <w:bookmarkStart w:id="486" w:name="_Toc312677498"/>
      <w:bookmarkStart w:id="487" w:name="_Toc297048359"/>
      <w:bookmarkStart w:id="488" w:name="_Toc296503173"/>
      <w:bookmarkStart w:id="489" w:name="_Toc292559378"/>
      <w:bookmarkStart w:id="490" w:name="_Toc297120473"/>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0ACCF529">
      <w:pPr>
        <w:spacing w:line="360" w:lineRule="auto"/>
        <w:ind w:firstLine="420" w:firstLineChars="200"/>
        <w:jc w:val="left"/>
        <w:rPr>
          <w:rFonts w:ascii="宋体" w:hAnsi="宋体" w:cs="宋体"/>
          <w:b/>
          <w:color w:val="000000"/>
          <w:sz w:val="21"/>
          <w:szCs w:val="21"/>
          <w:highlight w:val="none"/>
        </w:rPr>
      </w:pPr>
      <w:bookmarkStart w:id="491" w:name="_Toc300934989"/>
      <w:bookmarkStart w:id="492" w:name="_Toc351203642"/>
      <w:bookmarkStart w:id="493" w:name="_Toc296891233"/>
      <w:bookmarkStart w:id="494" w:name="_Toc297123540"/>
      <w:bookmarkStart w:id="495" w:name="_Toc296944532"/>
      <w:bookmarkStart w:id="496" w:name="_Toc296503193"/>
      <w:bookmarkStart w:id="497" w:name="_Toc292559903"/>
      <w:bookmarkStart w:id="498" w:name="_Toc296346694"/>
      <w:bookmarkStart w:id="499" w:name="_Toc296891021"/>
      <w:bookmarkStart w:id="500" w:name="_Toc292559398"/>
      <w:bookmarkStart w:id="501" w:name="_Toc297048379"/>
      <w:bookmarkStart w:id="502" w:name="_Toc296347192"/>
      <w:bookmarkStart w:id="503" w:name="_Toc297216199"/>
      <w:bookmarkStart w:id="504" w:name="_Toc303539146"/>
      <w:bookmarkStart w:id="505" w:name="_Toc297120493"/>
      <w:bookmarkStart w:id="506" w:name="_Toc304295566"/>
      <w:bookmarkStart w:id="507" w:name="_Toc312677499"/>
      <w:bookmarkStart w:id="508" w:name="_Toc312678025"/>
      <w:bookmarkStart w:id="509" w:name="_Toc267251435"/>
      <w:bookmarkStart w:id="510" w:name="_Toc267251441"/>
      <w:bookmarkStart w:id="511" w:name="_Toc267251439"/>
      <w:bookmarkStart w:id="512" w:name="_Toc267251433"/>
      <w:bookmarkStart w:id="513" w:name="_Toc267251437"/>
      <w:bookmarkStart w:id="514" w:name="_Toc267251440"/>
      <w:r>
        <w:rPr>
          <w:rFonts w:hint="eastAsia" w:ascii="宋体" w:hAnsi="宋体" w:cs="宋体"/>
          <w:b/>
          <w:color w:val="000000"/>
          <w:sz w:val="21"/>
          <w:szCs w:val="21"/>
          <w:highlight w:val="none"/>
        </w:rPr>
        <w:t>十、变更</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507"/>
    <w:bookmarkEnd w:id="508"/>
    <w:p w14:paraId="38FD2533">
      <w:pPr>
        <w:spacing w:line="360" w:lineRule="auto"/>
        <w:ind w:firstLine="420" w:firstLineChars="200"/>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rPr>
        <w:t>1</w:t>
      </w:r>
      <w:bookmarkStart w:id="515" w:name="_Toc303539147"/>
      <w:bookmarkStart w:id="516" w:name="_Toc297120494"/>
      <w:bookmarkStart w:id="517" w:name="_Toc292559904"/>
      <w:bookmarkStart w:id="518" w:name="_Toc312677500"/>
      <w:bookmarkStart w:id="519" w:name="_Toc297216200"/>
      <w:bookmarkStart w:id="520" w:name="_Toc296891234"/>
      <w:bookmarkStart w:id="521" w:name="_Toc300934990"/>
      <w:bookmarkStart w:id="522" w:name="_Toc297048380"/>
      <w:bookmarkStart w:id="523" w:name="_Toc296347193"/>
      <w:bookmarkStart w:id="524" w:name="_Toc292559399"/>
      <w:bookmarkStart w:id="525" w:name="_Toc296891022"/>
      <w:bookmarkStart w:id="526" w:name="_Toc296346695"/>
      <w:bookmarkStart w:id="527" w:name="_Toc312678026"/>
      <w:bookmarkStart w:id="528" w:name="_Toc296503194"/>
      <w:bookmarkStart w:id="529" w:name="_Toc297123541"/>
      <w:bookmarkStart w:id="530" w:name="_Toc304295567"/>
      <w:bookmarkStart w:id="531" w:name="_Toc296944533"/>
      <w:r>
        <w:rPr>
          <w:rFonts w:hint="eastAsia" w:ascii="宋体" w:hAnsi="宋体" w:cs="宋体"/>
          <w:color w:val="000000"/>
          <w:sz w:val="21"/>
          <w:szCs w:val="21"/>
          <w:highlight w:val="none"/>
        </w:rPr>
        <w:t>0.1变更的范围</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lang w:val="en-US" w:eastAsia="zh-CN"/>
        </w:rPr>
        <w:t>本项目不适用</w:t>
      </w:r>
      <w:r>
        <w:rPr>
          <w:rFonts w:hint="eastAsia" w:ascii="宋体" w:hAnsi="宋体" w:cs="宋体"/>
          <w:color w:val="000000"/>
          <w:sz w:val="21"/>
          <w:szCs w:val="21"/>
          <w:highlight w:val="none"/>
          <w:lang w:eastAsia="zh-CN"/>
        </w:rPr>
        <w:t>）</w:t>
      </w:r>
    </w:p>
    <w:p w14:paraId="6F543138">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关于变更的范围的约定：</w:t>
      </w:r>
    </w:p>
    <w:p w14:paraId="710B1433">
      <w:pPr>
        <w:spacing w:line="360" w:lineRule="auto"/>
        <w:ind w:firstLine="420" w:firstLineChars="200"/>
        <w:rPr>
          <w:rFonts w:hAnsi="宋体"/>
          <w:sz w:val="21"/>
          <w:szCs w:val="21"/>
          <w:highlight w:val="none"/>
        </w:rPr>
      </w:pPr>
      <w:r>
        <w:rPr>
          <w:rFonts w:hint="eastAsia" w:hAnsi="宋体"/>
          <w:sz w:val="21"/>
          <w:szCs w:val="21"/>
          <w:highlight w:val="none"/>
        </w:rPr>
        <w:t>关于变更的范围的约定：</w:t>
      </w:r>
      <w:r>
        <w:rPr>
          <w:rFonts w:hint="eastAsia" w:hAnsi="宋体"/>
          <w:sz w:val="21"/>
          <w:szCs w:val="21"/>
          <w:highlight w:val="none"/>
          <w:u w:val="single"/>
        </w:rPr>
        <w:t>在本工程施工过程中，若发生设计变更或工程量清单错误，按下列规定执行：</w:t>
      </w:r>
    </w:p>
    <w:p w14:paraId="540E020A">
      <w:pPr>
        <w:spacing w:line="360" w:lineRule="auto"/>
        <w:ind w:firstLine="420" w:firstLineChars="200"/>
        <w:rPr>
          <w:rFonts w:hint="eastAsia" w:hAnsi="宋体" w:eastAsia="宋体"/>
          <w:sz w:val="21"/>
          <w:szCs w:val="21"/>
          <w:highlight w:val="none"/>
          <w:u w:val="single"/>
          <w:lang w:eastAsia="zh-CN"/>
        </w:rPr>
      </w:pPr>
      <w:r>
        <w:rPr>
          <w:rFonts w:hint="eastAsia" w:hAnsi="宋体"/>
          <w:sz w:val="21"/>
          <w:szCs w:val="21"/>
          <w:highlight w:val="none"/>
          <w:u w:val="single"/>
        </w:rPr>
        <w:t>10.1.1  分部分项工程量清单综合单价；</w:t>
      </w:r>
    </w:p>
    <w:p w14:paraId="79BFEEA4">
      <w:pPr>
        <w:spacing w:line="360" w:lineRule="auto"/>
        <w:ind w:firstLine="420" w:firstLineChars="200"/>
        <w:rPr>
          <w:rFonts w:hAnsi="宋体"/>
          <w:sz w:val="21"/>
          <w:szCs w:val="21"/>
          <w:highlight w:val="none"/>
          <w:u w:val="single"/>
        </w:rPr>
      </w:pPr>
      <w:r>
        <w:rPr>
          <w:rFonts w:hint="eastAsia" w:hAnsi="宋体"/>
          <w:sz w:val="21"/>
          <w:szCs w:val="21"/>
          <w:highlight w:val="none"/>
          <w:u w:val="single"/>
        </w:rPr>
        <w:t>10.1.1.1 合同中已有适用于变更工程的综合单价或价格，按合同已有的综合单价或价格变更合同价款</w:t>
      </w:r>
      <w:r>
        <w:rPr>
          <w:rFonts w:hAnsi="宋体"/>
          <w:sz w:val="21"/>
          <w:szCs w:val="21"/>
          <w:highlight w:val="none"/>
          <w:u w:val="single"/>
        </w:rPr>
        <w:t xml:space="preserve">, </w:t>
      </w:r>
      <w:r>
        <w:rPr>
          <w:rFonts w:hint="eastAsia" w:hAnsi="宋体"/>
          <w:sz w:val="21"/>
          <w:szCs w:val="21"/>
          <w:highlight w:val="none"/>
          <w:u w:val="single"/>
        </w:rPr>
        <w:t>实际工程量超过招标清单量的15%以外的部分，按合同中已有综合单价的</w:t>
      </w:r>
      <w:r>
        <w:rPr>
          <w:rFonts w:hAnsi="宋体"/>
          <w:sz w:val="21"/>
          <w:szCs w:val="21"/>
          <w:highlight w:val="none"/>
          <w:u w:val="single"/>
        </w:rPr>
        <w:t>90%确定；</w:t>
      </w:r>
    </w:p>
    <w:p w14:paraId="3B835501">
      <w:pPr>
        <w:spacing w:line="360" w:lineRule="auto"/>
        <w:ind w:firstLine="420" w:firstLineChars="200"/>
        <w:rPr>
          <w:rFonts w:hAnsi="宋体"/>
          <w:sz w:val="21"/>
          <w:szCs w:val="21"/>
          <w:highlight w:val="none"/>
          <w:u w:val="single"/>
        </w:rPr>
      </w:pPr>
      <w:r>
        <w:rPr>
          <w:rFonts w:hAnsi="宋体"/>
          <w:sz w:val="21"/>
          <w:szCs w:val="21"/>
          <w:highlight w:val="none"/>
          <w:u w:val="single"/>
        </w:rPr>
        <w:t xml:space="preserve">10.1.1.2合同中只有类似于变更工程的综合单价或价格，可以参照类似综合单价或价格变更合同价款, </w:t>
      </w:r>
      <w:r>
        <w:rPr>
          <w:rFonts w:hint="eastAsia" w:hAnsi="宋体"/>
          <w:sz w:val="21"/>
          <w:szCs w:val="21"/>
          <w:highlight w:val="none"/>
          <w:u w:val="single"/>
        </w:rPr>
        <w:t>实际工程量超过招标清单量的15%以外的部分，参照类似的综合单价的</w:t>
      </w:r>
      <w:r>
        <w:rPr>
          <w:rFonts w:hAnsi="宋体"/>
          <w:sz w:val="21"/>
          <w:szCs w:val="21"/>
          <w:highlight w:val="none"/>
          <w:u w:val="single"/>
        </w:rPr>
        <w:t>90%确定（所谓参照即换算执行）；</w:t>
      </w:r>
    </w:p>
    <w:p w14:paraId="10F5B8E3">
      <w:pPr>
        <w:spacing w:line="360" w:lineRule="auto"/>
        <w:ind w:firstLine="420" w:firstLineChars="200"/>
        <w:rPr>
          <w:rFonts w:hAnsi="宋体"/>
          <w:sz w:val="21"/>
          <w:szCs w:val="21"/>
          <w:highlight w:val="none"/>
          <w:u w:val="single"/>
        </w:rPr>
      </w:pPr>
      <w:r>
        <w:rPr>
          <w:rFonts w:hAnsi="宋体"/>
          <w:sz w:val="21"/>
          <w:szCs w:val="21"/>
          <w:highlight w:val="none"/>
          <w:u w:val="single"/>
        </w:rPr>
        <w:t>10.1.1.3合同中没有适用或类似于工程变更、签证的价格，由承包人提出，按</w:t>
      </w:r>
      <w:r>
        <w:rPr>
          <w:rFonts w:hint="eastAsia" w:hAnsi="宋体"/>
          <w:sz w:val="21"/>
          <w:szCs w:val="21"/>
          <w:highlight w:val="none"/>
          <w:u w:val="single"/>
          <w:lang w:eastAsia="zh-CN"/>
        </w:rPr>
        <w:t>投标</w:t>
      </w:r>
      <w:r>
        <w:rPr>
          <w:rFonts w:hAnsi="宋体"/>
          <w:sz w:val="21"/>
          <w:szCs w:val="21"/>
          <w:highlight w:val="none"/>
          <w:u w:val="single"/>
        </w:rPr>
        <w:t>清单编制依据的定额套用相关子目，</w:t>
      </w:r>
      <w:r>
        <w:rPr>
          <w:rFonts w:hint="eastAsia" w:hAnsi="宋体"/>
          <w:sz w:val="21"/>
          <w:szCs w:val="21"/>
          <w:highlight w:val="none"/>
          <w:u w:val="single"/>
        </w:rPr>
        <w:t>按照重新组价后的90%计算。</w:t>
      </w:r>
    </w:p>
    <w:p w14:paraId="63BA1B54">
      <w:pPr>
        <w:spacing w:line="360" w:lineRule="auto"/>
        <w:ind w:firstLine="480"/>
        <w:rPr>
          <w:rFonts w:hAnsi="宋体"/>
          <w:sz w:val="21"/>
          <w:szCs w:val="21"/>
          <w:highlight w:val="none"/>
          <w:u w:val="single"/>
        </w:rPr>
      </w:pPr>
      <w:r>
        <w:rPr>
          <w:rFonts w:hAnsi="宋体"/>
          <w:sz w:val="21"/>
          <w:szCs w:val="21"/>
          <w:highlight w:val="none"/>
          <w:u w:val="single"/>
        </w:rPr>
        <w:t>10.1.2承包人中标的措施项目为合同价款的组成部分，一般不作调整，当出现下列情况时可做调整：</w:t>
      </w:r>
    </w:p>
    <w:p w14:paraId="13D73B9D">
      <w:pPr>
        <w:spacing w:line="360" w:lineRule="auto"/>
        <w:ind w:firstLine="480"/>
        <w:rPr>
          <w:rFonts w:hAnsi="宋体"/>
          <w:sz w:val="21"/>
          <w:szCs w:val="21"/>
          <w:highlight w:val="none"/>
          <w:u w:val="single"/>
        </w:rPr>
      </w:pPr>
      <w:r>
        <w:rPr>
          <w:rFonts w:hAnsi="宋体"/>
          <w:sz w:val="21"/>
          <w:szCs w:val="21"/>
          <w:highlight w:val="none"/>
          <w:u w:val="single"/>
        </w:rPr>
        <w:t>10.1.2.1承包人应按已标价分项工程量清单施工，因发包人原因更改已审定的施工方案（修正错误除外），引起的措施项目费用增加时不予增加、减少时予以减少；由于工程量变化引起的措施项目费用增加时不予以增加，减少时予以减少。</w:t>
      </w:r>
    </w:p>
    <w:p w14:paraId="6309E7D4">
      <w:pPr>
        <w:pStyle w:val="3"/>
        <w:spacing w:line="360" w:lineRule="auto"/>
        <w:ind w:firstLine="420" w:firstLineChars="200"/>
        <w:rPr>
          <w:rFonts w:hAnsi="宋体"/>
          <w:sz w:val="21"/>
          <w:szCs w:val="21"/>
          <w:highlight w:val="none"/>
          <w:u w:val="single"/>
        </w:rPr>
      </w:pPr>
      <w:r>
        <w:rPr>
          <w:rFonts w:hAnsi="宋体"/>
          <w:sz w:val="21"/>
          <w:szCs w:val="21"/>
          <w:highlight w:val="none"/>
          <w:u w:val="single"/>
        </w:rPr>
        <w:t>10.1.3</w:t>
      </w:r>
      <w:r>
        <w:rPr>
          <w:rFonts w:ascii="Times New Roman" w:hAnsi="宋体" w:eastAsia="宋体" w:cs="Times New Roman"/>
          <w:kern w:val="2"/>
          <w:sz w:val="21"/>
          <w:szCs w:val="21"/>
          <w:highlight w:val="none"/>
          <w:u w:val="single"/>
          <w:lang w:val="en-US" w:eastAsia="zh-CN" w:bidi="ar-SA"/>
        </w:rPr>
        <w:t xml:space="preserve">工程施工期间只涉及工程设计变更、现场签证的签认工作，变更工程价款工程结算时由工程结算报告审核部门进行审核确定；变更、签证所涉及的价款在工程结算审核确认后予以支付。 </w:t>
      </w:r>
      <w:r>
        <w:rPr>
          <w:rFonts w:hint="eastAsia" w:ascii="Times New Roman" w:hAnsi="宋体" w:eastAsia="宋体" w:cs="Times New Roman"/>
          <w:kern w:val="2"/>
          <w:sz w:val="21"/>
          <w:szCs w:val="21"/>
          <w:highlight w:val="none"/>
          <w:u w:val="single"/>
          <w:lang w:val="en-US" w:eastAsia="zh-CN" w:bidi="ar-SA"/>
        </w:rPr>
        <w:t>发、承包双方应对工程施工合同以外的增加项目，如实做好记录，并履行书面审批手续。经审批的变更签证及双方协商确认的索赔费用等，在竣工结算时如实办理，不因发、承包双方现场代表的中途变更而改变其有效性。</w:t>
      </w:r>
    </w:p>
    <w:p w14:paraId="728DAA8B">
      <w:pPr>
        <w:spacing w:line="360" w:lineRule="auto"/>
        <w:ind w:firstLine="420" w:firstLineChars="200"/>
        <w:jc w:val="left"/>
        <w:rPr>
          <w:rFonts w:hint="eastAsia" w:ascii="宋体" w:hAnsi="宋体" w:eastAsia="宋体" w:cs="宋体"/>
          <w:color w:val="000000"/>
          <w:sz w:val="21"/>
          <w:szCs w:val="21"/>
          <w:highlight w:val="none"/>
          <w:lang w:eastAsia="zh-CN"/>
        </w:rPr>
      </w:pPr>
      <w:r>
        <w:rPr>
          <w:rFonts w:ascii="宋体" w:hAnsi="宋体" w:cs="宋体"/>
          <w:color w:val="000000"/>
          <w:sz w:val="21"/>
          <w:szCs w:val="21"/>
          <w:highlight w:val="none"/>
        </w:rPr>
        <w:t xml:space="preserve">10.4.1 </w:t>
      </w:r>
      <w:r>
        <w:rPr>
          <w:rFonts w:hint="eastAsia" w:ascii="宋体" w:hAnsi="宋体" w:cs="宋体"/>
          <w:color w:val="000000"/>
          <w:sz w:val="21"/>
          <w:szCs w:val="21"/>
          <w:highlight w:val="none"/>
        </w:rPr>
        <w:t>变更估价原则</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lang w:val="en-US" w:eastAsia="zh-CN"/>
        </w:rPr>
        <w:t>本项目不适用</w:t>
      </w:r>
      <w:r>
        <w:rPr>
          <w:rFonts w:hint="eastAsia" w:ascii="宋体" w:hAnsi="宋体" w:cs="宋体"/>
          <w:color w:val="000000"/>
          <w:sz w:val="21"/>
          <w:szCs w:val="21"/>
          <w:highlight w:val="none"/>
          <w:lang w:eastAsia="zh-CN"/>
        </w:rPr>
        <w:t>）</w:t>
      </w:r>
    </w:p>
    <w:p w14:paraId="79E3615A">
      <w:pPr>
        <w:spacing w:line="360" w:lineRule="auto"/>
        <w:ind w:firstLine="420" w:firstLineChars="200"/>
        <w:jc w:val="left"/>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rPr>
        <w:t>关于变更估价的约定</w:t>
      </w:r>
      <w:r>
        <w:rPr>
          <w:rFonts w:hint="eastAsia" w:ascii="宋体" w:hAnsi="宋体" w:cs="宋体"/>
          <w:color w:val="000000"/>
          <w:sz w:val="21"/>
          <w:szCs w:val="21"/>
          <w:highlight w:val="none"/>
          <w:lang w:eastAsia="zh-CN"/>
        </w:rPr>
        <w:t>：</w:t>
      </w:r>
    </w:p>
    <w:p w14:paraId="5DB7A8C1">
      <w:pPr>
        <w:spacing w:line="360" w:lineRule="auto"/>
        <w:ind w:firstLine="420" w:firstLineChars="200"/>
        <w:jc w:val="left"/>
        <w:rPr>
          <w:rFonts w:ascii="宋体" w:hAnsi="宋体" w:cs="华文中宋"/>
          <w:sz w:val="21"/>
          <w:szCs w:val="21"/>
          <w:highlight w:val="none"/>
          <w:u w:val="single"/>
        </w:rPr>
      </w:pPr>
      <w:r>
        <w:rPr>
          <w:rFonts w:hint="eastAsia" w:ascii="宋体" w:hAnsi="宋体" w:cs="华文中宋"/>
          <w:sz w:val="21"/>
          <w:szCs w:val="21"/>
          <w:highlight w:val="none"/>
          <w:u w:val="single"/>
        </w:rPr>
        <w:t>（1）当工程变更导致该清单项目的工程数量发生变化，且工程量变化在±15%（含）以内时，变更引起的清单工程量的综合单价按照下列规定确定：</w:t>
      </w:r>
    </w:p>
    <w:p w14:paraId="53DB1FF4">
      <w:pPr>
        <w:spacing w:line="360" w:lineRule="auto"/>
        <w:ind w:firstLine="420" w:firstLineChars="200"/>
        <w:jc w:val="left"/>
        <w:rPr>
          <w:rFonts w:ascii="宋体" w:hAnsi="宋体" w:cs="华文中宋"/>
          <w:sz w:val="21"/>
          <w:szCs w:val="21"/>
          <w:highlight w:val="none"/>
          <w:u w:val="single"/>
        </w:rPr>
      </w:pPr>
      <w:r>
        <w:rPr>
          <w:rFonts w:hint="eastAsia" w:ascii="宋体" w:hAnsi="宋体" w:cs="华文中宋"/>
          <w:sz w:val="21"/>
          <w:szCs w:val="21"/>
          <w:highlight w:val="none"/>
          <w:u w:val="single"/>
        </w:rPr>
        <w:t>1）已标价工程量清单中有适用于变更工程项目的，应采用该项目的单价；</w:t>
      </w:r>
    </w:p>
    <w:p w14:paraId="5234C8B9">
      <w:pPr>
        <w:spacing w:line="360" w:lineRule="auto"/>
        <w:ind w:firstLine="420" w:firstLineChars="200"/>
        <w:jc w:val="left"/>
        <w:rPr>
          <w:rFonts w:ascii="宋体" w:hAnsi="宋体" w:cs="华文中宋"/>
          <w:sz w:val="21"/>
          <w:szCs w:val="21"/>
          <w:highlight w:val="none"/>
          <w:u w:val="single"/>
        </w:rPr>
      </w:pPr>
      <w:r>
        <w:rPr>
          <w:rFonts w:hint="eastAsia" w:ascii="宋体" w:hAnsi="宋体" w:cs="华文中宋"/>
          <w:sz w:val="21"/>
          <w:szCs w:val="21"/>
          <w:highlight w:val="none"/>
          <w:u w:val="single"/>
        </w:rPr>
        <w:t>2）已标价工程量清单中没有适用但有类似于变更工程项目的，可在合理范围内参照类似项目的单价</w:t>
      </w:r>
      <w:r>
        <w:rPr>
          <w:rFonts w:hint="eastAsia" w:ascii="宋体" w:hAnsi="宋体" w:cs="华文中宋"/>
          <w:sz w:val="21"/>
          <w:szCs w:val="21"/>
          <w:highlight w:val="none"/>
          <w:u w:val="single"/>
          <w:lang w:eastAsia="zh-CN"/>
        </w:rPr>
        <w:t>，但需经发包人</w:t>
      </w:r>
      <w:r>
        <w:rPr>
          <w:rFonts w:hint="eastAsia" w:ascii="宋体" w:hAnsi="宋体" w:cs="华文中宋"/>
          <w:sz w:val="21"/>
          <w:szCs w:val="21"/>
          <w:highlight w:val="none"/>
          <w:u w:val="single"/>
        </w:rPr>
        <w:t>；</w:t>
      </w:r>
    </w:p>
    <w:p w14:paraId="1834FD77">
      <w:pPr>
        <w:spacing w:line="360" w:lineRule="auto"/>
        <w:ind w:firstLine="420" w:firstLineChars="200"/>
        <w:jc w:val="left"/>
        <w:rPr>
          <w:rFonts w:ascii="宋体" w:hAnsi="宋体" w:cs="华文中宋"/>
          <w:sz w:val="21"/>
          <w:szCs w:val="21"/>
          <w:highlight w:val="none"/>
          <w:u w:val="single"/>
        </w:rPr>
      </w:pPr>
      <w:r>
        <w:rPr>
          <w:rFonts w:hint="eastAsia" w:ascii="宋体" w:hAnsi="宋体" w:cs="华文中宋"/>
          <w:sz w:val="21"/>
          <w:szCs w:val="21"/>
          <w:highlight w:val="none"/>
          <w:u w:val="single"/>
        </w:rPr>
        <w:t>3）已标价工程量清单中没有适用也没有类似于变更工程项目的，应由承包人根据变更工程资料、计量规则和计价办法、工程造价管理机构发布的信息价格和承包人报价浮动率提出变更工程项目的单价，并应报发包人确认。其中：</w:t>
      </w:r>
    </w:p>
    <w:p w14:paraId="2E9823BB">
      <w:pPr>
        <w:spacing w:line="360" w:lineRule="auto"/>
        <w:ind w:firstLine="420" w:firstLineChars="200"/>
        <w:jc w:val="left"/>
        <w:rPr>
          <w:rFonts w:ascii="宋体" w:hAnsi="宋体"/>
          <w:sz w:val="21"/>
          <w:szCs w:val="21"/>
          <w:highlight w:val="none"/>
          <w:u w:val="single"/>
        </w:rPr>
      </w:pPr>
      <w:r>
        <w:rPr>
          <w:rFonts w:hint="eastAsia" w:ascii="宋体" w:hAnsi="宋体" w:cs="华文中宋"/>
          <w:sz w:val="21"/>
          <w:szCs w:val="21"/>
          <w:highlight w:val="none"/>
          <w:u w:val="single"/>
        </w:rPr>
        <w:t>①承包人报价浮动率按下列公式计算：</w:t>
      </w:r>
    </w:p>
    <w:p w14:paraId="0B7082F7">
      <w:pPr>
        <w:spacing w:line="360" w:lineRule="auto"/>
        <w:ind w:firstLine="420" w:firstLineChars="200"/>
        <w:jc w:val="left"/>
        <w:rPr>
          <w:rFonts w:ascii="宋体" w:hAnsi="宋体" w:cs="华文中宋"/>
          <w:sz w:val="21"/>
          <w:szCs w:val="21"/>
          <w:highlight w:val="none"/>
          <w:u w:val="single"/>
        </w:rPr>
      </w:pPr>
      <w:r>
        <w:rPr>
          <w:rFonts w:hint="eastAsia" w:ascii="宋体" w:hAnsi="宋体" w:cs="华文中宋"/>
          <w:sz w:val="21"/>
          <w:szCs w:val="21"/>
          <w:highlight w:val="none"/>
          <w:u w:val="single"/>
        </w:rPr>
        <w:t>承包人报价浮动率L=[1-（中标价-暂估价-暂列金额）／（最高限价-暂估价-暂列金额）]×100%</w:t>
      </w:r>
    </w:p>
    <w:p w14:paraId="6452E02B">
      <w:pPr>
        <w:spacing w:line="360" w:lineRule="auto"/>
        <w:ind w:firstLine="420" w:firstLineChars="200"/>
        <w:jc w:val="left"/>
        <w:rPr>
          <w:rFonts w:ascii="宋体" w:hAnsi="宋体" w:cs="华文中宋"/>
          <w:sz w:val="21"/>
          <w:szCs w:val="21"/>
          <w:highlight w:val="none"/>
          <w:u w:val="single"/>
        </w:rPr>
      </w:pPr>
      <w:r>
        <w:rPr>
          <w:rFonts w:hint="eastAsia" w:ascii="宋体" w:hAnsi="宋体" w:cs="华文中宋"/>
          <w:sz w:val="21"/>
          <w:szCs w:val="21"/>
          <w:highlight w:val="none"/>
          <w:u w:val="single"/>
        </w:rPr>
        <w:t>②综合单价组价原则为：消耗量可依据</w:t>
      </w:r>
      <w:r>
        <w:rPr>
          <w:rFonts w:hint="eastAsia" w:ascii="宋体" w:hAnsi="宋体" w:cs="华文中宋"/>
          <w:sz w:val="21"/>
          <w:szCs w:val="21"/>
          <w:highlight w:val="none"/>
          <w:u w:val="single"/>
          <w:lang w:eastAsia="zh-CN"/>
        </w:rPr>
        <w:t>现行</w:t>
      </w:r>
      <w:r>
        <w:rPr>
          <w:rFonts w:hint="eastAsia" w:ascii="宋体" w:hAnsi="宋体" w:cs="华文中宋"/>
          <w:sz w:val="21"/>
          <w:szCs w:val="21"/>
          <w:highlight w:val="none"/>
          <w:u w:val="single"/>
        </w:rPr>
        <w:t>定额确定；人工、材料、机械价格按发承包双方确认的市场价格或参照施工期工程所在地造价信息确定；管理费和利润按相应清单项目承包人原投标费率确定。</w:t>
      </w:r>
    </w:p>
    <w:p w14:paraId="1CF65669">
      <w:pPr>
        <w:spacing w:line="360" w:lineRule="auto"/>
        <w:ind w:firstLine="420" w:firstLineChars="200"/>
        <w:jc w:val="left"/>
        <w:rPr>
          <w:rFonts w:ascii="宋体" w:hAnsi="宋体" w:cs="华文中宋"/>
          <w:sz w:val="21"/>
          <w:szCs w:val="21"/>
          <w:highlight w:val="none"/>
          <w:u w:val="single"/>
        </w:rPr>
      </w:pPr>
      <w:r>
        <w:rPr>
          <w:rFonts w:hint="eastAsia" w:ascii="宋体" w:hAnsi="宋体" w:cs="华文中宋"/>
          <w:sz w:val="21"/>
          <w:szCs w:val="21"/>
          <w:highlight w:val="none"/>
          <w:u w:val="single"/>
        </w:rPr>
        <w:t>（2）对于承包人在</w:t>
      </w:r>
      <w:r>
        <w:rPr>
          <w:rFonts w:hint="eastAsia" w:ascii="宋体" w:hAnsi="宋体" w:cs="华文中宋"/>
          <w:sz w:val="21"/>
          <w:szCs w:val="21"/>
          <w:highlight w:val="none"/>
          <w:u w:val="single"/>
          <w:lang w:eastAsia="zh-CN"/>
        </w:rPr>
        <w:t>磋商报价</w:t>
      </w:r>
      <w:r>
        <w:rPr>
          <w:rFonts w:hint="eastAsia" w:ascii="宋体" w:hAnsi="宋体" w:cs="华文中宋"/>
          <w:sz w:val="21"/>
          <w:szCs w:val="21"/>
          <w:highlight w:val="none"/>
          <w:u w:val="single"/>
        </w:rPr>
        <w:t>中的漏项清单项目，当工程量变更时，其变更部分的综合单价按照评标时其他有效</w:t>
      </w:r>
      <w:r>
        <w:rPr>
          <w:rFonts w:hint="eastAsia" w:ascii="宋体" w:hAnsi="宋体" w:cs="华文中宋"/>
          <w:sz w:val="21"/>
          <w:szCs w:val="21"/>
          <w:highlight w:val="none"/>
          <w:u w:val="single"/>
          <w:lang w:eastAsia="zh-CN"/>
        </w:rPr>
        <w:t>供应商</w:t>
      </w:r>
      <w:r>
        <w:rPr>
          <w:rFonts w:hint="eastAsia" w:ascii="宋体" w:hAnsi="宋体" w:cs="华文中宋"/>
          <w:sz w:val="21"/>
          <w:szCs w:val="21"/>
          <w:highlight w:val="none"/>
          <w:u w:val="single"/>
        </w:rPr>
        <w:t>该项</w:t>
      </w:r>
      <w:r>
        <w:rPr>
          <w:rFonts w:hint="eastAsia" w:ascii="宋体" w:hAnsi="宋体" w:cs="华文中宋"/>
          <w:sz w:val="21"/>
          <w:szCs w:val="21"/>
          <w:highlight w:val="none"/>
          <w:u w:val="single"/>
          <w:lang w:eastAsia="zh-CN"/>
        </w:rPr>
        <w:t>磋商报价</w:t>
      </w:r>
      <w:r>
        <w:rPr>
          <w:rFonts w:hint="eastAsia" w:ascii="宋体" w:hAnsi="宋体" w:cs="华文中宋"/>
          <w:sz w:val="21"/>
          <w:szCs w:val="21"/>
          <w:highlight w:val="none"/>
          <w:u w:val="single"/>
        </w:rPr>
        <w:t>的算术平均值计算的结果确定</w:t>
      </w:r>
      <w:r>
        <w:rPr>
          <w:rFonts w:hint="eastAsia" w:ascii="宋体" w:hAnsi="宋体" w:cs="华文中宋"/>
          <w:sz w:val="21"/>
          <w:szCs w:val="21"/>
          <w:highlight w:val="none"/>
          <w:u w:val="single"/>
          <w:lang w:val="en-US" w:eastAsia="zh-CN"/>
        </w:rPr>
        <w:t>,且磋商报价已包含在此费用</w:t>
      </w:r>
      <w:r>
        <w:rPr>
          <w:rFonts w:hint="eastAsia" w:ascii="宋体" w:hAnsi="宋体" w:cs="华文中宋"/>
          <w:sz w:val="21"/>
          <w:szCs w:val="21"/>
          <w:highlight w:val="none"/>
          <w:u w:val="single"/>
        </w:rPr>
        <w:t>。</w:t>
      </w:r>
    </w:p>
    <w:p w14:paraId="7E921F41">
      <w:pPr>
        <w:spacing w:line="360" w:lineRule="auto"/>
        <w:ind w:firstLine="420" w:firstLineChars="200"/>
        <w:jc w:val="left"/>
        <w:rPr>
          <w:rFonts w:ascii="宋体" w:hAnsi="宋体"/>
          <w:sz w:val="21"/>
          <w:szCs w:val="21"/>
          <w:highlight w:val="none"/>
          <w:u w:val="single"/>
        </w:rPr>
      </w:pPr>
      <w:r>
        <w:rPr>
          <w:rFonts w:hint="eastAsia" w:ascii="宋体" w:hAnsi="宋体" w:cs="华文中宋"/>
          <w:sz w:val="21"/>
          <w:szCs w:val="21"/>
          <w:highlight w:val="none"/>
          <w:u w:val="single"/>
        </w:rPr>
        <w:t>（3）在</w:t>
      </w:r>
      <w:r>
        <w:rPr>
          <w:rFonts w:hint="eastAsia" w:ascii="宋体" w:hAnsi="宋体" w:cs="华文中宋"/>
          <w:sz w:val="21"/>
          <w:szCs w:val="21"/>
          <w:highlight w:val="none"/>
          <w:u w:val="single"/>
          <w:lang w:eastAsia="zh-CN"/>
        </w:rPr>
        <w:t>竞争性磋商文件的第三章</w:t>
      </w:r>
      <w:r>
        <w:rPr>
          <w:rFonts w:hint="eastAsia" w:ascii="宋体" w:hAnsi="宋体" w:cs="华文中宋"/>
          <w:sz w:val="21"/>
          <w:szCs w:val="21"/>
          <w:highlight w:val="none"/>
          <w:u w:val="single"/>
          <w:lang w:val="en-US" w:eastAsia="zh-CN"/>
        </w:rPr>
        <w:t xml:space="preserve"> 采购人要求及</w:t>
      </w:r>
      <w:r>
        <w:rPr>
          <w:rFonts w:hint="eastAsia" w:ascii="宋体" w:hAnsi="宋体" w:cs="华文中宋"/>
          <w:sz w:val="21"/>
          <w:szCs w:val="21"/>
          <w:highlight w:val="none"/>
          <w:u w:val="single"/>
        </w:rPr>
        <w:t>技术标准和要求中，提出应由承包人承担的费用，</w:t>
      </w:r>
      <w:r>
        <w:rPr>
          <w:rFonts w:hint="eastAsia" w:ascii="宋体" w:hAnsi="宋体" w:cs="华文中宋"/>
          <w:sz w:val="21"/>
          <w:szCs w:val="21"/>
          <w:highlight w:val="none"/>
          <w:u w:val="single"/>
          <w:lang w:eastAsia="zh-CN"/>
        </w:rPr>
        <w:t>如实际发生时，</w:t>
      </w:r>
      <w:r>
        <w:rPr>
          <w:rFonts w:hint="eastAsia" w:ascii="宋体" w:hAnsi="宋体" w:cs="华文中宋"/>
          <w:sz w:val="21"/>
          <w:szCs w:val="21"/>
          <w:highlight w:val="none"/>
          <w:u w:val="single"/>
        </w:rPr>
        <w:t>结算时一律不做调整。</w:t>
      </w:r>
    </w:p>
    <w:p w14:paraId="2E7AE8DA">
      <w:pPr>
        <w:spacing w:line="360" w:lineRule="auto"/>
        <w:ind w:firstLine="420" w:firstLineChars="200"/>
        <w:rPr>
          <w:rFonts w:ascii="宋体" w:hAnsi="宋体" w:cs="宋体"/>
          <w:color w:val="000000"/>
          <w:sz w:val="21"/>
          <w:szCs w:val="21"/>
          <w:highlight w:val="none"/>
        </w:rPr>
      </w:pPr>
      <w:r>
        <w:rPr>
          <w:rFonts w:ascii="宋体" w:hAnsi="宋体" w:cs="宋体"/>
          <w:color w:val="000000"/>
          <w:sz w:val="21"/>
          <w:szCs w:val="21"/>
          <w:highlight w:val="none"/>
        </w:rPr>
        <w:t>1</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Start w:id="532" w:name="_Toc297048383"/>
      <w:bookmarkStart w:id="533" w:name="_Toc296944536"/>
      <w:bookmarkStart w:id="534" w:name="_Toc297123544"/>
      <w:bookmarkStart w:id="535" w:name="_Toc296346698"/>
      <w:bookmarkStart w:id="536" w:name="_Toc300934993"/>
      <w:bookmarkStart w:id="537" w:name="_Toc296891025"/>
      <w:bookmarkStart w:id="538" w:name="_Toc292559907"/>
      <w:bookmarkStart w:id="539" w:name="_Toc296503197"/>
      <w:bookmarkStart w:id="540" w:name="_Toc303539150"/>
      <w:bookmarkStart w:id="541" w:name="_Toc297120497"/>
      <w:bookmarkStart w:id="542" w:name="_Toc296347196"/>
      <w:bookmarkStart w:id="543" w:name="_Toc292559402"/>
      <w:bookmarkStart w:id="544" w:name="_Toc297216203"/>
      <w:bookmarkStart w:id="545" w:name="_Toc296891237"/>
      <w:bookmarkStart w:id="546" w:name="_Toc312678029"/>
      <w:bookmarkStart w:id="547" w:name="_Toc312677503"/>
      <w:bookmarkStart w:id="548" w:name="_Toc304295570"/>
      <w:r>
        <w:rPr>
          <w:rFonts w:ascii="宋体" w:hAnsi="宋体" w:cs="宋体"/>
          <w:color w:val="000000"/>
          <w:sz w:val="21"/>
          <w:szCs w:val="21"/>
          <w:highlight w:val="none"/>
        </w:rPr>
        <w:t>0.5承</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Start w:id="549" w:name="_Toc296347202"/>
      <w:bookmarkStart w:id="550" w:name="_Toc292559408"/>
      <w:bookmarkStart w:id="551" w:name="_Toc297123545"/>
      <w:bookmarkStart w:id="552" w:name="_Toc303539151"/>
      <w:bookmarkStart w:id="553" w:name="_Toc296891243"/>
      <w:bookmarkStart w:id="554" w:name="_Toc292559913"/>
      <w:bookmarkStart w:id="555" w:name="_Toc297048389"/>
      <w:bookmarkStart w:id="556" w:name="_Toc297216204"/>
      <w:bookmarkStart w:id="557" w:name="_Toc300934994"/>
      <w:bookmarkStart w:id="558" w:name="_Toc296346704"/>
      <w:bookmarkStart w:id="559" w:name="_Toc296891031"/>
      <w:bookmarkStart w:id="560" w:name="_Toc297120503"/>
      <w:bookmarkStart w:id="561" w:name="_Toc296944542"/>
      <w:bookmarkStart w:id="562" w:name="_Toc296503203"/>
      <w:r>
        <w:rPr>
          <w:rFonts w:hint="eastAsia" w:ascii="宋体" w:hAnsi="宋体" w:cs="宋体"/>
          <w:color w:val="000000"/>
          <w:sz w:val="21"/>
          <w:szCs w:val="21"/>
          <w:highlight w:val="none"/>
        </w:rPr>
        <w:t>包人的合理化建议</w:t>
      </w:r>
    </w:p>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14:paraId="495AFD4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监理人审查承包人合理化建议的期限：</w:t>
      </w:r>
      <w:r>
        <w:rPr>
          <w:rFonts w:ascii="宋体" w:hAnsi="宋体" w:cs="宋体"/>
          <w:color w:val="000000"/>
          <w:sz w:val="21"/>
          <w:szCs w:val="21"/>
          <w:highlight w:val="none"/>
          <w:u w:val="single"/>
        </w:rPr>
        <w:t>5日</w:t>
      </w:r>
      <w:r>
        <w:rPr>
          <w:rFonts w:hint="eastAsia" w:ascii="宋体" w:hAnsi="宋体" w:cs="宋体"/>
          <w:color w:val="000000"/>
          <w:sz w:val="21"/>
          <w:szCs w:val="21"/>
          <w:highlight w:val="none"/>
        </w:rPr>
        <w:t>。</w:t>
      </w:r>
    </w:p>
    <w:p w14:paraId="1506B82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发包人审批承包人合理化建议的期限：</w:t>
      </w:r>
      <w:r>
        <w:rPr>
          <w:rFonts w:ascii="宋体" w:hAnsi="宋体" w:cs="宋体"/>
          <w:color w:val="000000"/>
          <w:sz w:val="21"/>
          <w:szCs w:val="21"/>
          <w:highlight w:val="none"/>
          <w:u w:val="single"/>
        </w:rPr>
        <w:t>5日</w:t>
      </w:r>
      <w:r>
        <w:rPr>
          <w:rFonts w:hint="eastAsia" w:ascii="宋体" w:hAnsi="宋体" w:cs="宋体"/>
          <w:color w:val="000000"/>
          <w:sz w:val="21"/>
          <w:szCs w:val="21"/>
          <w:highlight w:val="none"/>
        </w:rPr>
        <w:t>。</w:t>
      </w:r>
    </w:p>
    <w:p w14:paraId="2D69A42C">
      <w:pPr>
        <w:spacing w:line="360" w:lineRule="auto"/>
        <w:ind w:firstLine="420" w:firstLineChars="200"/>
        <w:rPr>
          <w:rFonts w:ascii="宋体" w:hAnsi="宋体" w:cs="宋体"/>
          <w:color w:val="000000"/>
          <w:sz w:val="21"/>
          <w:szCs w:val="21"/>
          <w:highlight w:val="none"/>
        </w:rPr>
      </w:pPr>
      <w:r>
        <w:rPr>
          <w:rFonts w:ascii="宋体" w:hAnsi="宋体" w:cs="宋体"/>
          <w:color w:val="000000"/>
          <w:sz w:val="21"/>
          <w:szCs w:val="21"/>
          <w:highlight w:val="none"/>
        </w:rPr>
        <w:t>1</w:t>
      </w:r>
      <w:bookmarkStart w:id="563" w:name="_Toc292559404"/>
      <w:bookmarkStart w:id="564" w:name="_Toc296347198"/>
      <w:bookmarkStart w:id="565" w:name="_Toc312677507"/>
      <w:bookmarkStart w:id="566" w:name="_Toc296503199"/>
      <w:bookmarkStart w:id="567" w:name="_Toc297048385"/>
      <w:bookmarkStart w:id="568" w:name="_Toc292559909"/>
      <w:bookmarkStart w:id="569" w:name="_Toc300934997"/>
      <w:bookmarkStart w:id="570" w:name="_Toc297123548"/>
      <w:bookmarkStart w:id="571" w:name="_Toc296346700"/>
      <w:bookmarkStart w:id="572" w:name="_Toc304295574"/>
      <w:bookmarkStart w:id="573" w:name="_Toc296891027"/>
      <w:bookmarkStart w:id="574" w:name="_Toc296891239"/>
      <w:bookmarkStart w:id="575" w:name="_Toc303539154"/>
      <w:bookmarkStart w:id="576" w:name="_Toc296944538"/>
      <w:bookmarkStart w:id="577" w:name="_Toc297216207"/>
      <w:bookmarkStart w:id="578" w:name="_Toc312678033"/>
      <w:bookmarkStart w:id="579" w:name="_Toc297120499"/>
      <w:r>
        <w:rPr>
          <w:rFonts w:ascii="宋体" w:hAnsi="宋体" w:cs="宋体"/>
          <w:color w:val="000000"/>
          <w:sz w:val="21"/>
          <w:szCs w:val="21"/>
          <w:highlight w:val="none"/>
        </w:rPr>
        <w:t xml:space="preserve">0.7 </w:t>
      </w:r>
      <w:r>
        <w:rPr>
          <w:rFonts w:hint="eastAsia" w:ascii="宋体" w:hAnsi="宋体" w:cs="宋体"/>
          <w:color w:val="000000"/>
          <w:sz w:val="21"/>
          <w:szCs w:val="21"/>
          <w:highlight w:val="none"/>
        </w:rPr>
        <w:t>暂估价</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Start w:id="580" w:name="_Toc312677508"/>
      <w:bookmarkStart w:id="581" w:name="_Toc312678034"/>
      <w:bookmarkStart w:id="582" w:name="_Toc318581176"/>
      <w:r>
        <w:rPr>
          <w:rFonts w:hint="eastAsia" w:ascii="宋体" w:hAnsi="宋体" w:cs="宋体"/>
          <w:color w:val="000000"/>
          <w:sz w:val="21"/>
          <w:szCs w:val="21"/>
          <w:highlight w:val="none"/>
        </w:rPr>
        <w:t>：</w:t>
      </w:r>
    </w:p>
    <w:bookmarkEnd w:id="580"/>
    <w:bookmarkEnd w:id="581"/>
    <w:bookmarkEnd w:id="582"/>
    <w:p w14:paraId="5E98F3E0">
      <w:pPr>
        <w:keepNext/>
        <w:keepLines/>
        <w:spacing w:before="120" w:after="120" w:line="360" w:lineRule="auto"/>
        <w:jc w:val="left"/>
        <w:outlineLvl w:val="4"/>
        <w:rPr>
          <w:rFonts w:ascii="宋体" w:hAnsi="宋体" w:cs="宋体"/>
          <w:color w:val="000000"/>
          <w:sz w:val="21"/>
          <w:szCs w:val="21"/>
          <w:highlight w:val="none"/>
          <w:u w:val="single"/>
        </w:rPr>
      </w:pPr>
      <w:r>
        <w:rPr>
          <w:rFonts w:hint="eastAsia" w:ascii="宋体" w:hAnsi="宋体" w:cs="宋体"/>
          <w:color w:val="000000"/>
          <w:sz w:val="21"/>
          <w:szCs w:val="21"/>
          <w:highlight w:val="none"/>
        </w:rPr>
        <w:t>承包人直接实施的暂估价项目的约定：</w:t>
      </w:r>
      <w:bookmarkStart w:id="583" w:name="_Toc448911925"/>
      <w:bookmarkStart w:id="584" w:name="_Toc26174"/>
      <w:r>
        <w:rPr>
          <w:rFonts w:hint="eastAsia" w:ascii="宋体" w:hAnsi="宋体" w:cs="宋体"/>
          <w:color w:val="000000"/>
          <w:sz w:val="21"/>
          <w:szCs w:val="21"/>
          <w:highlight w:val="none"/>
          <w:u w:val="single"/>
          <w:lang w:val="en-US" w:eastAsia="zh-CN"/>
        </w:rPr>
        <w:t>/</w:t>
      </w:r>
      <w:r>
        <w:rPr>
          <w:rFonts w:hint="eastAsia" w:ascii="宋体" w:hAnsi="宋体" w:cs="宋体"/>
          <w:color w:val="000000"/>
          <w:sz w:val="21"/>
          <w:szCs w:val="21"/>
          <w:highlight w:val="none"/>
          <w:u w:val="single"/>
        </w:rPr>
        <w:t>。</w:t>
      </w:r>
    </w:p>
    <w:p w14:paraId="27B30C5D">
      <w:pPr>
        <w:keepNext/>
        <w:keepLines/>
        <w:spacing w:before="120" w:after="120" w:line="360" w:lineRule="auto"/>
        <w:ind w:firstLine="420" w:firstLineChars="200"/>
        <w:jc w:val="left"/>
        <w:outlineLvl w:val="4"/>
        <w:rPr>
          <w:rFonts w:ascii="宋体" w:hAnsi="宋体" w:cs="宋体"/>
          <w:color w:val="000000"/>
          <w:sz w:val="21"/>
          <w:szCs w:val="21"/>
          <w:highlight w:val="none"/>
        </w:rPr>
      </w:pPr>
      <w:r>
        <w:rPr>
          <w:rFonts w:ascii="宋体" w:hAnsi="宋体" w:cs="宋体"/>
          <w:color w:val="000000"/>
          <w:sz w:val="21"/>
          <w:szCs w:val="21"/>
          <w:highlight w:val="none"/>
        </w:rPr>
        <w:t xml:space="preserve">10.8 </w:t>
      </w:r>
      <w:r>
        <w:rPr>
          <w:rFonts w:hint="eastAsia" w:ascii="宋体" w:hAnsi="宋体" w:cs="宋体"/>
          <w:color w:val="000000"/>
          <w:sz w:val="21"/>
          <w:szCs w:val="21"/>
          <w:highlight w:val="none"/>
        </w:rPr>
        <w:t>暂列金额</w:t>
      </w:r>
      <w:bookmarkEnd w:id="583"/>
      <w:bookmarkEnd w:id="584"/>
    </w:p>
    <w:p w14:paraId="69E993FE">
      <w:pPr>
        <w:spacing w:line="360" w:lineRule="auto"/>
        <w:ind w:firstLine="420" w:firstLineChars="200"/>
        <w:rPr>
          <w:rFonts w:ascii="宋体" w:hAnsi="宋体" w:cs="宋体"/>
          <w:color w:val="000000"/>
          <w:sz w:val="21"/>
          <w:szCs w:val="21"/>
          <w:highlight w:val="none"/>
        </w:rPr>
      </w:pPr>
      <w:r>
        <w:rPr>
          <w:rFonts w:hint="eastAsia" w:ascii="宋体" w:hAnsi="宋体" w:cs="华文中宋"/>
          <w:kern w:val="0"/>
          <w:sz w:val="21"/>
          <w:szCs w:val="21"/>
          <w:highlight w:val="none"/>
        </w:rPr>
        <w:t>合同当事人关于暂列金额使用的约定：</w:t>
      </w:r>
      <w:r>
        <w:rPr>
          <w:rFonts w:hint="eastAsia" w:ascii="宋体" w:hAnsi="宋体" w:cs="华文中宋"/>
          <w:kern w:val="0"/>
          <w:sz w:val="21"/>
          <w:szCs w:val="21"/>
          <w:highlight w:val="none"/>
          <w:u w:val="single"/>
          <w:lang w:val="en-US" w:eastAsia="zh-CN"/>
        </w:rPr>
        <w:t>/</w:t>
      </w:r>
      <w:r>
        <w:rPr>
          <w:rFonts w:hint="eastAsia" w:ascii="宋体" w:hAnsi="宋体" w:cs="华文中宋"/>
          <w:b/>
          <w:kern w:val="0"/>
          <w:sz w:val="21"/>
          <w:szCs w:val="21"/>
          <w:highlight w:val="none"/>
        </w:rPr>
        <w:t>。</w:t>
      </w:r>
    </w:p>
    <w:p w14:paraId="0BBF099A">
      <w:pPr>
        <w:spacing w:line="360" w:lineRule="auto"/>
        <w:ind w:firstLine="420" w:firstLineChars="200"/>
        <w:jc w:val="left"/>
        <w:rPr>
          <w:rFonts w:ascii="宋体" w:hAnsi="宋体" w:cs="宋体"/>
          <w:b/>
          <w:color w:val="000000"/>
          <w:sz w:val="21"/>
          <w:szCs w:val="21"/>
          <w:highlight w:val="none"/>
        </w:rPr>
      </w:pPr>
      <w:bookmarkStart w:id="585" w:name="_Toc351203643"/>
      <w:r>
        <w:rPr>
          <w:rFonts w:hint="eastAsia" w:ascii="宋体" w:hAnsi="宋体" w:cs="宋体"/>
          <w:b/>
          <w:color w:val="000000"/>
          <w:sz w:val="21"/>
          <w:szCs w:val="21"/>
          <w:highlight w:val="none"/>
        </w:rPr>
        <w:t>十一、价格调整</w:t>
      </w:r>
      <w:bookmarkEnd w:id="585"/>
    </w:p>
    <w:p w14:paraId="65041068">
      <w:pPr>
        <w:spacing w:line="360" w:lineRule="auto"/>
        <w:ind w:firstLine="420" w:firstLineChars="200"/>
        <w:rPr>
          <w:rFonts w:ascii="宋体" w:hAnsi="宋体" w:cs="宋体"/>
          <w:color w:val="000000"/>
          <w:sz w:val="21"/>
          <w:szCs w:val="21"/>
          <w:highlight w:val="none"/>
        </w:rPr>
      </w:pPr>
      <w:bookmarkStart w:id="586" w:name="_Toc297123550"/>
      <w:bookmarkStart w:id="587" w:name="_Toc296347200"/>
      <w:bookmarkStart w:id="588" w:name="_Toc296346702"/>
      <w:bookmarkStart w:id="589" w:name="_Toc312678039"/>
      <w:bookmarkStart w:id="590" w:name="_Toc304295577"/>
      <w:bookmarkStart w:id="591" w:name="_Toc303539157"/>
      <w:bookmarkStart w:id="592" w:name="_Toc297216209"/>
      <w:bookmarkStart w:id="593" w:name="_Toc292559911"/>
      <w:bookmarkStart w:id="594" w:name="_Toc296503201"/>
      <w:bookmarkStart w:id="595" w:name="_Toc292559406"/>
      <w:bookmarkStart w:id="596" w:name="_Toc296891029"/>
      <w:bookmarkStart w:id="597" w:name="_Toc296944540"/>
      <w:bookmarkStart w:id="598" w:name="_Toc296891241"/>
      <w:bookmarkStart w:id="599" w:name="_Toc297120501"/>
      <w:bookmarkStart w:id="600" w:name="_Toc300935000"/>
      <w:bookmarkStart w:id="601" w:name="_Toc297048387"/>
      <w:r>
        <w:rPr>
          <w:rFonts w:hint="eastAsia" w:ascii="宋体" w:hAnsi="宋体" w:cs="宋体"/>
          <w:color w:val="000000"/>
          <w:sz w:val="21"/>
          <w:szCs w:val="21"/>
          <w:highlight w:val="none"/>
        </w:rPr>
        <w:t>11.1 市场价格波动引起的调整</w:t>
      </w:r>
    </w:p>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14:paraId="11949AE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kern w:val="0"/>
          <w:sz w:val="21"/>
          <w:szCs w:val="21"/>
          <w:highlight w:val="none"/>
        </w:rPr>
        <w:t>市场价格波动是否调整合同价格的约定：</w:t>
      </w:r>
      <w:r>
        <w:rPr>
          <w:rFonts w:hint="eastAsia" w:ascii="宋体" w:hAnsi="宋体" w:cs="宋体"/>
          <w:color w:val="000000"/>
          <w:kern w:val="0"/>
          <w:sz w:val="21"/>
          <w:szCs w:val="21"/>
          <w:highlight w:val="none"/>
          <w:u w:val="single"/>
        </w:rPr>
        <w:t>不做</w:t>
      </w:r>
      <w:r>
        <w:rPr>
          <w:rFonts w:hint="eastAsia" w:ascii="宋体" w:hAnsi="宋体" w:cs="宋体"/>
          <w:color w:val="000000"/>
          <w:sz w:val="21"/>
          <w:szCs w:val="21"/>
          <w:highlight w:val="none"/>
          <w:u w:val="single"/>
        </w:rPr>
        <w:t>调整。</w:t>
      </w:r>
    </w:p>
    <w:bookmarkEnd w:id="509"/>
    <w:bookmarkEnd w:id="510"/>
    <w:bookmarkEnd w:id="511"/>
    <w:bookmarkEnd w:id="512"/>
    <w:bookmarkEnd w:id="513"/>
    <w:bookmarkEnd w:id="514"/>
    <w:p w14:paraId="2479BAA7">
      <w:pPr>
        <w:spacing w:line="360" w:lineRule="auto"/>
        <w:ind w:firstLine="420" w:firstLineChars="200"/>
        <w:jc w:val="left"/>
        <w:rPr>
          <w:rFonts w:ascii="宋体" w:hAnsi="宋体" w:cs="宋体"/>
          <w:b/>
          <w:color w:val="000000"/>
          <w:sz w:val="21"/>
          <w:szCs w:val="21"/>
          <w:highlight w:val="none"/>
        </w:rPr>
      </w:pPr>
      <w:bookmarkStart w:id="602" w:name="_Toc351203644"/>
      <w:bookmarkStart w:id="603" w:name="_Toc304295579"/>
      <w:bookmarkStart w:id="604" w:name="_Toc303539159"/>
      <w:bookmarkStart w:id="605" w:name="_Toc297216211"/>
      <w:bookmarkStart w:id="606" w:name="_Toc312678040"/>
      <w:bookmarkStart w:id="607" w:name="_Toc297123552"/>
      <w:bookmarkStart w:id="608" w:name="_Toc300935002"/>
      <w:r>
        <w:rPr>
          <w:rFonts w:hint="eastAsia" w:ascii="宋体" w:hAnsi="宋体" w:cs="宋体"/>
          <w:b/>
          <w:color w:val="000000"/>
          <w:sz w:val="21"/>
          <w:szCs w:val="21"/>
          <w:highlight w:val="none"/>
        </w:rPr>
        <w:t>十二、合同价格、计量与支付</w:t>
      </w:r>
      <w:bookmarkEnd w:id="602"/>
    </w:p>
    <w:bookmarkEnd w:id="603"/>
    <w:bookmarkEnd w:id="604"/>
    <w:bookmarkEnd w:id="605"/>
    <w:bookmarkEnd w:id="606"/>
    <w:bookmarkEnd w:id="607"/>
    <w:bookmarkEnd w:id="608"/>
    <w:p w14:paraId="5D50F040">
      <w:pPr>
        <w:spacing w:line="360" w:lineRule="auto"/>
        <w:ind w:firstLine="420" w:firstLineChars="200"/>
        <w:jc w:val="left"/>
        <w:rPr>
          <w:rFonts w:ascii="宋体" w:hAnsi="宋体" w:cs="宋体"/>
          <w:color w:val="000000"/>
          <w:sz w:val="21"/>
          <w:szCs w:val="21"/>
          <w:highlight w:val="none"/>
        </w:rPr>
      </w:pPr>
      <w:bookmarkStart w:id="609" w:name="_Toc292559916"/>
      <w:bookmarkStart w:id="610" w:name="_Toc267251461"/>
      <w:bookmarkStart w:id="611" w:name="_Toc292559411"/>
      <w:bookmarkStart w:id="612" w:name="_Toc297120506"/>
      <w:bookmarkStart w:id="613" w:name="_Toc296346707"/>
      <w:bookmarkStart w:id="614" w:name="_Toc296503206"/>
      <w:bookmarkStart w:id="615" w:name="_Toc296347205"/>
      <w:bookmarkStart w:id="616" w:name="_Toc296891246"/>
      <w:bookmarkStart w:id="617" w:name="_Toc297048392"/>
      <w:bookmarkStart w:id="618" w:name="_Toc296891034"/>
      <w:bookmarkStart w:id="619" w:name="_Toc296944545"/>
      <w:bookmarkStart w:id="620" w:name="_Toc312678041"/>
      <w:bookmarkStart w:id="621" w:name="_Toc304295580"/>
      <w:bookmarkStart w:id="622" w:name="_Toc300935003"/>
      <w:bookmarkStart w:id="623" w:name="_Toc303539160"/>
      <w:bookmarkStart w:id="624" w:name="_Toc297216212"/>
      <w:bookmarkStart w:id="625" w:name="_Toc297123553"/>
      <w:bookmarkStart w:id="626" w:name="_Toc312678042"/>
      <w:bookmarkStart w:id="627" w:name="_Toc300935004"/>
      <w:bookmarkStart w:id="628" w:name="_Toc304295581"/>
      <w:bookmarkStart w:id="629" w:name="_Toc297123554"/>
      <w:bookmarkStart w:id="630" w:name="_Toc303539161"/>
      <w:bookmarkStart w:id="631" w:name="_Toc297216213"/>
      <w:bookmarkStart w:id="632" w:name="_Toc297048393"/>
      <w:bookmarkStart w:id="633" w:name="_Toc296891247"/>
      <w:bookmarkStart w:id="634" w:name="_Toc292559917"/>
      <w:bookmarkStart w:id="635" w:name="_Toc296891035"/>
      <w:bookmarkStart w:id="636" w:name="_Toc297120507"/>
      <w:bookmarkStart w:id="637" w:name="_Toc296503207"/>
      <w:bookmarkStart w:id="638" w:name="_Toc296347206"/>
      <w:bookmarkStart w:id="639" w:name="_Toc292559412"/>
      <w:bookmarkStart w:id="640" w:name="_Toc296346708"/>
      <w:bookmarkStart w:id="641" w:name="_Toc296944546"/>
      <w:r>
        <w:rPr>
          <w:rFonts w:hint="eastAsia" w:ascii="宋体" w:hAnsi="宋体" w:cs="宋体"/>
          <w:color w:val="000000"/>
          <w:sz w:val="21"/>
          <w:szCs w:val="21"/>
          <w:highlight w:val="none"/>
        </w:rPr>
        <w:t>12.1 合</w:t>
      </w:r>
      <w:bookmarkEnd w:id="609"/>
      <w:bookmarkEnd w:id="610"/>
      <w:bookmarkEnd w:id="611"/>
      <w:r>
        <w:rPr>
          <w:rFonts w:hint="eastAsia" w:ascii="宋体" w:hAnsi="宋体" w:cs="宋体"/>
          <w:color w:val="000000"/>
          <w:sz w:val="21"/>
          <w:szCs w:val="21"/>
          <w:highlight w:val="none"/>
        </w:rPr>
        <w:t>同价</w:t>
      </w:r>
      <w:bookmarkEnd w:id="612"/>
      <w:bookmarkEnd w:id="613"/>
      <w:bookmarkEnd w:id="614"/>
      <w:bookmarkEnd w:id="615"/>
      <w:bookmarkEnd w:id="616"/>
      <w:bookmarkEnd w:id="617"/>
      <w:bookmarkEnd w:id="618"/>
      <w:bookmarkEnd w:id="619"/>
      <w:r>
        <w:rPr>
          <w:rFonts w:hint="eastAsia" w:ascii="宋体" w:hAnsi="宋体" w:cs="宋体"/>
          <w:color w:val="000000"/>
          <w:sz w:val="21"/>
          <w:szCs w:val="21"/>
          <w:highlight w:val="none"/>
        </w:rPr>
        <w:t>格形式</w:t>
      </w:r>
    </w:p>
    <w:bookmarkEnd w:id="620"/>
    <w:bookmarkEnd w:id="621"/>
    <w:bookmarkEnd w:id="622"/>
    <w:bookmarkEnd w:id="623"/>
    <w:bookmarkEnd w:id="624"/>
    <w:bookmarkEnd w:id="625"/>
    <w:p w14:paraId="3F9618F7">
      <w:pPr>
        <w:keepNext w:val="0"/>
        <w:keepLines w:val="0"/>
        <w:pageBreakBefore w:val="0"/>
        <w:widowControl/>
        <w:kinsoku/>
        <w:wordWrap/>
        <w:overflowPunct/>
        <w:topLinePunct/>
        <w:autoSpaceDE/>
        <w:autoSpaceDN w:val="0"/>
        <w:bidi w:val="0"/>
        <w:adjustRightInd w:val="0"/>
        <w:snapToGrid w:val="0"/>
        <w:spacing w:line="360" w:lineRule="auto"/>
        <w:ind w:left="0" w:right="0" w:firstLine="420" w:firstLineChars="200"/>
        <w:jc w:val="left"/>
        <w:textAlignment w:val="baseline"/>
        <w:rPr>
          <w:rFonts w:hint="eastAsia" w:ascii="宋体" w:hAnsi="宋体" w:cs="宋体"/>
          <w:color w:val="000000"/>
          <w:spacing w:val="0"/>
          <w:kern w:val="0"/>
          <w:sz w:val="21"/>
          <w:szCs w:val="21"/>
          <w:highlight w:val="none"/>
        </w:rPr>
      </w:pPr>
      <w:r>
        <w:rPr>
          <w:rFonts w:hint="eastAsia" w:ascii="宋体" w:hAnsi="宋体" w:cs="宋体"/>
          <w:color w:val="000000"/>
          <w:sz w:val="21"/>
          <w:szCs w:val="21"/>
          <w:highlight w:val="none"/>
        </w:rPr>
        <w:t>12.1.1发包人和承包人约定执行固定总价合同。</w:t>
      </w:r>
      <w:r>
        <w:rPr>
          <w:rFonts w:hint="eastAsia" w:ascii="宋体" w:hAnsi="宋体" w:cs="宋体"/>
          <w:color w:val="000000"/>
          <w:spacing w:val="0"/>
          <w:kern w:val="0"/>
          <w:sz w:val="21"/>
          <w:szCs w:val="21"/>
          <w:highlight w:val="none"/>
        </w:rPr>
        <w:t>合同价款（含税）：小写：</w:t>
      </w:r>
      <w:r>
        <w:rPr>
          <w:rFonts w:hint="eastAsia" w:ascii="宋体" w:hAnsi="宋体" w:cs="宋体"/>
          <w:color w:val="000000"/>
          <w:spacing w:val="0"/>
          <w:kern w:val="0"/>
          <w:sz w:val="21"/>
          <w:szCs w:val="21"/>
          <w:highlight w:val="none"/>
          <w:u w:val="single"/>
          <w:lang w:val="en-US" w:eastAsia="zh-CN"/>
        </w:rPr>
        <w:t xml:space="preserve">       </w:t>
      </w:r>
      <w:r>
        <w:rPr>
          <w:rFonts w:hint="eastAsia" w:ascii="宋体" w:hAnsi="宋体" w:cs="宋体"/>
          <w:color w:val="000000"/>
          <w:spacing w:val="0"/>
          <w:kern w:val="0"/>
          <w:sz w:val="21"/>
          <w:szCs w:val="21"/>
          <w:highlight w:val="none"/>
        </w:rPr>
        <w:t>，大写：（人民币）</w:t>
      </w:r>
      <w:r>
        <w:rPr>
          <w:rFonts w:hint="eastAsia" w:ascii="宋体" w:hAnsi="宋体" w:cs="宋体"/>
          <w:color w:val="000000"/>
          <w:spacing w:val="0"/>
          <w:kern w:val="0"/>
          <w:sz w:val="21"/>
          <w:szCs w:val="21"/>
          <w:highlight w:val="none"/>
          <w:u w:val="single"/>
          <w:lang w:val="en-US" w:eastAsia="zh-CN"/>
        </w:rPr>
        <w:t xml:space="preserve">       </w:t>
      </w:r>
      <w:r>
        <w:rPr>
          <w:rFonts w:hint="eastAsia" w:ascii="宋体" w:hAnsi="宋体" w:cs="宋体"/>
          <w:color w:val="000000"/>
          <w:spacing w:val="0"/>
          <w:kern w:val="0"/>
          <w:sz w:val="21"/>
          <w:szCs w:val="21"/>
          <w:highlight w:val="none"/>
        </w:rPr>
        <w:t>。以上费用为包工包料、包工期、包质量、包安全、包文明施工等所有完成本工程的所有费用；给定清单中未包含的子项目，视为已包含在清单中；最终完成的工程量不得少于清单中的工程量。</w:t>
      </w:r>
    </w:p>
    <w:p w14:paraId="4DD678DF">
      <w:pPr>
        <w:keepNext w:val="0"/>
        <w:keepLines w:val="0"/>
        <w:pageBreakBefore w:val="0"/>
        <w:widowControl/>
        <w:kinsoku/>
        <w:wordWrap/>
        <w:overflowPunct/>
        <w:topLinePunct/>
        <w:autoSpaceDE/>
        <w:autoSpaceDN w:val="0"/>
        <w:bidi w:val="0"/>
        <w:adjustRightInd w:val="0"/>
        <w:snapToGrid w:val="0"/>
        <w:spacing w:line="360" w:lineRule="auto"/>
        <w:ind w:left="0" w:right="0" w:firstLine="420" w:firstLineChars="200"/>
        <w:jc w:val="left"/>
        <w:textAlignment w:val="baseline"/>
        <w:rPr>
          <w:rFonts w:hint="eastAsia" w:ascii="宋体" w:hAnsi="宋体" w:cs="宋体"/>
          <w:color w:val="000000"/>
          <w:spacing w:val="0"/>
          <w:kern w:val="0"/>
          <w:sz w:val="21"/>
          <w:szCs w:val="21"/>
          <w:highlight w:val="none"/>
        </w:rPr>
      </w:pPr>
      <w:r>
        <w:rPr>
          <w:rFonts w:hint="eastAsia" w:ascii="宋体" w:hAnsi="宋体" w:cs="宋体"/>
          <w:color w:val="000000"/>
          <w:spacing w:val="0"/>
          <w:kern w:val="0"/>
          <w:sz w:val="21"/>
          <w:szCs w:val="21"/>
          <w:highlight w:val="none"/>
          <w:lang w:val="en-US" w:eastAsia="zh-CN"/>
        </w:rPr>
        <w:t>12.1.2</w:t>
      </w:r>
      <w:r>
        <w:rPr>
          <w:rFonts w:hint="eastAsia" w:ascii="宋体" w:hAnsi="宋体" w:cs="宋体"/>
          <w:color w:val="000000"/>
          <w:spacing w:val="0"/>
          <w:kern w:val="0"/>
          <w:sz w:val="21"/>
          <w:szCs w:val="21"/>
          <w:highlight w:val="none"/>
        </w:rPr>
        <w:t>合同价款一次性包死，包括但不限于乙方完成该工程项目的直接费、间接费、利润、税金、保险费、其它费用以及合同明示或暗示的所有风险、责任和义务等全部费用。</w:t>
      </w:r>
    </w:p>
    <w:p w14:paraId="14B9D3D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pacing w:val="0"/>
          <w:kern w:val="0"/>
          <w:sz w:val="21"/>
          <w:szCs w:val="21"/>
          <w:highlight w:val="none"/>
          <w:lang w:val="en-US" w:eastAsia="zh-CN"/>
        </w:rPr>
        <w:t>12.1.3</w:t>
      </w:r>
      <w:r>
        <w:rPr>
          <w:rFonts w:hint="eastAsia" w:ascii="宋体" w:hAnsi="宋体" w:cs="宋体"/>
          <w:color w:val="000000"/>
          <w:spacing w:val="0"/>
          <w:kern w:val="0"/>
          <w:sz w:val="21"/>
          <w:szCs w:val="21"/>
          <w:highlight w:val="none"/>
        </w:rPr>
        <w:t>合同价款按照中标确定的价格和合同中明确的工程范围，在工程实 施过程中一次性包死。采购工程量清单包含的由于乙方漏报、未报的项目，或 图纸及清单未包含，但因施工需要的工程量，视同供应商优惠，不予调整，并 认为此项费用已包括在工程量清单的其它综合单价和合价中。</w:t>
      </w:r>
    </w:p>
    <w:p w14:paraId="51CCE9A4">
      <w:pPr>
        <w:pStyle w:val="3"/>
        <w:spacing w:line="360" w:lineRule="auto"/>
        <w:ind w:firstLine="422"/>
        <w:rPr>
          <w:sz w:val="21"/>
          <w:szCs w:val="21"/>
          <w:highlight w:val="none"/>
        </w:rPr>
      </w:pPr>
      <w:r>
        <w:rPr>
          <w:rFonts w:hint="eastAsia" w:ascii="宋体" w:hAnsi="宋体" w:cs="宋体"/>
          <w:b/>
          <w:bCs/>
          <w:color w:val="000000"/>
          <w:sz w:val="21"/>
          <w:szCs w:val="21"/>
          <w:highlight w:val="none"/>
        </w:rPr>
        <w:t xml:space="preserve">其中： </w:t>
      </w:r>
    </w:p>
    <w:p w14:paraId="5B04FBC1">
      <w:pPr>
        <w:pStyle w:val="3"/>
        <w:spacing w:line="360" w:lineRule="auto"/>
        <w:ind w:firstLine="420"/>
        <w:rPr>
          <w:rFonts w:ascii="宋体" w:hAnsi="宋体" w:cs="宋体"/>
          <w:color w:val="000000"/>
          <w:sz w:val="21"/>
          <w:szCs w:val="21"/>
          <w:highlight w:val="none"/>
        </w:rPr>
      </w:pPr>
      <w:r>
        <w:rPr>
          <w:rFonts w:hint="eastAsia" w:ascii="宋体" w:hAnsi="宋体" w:cs="宋体"/>
          <w:color w:val="000000"/>
          <w:sz w:val="21"/>
          <w:szCs w:val="21"/>
          <w:highlight w:val="none"/>
        </w:rPr>
        <w:t>风险费用的计算方法：</w:t>
      </w:r>
      <w:r>
        <w:rPr>
          <w:rFonts w:hint="eastAsia" w:ascii="宋体" w:hAnsi="宋体" w:cs="宋体"/>
          <w:color w:val="000000"/>
          <w:sz w:val="21"/>
          <w:szCs w:val="21"/>
          <w:highlight w:val="none"/>
          <w:u w:val="single"/>
        </w:rPr>
        <w:t>/。</w:t>
      </w:r>
    </w:p>
    <w:p w14:paraId="550D4141">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风险范围以外合同价格的调整方法：</w:t>
      </w:r>
      <w:r>
        <w:rPr>
          <w:rFonts w:hint="eastAsia" w:ascii="宋体" w:hAnsi="宋体" w:cs="宋体"/>
          <w:sz w:val="21"/>
          <w:szCs w:val="21"/>
          <w:highlight w:val="none"/>
          <w:u w:val="single"/>
        </w:rPr>
        <w:t>/。</w:t>
      </w:r>
    </w:p>
    <w:p w14:paraId="7468A73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12.2 预付款</w:t>
      </w:r>
    </w:p>
    <w:bookmarkEnd w:id="626"/>
    <w:bookmarkEnd w:id="627"/>
    <w:bookmarkEnd w:id="628"/>
    <w:bookmarkEnd w:id="629"/>
    <w:bookmarkEnd w:id="630"/>
    <w:bookmarkEnd w:id="631"/>
    <w:p w14:paraId="2BDD204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12.2.1 预付款的支付</w:t>
      </w:r>
    </w:p>
    <w:p w14:paraId="7092703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预付款支付比例或金额：</w:t>
      </w:r>
      <w:r>
        <w:rPr>
          <w:rFonts w:hint="eastAsia" w:ascii="宋体" w:hAnsi="宋体" w:cs="宋体"/>
          <w:color w:val="000000"/>
          <w:sz w:val="21"/>
          <w:szCs w:val="21"/>
          <w:highlight w:val="none"/>
          <w:u w:val="single"/>
        </w:rPr>
        <w:t>无预付款。</w:t>
      </w:r>
    </w:p>
    <w:p w14:paraId="4B93D9F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预付款支付期限：</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w:t>
      </w:r>
    </w:p>
    <w:p w14:paraId="272FD11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预付款扣回的方式：</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w:t>
      </w:r>
    </w:p>
    <w:p w14:paraId="4E62A1B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12.2.2 预付款担保</w:t>
      </w:r>
    </w:p>
    <w:bookmarkEnd w:id="632"/>
    <w:bookmarkEnd w:id="633"/>
    <w:bookmarkEnd w:id="634"/>
    <w:bookmarkEnd w:id="635"/>
    <w:bookmarkEnd w:id="636"/>
    <w:bookmarkEnd w:id="637"/>
    <w:bookmarkEnd w:id="638"/>
    <w:bookmarkEnd w:id="639"/>
    <w:bookmarkEnd w:id="640"/>
    <w:bookmarkEnd w:id="641"/>
    <w:p w14:paraId="7A87D08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承包人提交预付款担保的期限：</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w:t>
      </w:r>
    </w:p>
    <w:p w14:paraId="62C4601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预付款担保的形式为：</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w:t>
      </w:r>
    </w:p>
    <w:p w14:paraId="31A0C6A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12.3 计量</w:t>
      </w:r>
    </w:p>
    <w:p w14:paraId="715F89C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12.3.1 计量原则</w:t>
      </w:r>
    </w:p>
    <w:p w14:paraId="68EFBB2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工程量计算规则：</w:t>
      </w:r>
      <w:r>
        <w:rPr>
          <w:rFonts w:hint="eastAsia" w:ascii="宋体" w:hAnsi="宋体" w:cs="宋体"/>
          <w:color w:val="000000"/>
          <w:sz w:val="21"/>
          <w:szCs w:val="21"/>
          <w:highlight w:val="none"/>
          <w:u w:val="single"/>
        </w:rPr>
        <w:t>以国家标准、行业标准为依据</w:t>
      </w:r>
      <w:r>
        <w:rPr>
          <w:rFonts w:hint="eastAsia" w:ascii="宋体" w:hAnsi="宋体" w:cs="宋体"/>
          <w:color w:val="000000"/>
          <w:sz w:val="21"/>
          <w:szCs w:val="21"/>
          <w:highlight w:val="none"/>
        </w:rPr>
        <w:t>。</w:t>
      </w:r>
    </w:p>
    <w:p w14:paraId="59F644C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12.3.2 计量周期</w:t>
      </w:r>
    </w:p>
    <w:p w14:paraId="77834E8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关于计量周期的约定：</w:t>
      </w:r>
      <w:r>
        <w:rPr>
          <w:rFonts w:hint="eastAsia" w:ascii="宋体" w:hAnsi="宋体" w:cs="宋体"/>
          <w:color w:val="000000"/>
          <w:sz w:val="21"/>
          <w:szCs w:val="21"/>
          <w:highlight w:val="none"/>
          <w:u w:val="single"/>
        </w:rPr>
        <w:t>按进度</w:t>
      </w:r>
      <w:r>
        <w:rPr>
          <w:rFonts w:hint="eastAsia" w:ascii="宋体" w:hAnsi="宋体" w:cs="宋体"/>
          <w:color w:val="000000"/>
          <w:sz w:val="21"/>
          <w:szCs w:val="21"/>
          <w:highlight w:val="none"/>
        </w:rPr>
        <w:t>。</w:t>
      </w:r>
    </w:p>
    <w:p w14:paraId="6096A48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12.3.3 单价合同的计量</w:t>
      </w:r>
    </w:p>
    <w:p w14:paraId="0DB839A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关于单价合同计量的约定：</w:t>
      </w:r>
    </w:p>
    <w:p w14:paraId="2B01E27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12.4 工程进度款支付</w:t>
      </w:r>
    </w:p>
    <w:p w14:paraId="35A71C8A">
      <w:pPr>
        <w:spacing w:line="360" w:lineRule="auto"/>
        <w:ind w:firstLine="420" w:firstLineChars="200"/>
        <w:jc w:val="left"/>
        <w:rPr>
          <w:rFonts w:ascii="宋体" w:hAnsi="宋体" w:cs="宋体"/>
          <w:color w:val="000000"/>
          <w:sz w:val="21"/>
          <w:szCs w:val="21"/>
          <w:highlight w:val="none"/>
        </w:rPr>
      </w:pPr>
      <w:bookmarkStart w:id="642" w:name="_Toc296346712"/>
      <w:bookmarkStart w:id="643" w:name="_Toc296891039"/>
      <w:bookmarkStart w:id="644" w:name="_Toc296503211"/>
      <w:bookmarkStart w:id="645" w:name="_Toc297216215"/>
      <w:bookmarkStart w:id="646" w:name="_Toc296347210"/>
      <w:bookmarkStart w:id="647" w:name="_Toc297120511"/>
      <w:bookmarkStart w:id="648" w:name="_Toc296944550"/>
      <w:bookmarkStart w:id="649" w:name="_Toc292559921"/>
      <w:bookmarkStart w:id="650" w:name="_Toc297048397"/>
      <w:bookmarkStart w:id="651" w:name="_Toc303539163"/>
      <w:bookmarkStart w:id="652" w:name="_Toc300935006"/>
      <w:bookmarkStart w:id="653" w:name="_Toc297123556"/>
      <w:bookmarkStart w:id="654" w:name="_Toc292559416"/>
      <w:bookmarkStart w:id="655" w:name="_Toc296891251"/>
      <w:r>
        <w:rPr>
          <w:rFonts w:hint="eastAsia" w:ascii="宋体" w:hAnsi="宋体" w:cs="宋体"/>
          <w:color w:val="000000"/>
          <w:sz w:val="21"/>
          <w:szCs w:val="21"/>
          <w:highlight w:val="none"/>
        </w:rPr>
        <w:t>12.4.1 付款周期</w:t>
      </w:r>
    </w:p>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14:paraId="2973C491">
      <w:pPr>
        <w:adjustRightInd w:val="0"/>
        <w:snapToGrid w:val="0"/>
        <w:spacing w:line="360" w:lineRule="auto"/>
        <w:ind w:firstLine="600"/>
        <w:rPr>
          <w:rFonts w:hint="eastAsia" w:ascii="宋体" w:hAnsi="宋体" w:cs="宋体"/>
          <w:spacing w:val="-11"/>
          <w:sz w:val="21"/>
          <w:szCs w:val="21"/>
          <w:highlight w:val="none"/>
          <w:lang w:val="en-US" w:eastAsia="zh-CN"/>
        </w:rPr>
      </w:pPr>
      <w:r>
        <w:rPr>
          <w:rFonts w:hint="eastAsia" w:ascii="宋体" w:hAnsi="宋体" w:cs="宋体"/>
          <w:spacing w:val="-11"/>
          <w:sz w:val="21"/>
          <w:szCs w:val="21"/>
          <w:highlight w:val="none"/>
          <w:lang w:val="en-US" w:eastAsia="zh-CN"/>
        </w:rPr>
        <w:t>1.工程进度款支付：</w:t>
      </w:r>
    </w:p>
    <w:p w14:paraId="5AA6CF59">
      <w:pPr>
        <w:adjustRightInd w:val="0"/>
        <w:snapToGrid w:val="0"/>
        <w:spacing w:line="360" w:lineRule="auto"/>
        <w:ind w:firstLine="600"/>
        <w:rPr>
          <w:rFonts w:hint="eastAsia" w:ascii="宋体" w:hAnsi="宋体" w:cs="宋体"/>
          <w:spacing w:val="-11"/>
          <w:sz w:val="21"/>
          <w:szCs w:val="21"/>
          <w:highlight w:val="none"/>
          <w:lang w:val="en-US" w:eastAsia="zh-CN"/>
        </w:rPr>
      </w:pPr>
      <w:r>
        <w:rPr>
          <w:rFonts w:hint="eastAsia" w:ascii="宋体" w:hAnsi="宋体" w:cs="宋体"/>
          <w:spacing w:val="-11"/>
          <w:sz w:val="21"/>
          <w:szCs w:val="21"/>
          <w:highlight w:val="none"/>
          <w:lang w:val="en-US" w:eastAsia="zh-CN"/>
        </w:rPr>
        <w:t>（1）合同签订后10日内，发包人向承包人支付合同价款的30%作为工程预付款；</w:t>
      </w:r>
    </w:p>
    <w:p w14:paraId="0B6A9F5B">
      <w:pPr>
        <w:adjustRightInd w:val="0"/>
        <w:snapToGrid w:val="0"/>
        <w:spacing w:line="360" w:lineRule="auto"/>
        <w:ind w:firstLine="600"/>
        <w:rPr>
          <w:rFonts w:hint="eastAsia" w:ascii="宋体" w:hAnsi="宋体" w:cs="宋体"/>
          <w:spacing w:val="-11"/>
          <w:sz w:val="21"/>
          <w:szCs w:val="21"/>
          <w:highlight w:val="none"/>
          <w:lang w:val="en-US" w:eastAsia="zh-CN"/>
        </w:rPr>
      </w:pPr>
      <w:r>
        <w:rPr>
          <w:rFonts w:hint="eastAsia" w:ascii="宋体" w:hAnsi="宋体" w:cs="宋体"/>
          <w:spacing w:val="-11"/>
          <w:sz w:val="21"/>
          <w:szCs w:val="21"/>
          <w:highlight w:val="none"/>
          <w:lang w:val="en-US" w:eastAsia="zh-CN"/>
        </w:rPr>
        <w:t>（2）竣工验收合格且达到付款条件起10日内，支付合同总金额的50%.；</w:t>
      </w:r>
    </w:p>
    <w:p w14:paraId="4D971FE1">
      <w:pPr>
        <w:adjustRightInd w:val="0"/>
        <w:snapToGrid w:val="0"/>
        <w:spacing w:line="360" w:lineRule="auto"/>
        <w:ind w:firstLine="600"/>
        <w:rPr>
          <w:rFonts w:hint="eastAsia" w:ascii="宋体" w:hAnsi="宋体" w:cs="宋体"/>
          <w:spacing w:val="-11"/>
          <w:sz w:val="21"/>
          <w:szCs w:val="21"/>
          <w:highlight w:val="none"/>
          <w:lang w:val="en-US" w:eastAsia="zh-CN"/>
        </w:rPr>
      </w:pPr>
      <w:r>
        <w:rPr>
          <w:rFonts w:hint="eastAsia" w:ascii="宋体" w:hAnsi="宋体" w:cs="宋体"/>
          <w:spacing w:val="-11"/>
          <w:sz w:val="21"/>
          <w:szCs w:val="21"/>
          <w:highlight w:val="none"/>
          <w:lang w:val="en-US" w:eastAsia="zh-CN"/>
        </w:rPr>
        <w:t>（3）工程审计结算价款完成，达到付款条件起10日内，支付至审定金额的97%；</w:t>
      </w:r>
    </w:p>
    <w:p w14:paraId="6E1EC8B1">
      <w:pPr>
        <w:adjustRightInd w:val="0"/>
        <w:snapToGrid w:val="0"/>
        <w:spacing w:line="360" w:lineRule="auto"/>
        <w:ind w:firstLine="600"/>
        <w:rPr>
          <w:rFonts w:hint="eastAsia" w:ascii="宋体" w:hAnsi="宋体" w:cs="宋体"/>
          <w:spacing w:val="-11"/>
          <w:sz w:val="21"/>
          <w:szCs w:val="21"/>
          <w:highlight w:val="none"/>
          <w:lang w:val="en-US" w:eastAsia="zh-CN"/>
        </w:rPr>
      </w:pPr>
      <w:r>
        <w:rPr>
          <w:rFonts w:hint="eastAsia" w:ascii="宋体" w:hAnsi="宋体" w:cs="宋体"/>
          <w:spacing w:val="-11"/>
          <w:sz w:val="21"/>
          <w:szCs w:val="21"/>
          <w:highlight w:val="none"/>
          <w:lang w:val="en-US" w:eastAsia="zh-CN"/>
        </w:rPr>
        <w:t>（4）剩下的审定金额的3%作为本工程质保金。在工程保修期满后，若工程无质量问题，一次性支付剩余工程质保金。</w:t>
      </w:r>
    </w:p>
    <w:p w14:paraId="4FB08F1B">
      <w:pPr>
        <w:adjustRightInd w:val="0"/>
        <w:snapToGrid w:val="0"/>
        <w:spacing w:line="360" w:lineRule="auto"/>
        <w:ind w:firstLine="600"/>
        <w:rPr>
          <w:rFonts w:hint="eastAsia" w:ascii="宋体" w:hAnsi="宋体" w:cs="宋体"/>
          <w:sz w:val="21"/>
          <w:szCs w:val="21"/>
          <w:highlight w:val="none"/>
          <w:lang w:eastAsia="zh-CN"/>
        </w:rPr>
      </w:pPr>
      <w:r>
        <w:rPr>
          <w:rFonts w:hint="eastAsia" w:ascii="宋体" w:hAnsi="宋体" w:cs="宋体"/>
          <w:spacing w:val="-11"/>
          <w:sz w:val="21"/>
          <w:szCs w:val="21"/>
          <w:highlight w:val="none"/>
          <w:lang w:val="en-US" w:eastAsia="zh-CN"/>
        </w:rPr>
        <w:t>2.发包人每次付款前，承包人需向发包人开具等额、合法、有效的增值税专用发票，否则发包人有权暂缓支付款项且不视为违约，由此造成的损失由承包人承担。</w:t>
      </w:r>
    </w:p>
    <w:p w14:paraId="715A7237">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13.1 分部分项工程验收</w:t>
      </w:r>
    </w:p>
    <w:p w14:paraId="095FCE4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13.1.2监理人不能按时进行验收时，应提前</w:t>
      </w:r>
      <w:r>
        <w:rPr>
          <w:rFonts w:hint="eastAsia" w:ascii="宋体" w:hAnsi="宋体" w:cs="宋体"/>
          <w:color w:val="000000"/>
          <w:sz w:val="21"/>
          <w:szCs w:val="21"/>
          <w:highlight w:val="none"/>
          <w:u w:val="single"/>
        </w:rPr>
        <w:t>24</w:t>
      </w:r>
      <w:r>
        <w:rPr>
          <w:rFonts w:hint="eastAsia" w:ascii="宋体" w:hAnsi="宋体" w:cs="宋体"/>
          <w:color w:val="000000"/>
          <w:sz w:val="21"/>
          <w:szCs w:val="21"/>
          <w:highlight w:val="none"/>
        </w:rPr>
        <w:t>小时提交书面延期要求。</w:t>
      </w:r>
    </w:p>
    <w:p w14:paraId="28143D5E">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color w:val="000000"/>
          <w:sz w:val="21"/>
          <w:szCs w:val="21"/>
          <w:highlight w:val="none"/>
        </w:rPr>
        <w:t>关于延期最长不得超过：</w:t>
      </w:r>
      <w:r>
        <w:rPr>
          <w:rFonts w:hint="eastAsia" w:ascii="宋体" w:hAnsi="宋体" w:cs="宋体"/>
          <w:color w:val="000000"/>
          <w:sz w:val="21"/>
          <w:szCs w:val="21"/>
          <w:highlight w:val="none"/>
          <w:u w:val="single"/>
        </w:rPr>
        <w:t>48</w:t>
      </w:r>
      <w:r>
        <w:rPr>
          <w:rFonts w:hint="eastAsia" w:ascii="宋体" w:hAnsi="宋体" w:cs="宋体"/>
          <w:color w:val="000000"/>
          <w:sz w:val="21"/>
          <w:szCs w:val="21"/>
          <w:highlight w:val="none"/>
        </w:rPr>
        <w:t>小时。</w:t>
      </w:r>
    </w:p>
    <w:p w14:paraId="0C624A9F">
      <w:pPr>
        <w:spacing w:line="360" w:lineRule="auto"/>
        <w:ind w:firstLine="420" w:firstLineChars="200"/>
        <w:rPr>
          <w:rFonts w:ascii="宋体" w:hAnsi="宋体" w:cs="宋体"/>
          <w:color w:val="000000"/>
          <w:sz w:val="21"/>
          <w:szCs w:val="21"/>
          <w:highlight w:val="none"/>
        </w:rPr>
      </w:pPr>
      <w:bookmarkStart w:id="656" w:name="_Toc297120523"/>
      <w:bookmarkStart w:id="657" w:name="_Toc296347222"/>
      <w:bookmarkStart w:id="658" w:name="_Toc312678056"/>
      <w:bookmarkStart w:id="659" w:name="_Toc297216224"/>
      <w:bookmarkStart w:id="660" w:name="_Toc297123565"/>
      <w:bookmarkStart w:id="661" w:name="_Toc304295596"/>
      <w:bookmarkStart w:id="662" w:name="_Toc296891051"/>
      <w:bookmarkStart w:id="663" w:name="_Toc292559933"/>
      <w:bookmarkStart w:id="664" w:name="_Toc297048409"/>
      <w:bookmarkStart w:id="665" w:name="_Toc296891263"/>
      <w:bookmarkStart w:id="666" w:name="_Toc292559428"/>
      <w:bookmarkStart w:id="667" w:name="_Toc303539173"/>
      <w:bookmarkStart w:id="668" w:name="_Toc296346724"/>
      <w:bookmarkStart w:id="669" w:name="_Toc300935016"/>
      <w:bookmarkStart w:id="670" w:name="_Toc296503223"/>
      <w:bookmarkStart w:id="671" w:name="_Toc296944562"/>
      <w:bookmarkStart w:id="672" w:name="_Toc267251476"/>
      <w:bookmarkStart w:id="673" w:name="_Toc267251473"/>
      <w:bookmarkStart w:id="674" w:name="_Toc267251474"/>
      <w:bookmarkStart w:id="675" w:name="_Toc267251475"/>
      <w:bookmarkStart w:id="676" w:name="_Toc267251471"/>
      <w:bookmarkStart w:id="677" w:name="_Toc267251470"/>
      <w:bookmarkStart w:id="678" w:name="_Toc267251472"/>
      <w:r>
        <w:rPr>
          <w:rFonts w:hint="eastAsia" w:ascii="宋体" w:hAnsi="宋体" w:cs="宋体"/>
          <w:color w:val="000000"/>
          <w:sz w:val="21"/>
          <w:szCs w:val="21"/>
          <w:highlight w:val="none"/>
        </w:rPr>
        <w:t>13.2 竣工验收</w:t>
      </w:r>
    </w:p>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14:paraId="265E9312">
      <w:pPr>
        <w:spacing w:line="360" w:lineRule="auto"/>
        <w:ind w:firstLine="420" w:firstLineChars="200"/>
        <w:jc w:val="left"/>
        <w:rPr>
          <w:rFonts w:ascii="宋体" w:hAnsi="宋体" w:cs="宋体"/>
          <w:color w:val="000000"/>
          <w:sz w:val="21"/>
          <w:szCs w:val="21"/>
          <w:highlight w:val="none"/>
        </w:rPr>
      </w:pPr>
      <w:bookmarkStart w:id="679" w:name="_Toc280868704"/>
      <w:bookmarkStart w:id="680" w:name="_Toc280868705"/>
      <w:bookmarkStart w:id="681" w:name="_Toc280868706"/>
      <w:bookmarkStart w:id="682" w:name="_Toc280868707"/>
      <w:bookmarkStart w:id="683" w:name="_Toc280868708"/>
      <w:bookmarkStart w:id="684" w:name="_Toc280868709"/>
      <w:r>
        <w:rPr>
          <w:rFonts w:hint="eastAsia" w:ascii="宋体" w:hAnsi="宋体" w:cs="宋体"/>
          <w:color w:val="000000"/>
          <w:sz w:val="21"/>
          <w:szCs w:val="21"/>
          <w:highlight w:val="none"/>
        </w:rPr>
        <w:t>13.2.2竣工验收程序</w:t>
      </w:r>
    </w:p>
    <w:bookmarkEnd w:id="679"/>
    <w:p w14:paraId="5BD9BC26">
      <w:pPr>
        <w:tabs>
          <w:tab w:val="left" w:pos="525"/>
          <w:tab w:val="left" w:pos="1200"/>
        </w:tabs>
        <w:snapToGrid w:val="0"/>
        <w:spacing w:line="360" w:lineRule="auto"/>
        <w:ind w:left="403" w:leftChars="192"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关于竣工验收程序的约定：</w:t>
      </w:r>
    </w:p>
    <w:p w14:paraId="47DE4419">
      <w:pPr>
        <w:tabs>
          <w:tab w:val="left" w:pos="525"/>
          <w:tab w:val="left" w:pos="1200"/>
        </w:tabs>
        <w:snapToGrid w:val="0"/>
        <w:spacing w:line="360" w:lineRule="auto"/>
        <w:ind w:firstLine="420" w:firstLineChars="200"/>
        <w:rPr>
          <w:rFonts w:hint="eastAsia" w:ascii="宋体" w:hAnsi="宋体" w:cs="宋体"/>
          <w:color w:val="000000"/>
          <w:sz w:val="21"/>
          <w:szCs w:val="21"/>
          <w:highlight w:val="none"/>
          <w:u w:val="single"/>
        </w:rPr>
      </w:pPr>
      <w:r>
        <w:rPr>
          <w:rFonts w:hint="eastAsia" w:ascii="宋体" w:hAnsi="宋体" w:cs="宋体"/>
          <w:color w:val="000000"/>
          <w:sz w:val="21"/>
          <w:szCs w:val="21"/>
          <w:highlight w:val="none"/>
          <w:u w:val="single"/>
        </w:rPr>
        <w:t>（1）工程完工后，</w:t>
      </w:r>
      <w:r>
        <w:rPr>
          <w:rFonts w:hint="eastAsia" w:ascii="宋体" w:hAnsi="宋体" w:cs="宋体"/>
          <w:color w:val="000000"/>
          <w:sz w:val="21"/>
          <w:szCs w:val="21"/>
          <w:highlight w:val="none"/>
          <w:u w:val="single"/>
          <w:lang w:eastAsia="zh-CN"/>
        </w:rPr>
        <w:t>发包人</w:t>
      </w:r>
      <w:r>
        <w:rPr>
          <w:rFonts w:hint="eastAsia" w:ascii="宋体" w:hAnsi="宋体" w:cs="宋体"/>
          <w:color w:val="000000"/>
          <w:sz w:val="21"/>
          <w:szCs w:val="21"/>
          <w:highlight w:val="none"/>
          <w:u w:val="single"/>
        </w:rPr>
        <w:t>应及时组织有资质的第三方进行消防检测，并出具检测报告（如检测合格即视为项目预验收合格）。</w:t>
      </w:r>
      <w:r>
        <w:rPr>
          <w:rFonts w:hint="eastAsia" w:ascii="宋体" w:hAnsi="宋体" w:cs="宋体"/>
          <w:color w:val="000000"/>
          <w:sz w:val="21"/>
          <w:szCs w:val="21"/>
          <w:highlight w:val="none"/>
          <w:u w:val="single"/>
          <w:lang w:eastAsia="zh-CN"/>
        </w:rPr>
        <w:t>发包人</w:t>
      </w:r>
      <w:r>
        <w:rPr>
          <w:rFonts w:hint="eastAsia" w:ascii="宋体" w:hAnsi="宋体" w:cs="宋体"/>
          <w:color w:val="000000"/>
          <w:sz w:val="21"/>
          <w:szCs w:val="21"/>
          <w:highlight w:val="none"/>
          <w:u w:val="single"/>
        </w:rPr>
        <w:t>委托具有检测资质的第三方检测机构，由</w:t>
      </w:r>
      <w:r>
        <w:rPr>
          <w:rFonts w:hint="eastAsia" w:ascii="宋体" w:hAnsi="宋体" w:cs="宋体"/>
          <w:color w:val="000000"/>
          <w:sz w:val="21"/>
          <w:szCs w:val="21"/>
          <w:highlight w:val="none"/>
          <w:u w:val="single"/>
          <w:lang w:eastAsia="zh-CN"/>
        </w:rPr>
        <w:t>承包人</w:t>
      </w:r>
      <w:r>
        <w:rPr>
          <w:rFonts w:hint="eastAsia" w:ascii="宋体" w:hAnsi="宋体" w:cs="宋体"/>
          <w:color w:val="000000"/>
          <w:sz w:val="21"/>
          <w:szCs w:val="21"/>
          <w:highlight w:val="none"/>
          <w:u w:val="single"/>
        </w:rPr>
        <w:t>与其签订合同并进行付款，相关费用包含在磋商报价之内，不再另行增加。</w:t>
      </w:r>
    </w:p>
    <w:p w14:paraId="2F310BEC">
      <w:pPr>
        <w:tabs>
          <w:tab w:val="left" w:pos="525"/>
          <w:tab w:val="left" w:pos="1200"/>
        </w:tabs>
        <w:snapToGrid w:val="0"/>
        <w:spacing w:line="360" w:lineRule="auto"/>
        <w:ind w:firstLine="420" w:firstLineChars="200"/>
        <w:rPr>
          <w:rFonts w:hint="eastAsia" w:ascii="宋体" w:hAnsi="宋体" w:cs="宋体"/>
          <w:color w:val="000000"/>
          <w:sz w:val="21"/>
          <w:szCs w:val="21"/>
          <w:highlight w:val="none"/>
          <w:u w:val="single"/>
        </w:rPr>
      </w:pPr>
      <w:r>
        <w:rPr>
          <w:rFonts w:hint="eastAsia" w:ascii="宋体" w:hAnsi="宋体" w:cs="宋体"/>
          <w:color w:val="000000"/>
          <w:sz w:val="21"/>
          <w:szCs w:val="21"/>
          <w:highlight w:val="none"/>
          <w:u w:val="single"/>
        </w:rPr>
        <w:t>（2）第三方检测合格后，</w:t>
      </w:r>
      <w:r>
        <w:rPr>
          <w:rFonts w:hint="eastAsia" w:ascii="宋体" w:hAnsi="宋体" w:cs="宋体"/>
          <w:color w:val="000000"/>
          <w:sz w:val="21"/>
          <w:szCs w:val="21"/>
          <w:highlight w:val="none"/>
          <w:u w:val="single"/>
          <w:lang w:eastAsia="zh-CN"/>
        </w:rPr>
        <w:t>承包人</w:t>
      </w:r>
      <w:r>
        <w:rPr>
          <w:rFonts w:hint="eastAsia" w:ascii="宋体" w:hAnsi="宋体" w:cs="宋体"/>
          <w:color w:val="000000"/>
          <w:sz w:val="21"/>
          <w:szCs w:val="21"/>
          <w:highlight w:val="none"/>
          <w:u w:val="single"/>
        </w:rPr>
        <w:t>负责办理政府相关部门验收，取得消防审查验收（备案）手续或取得属地住建部门出具评估合格的函。</w:t>
      </w:r>
    </w:p>
    <w:p w14:paraId="589A2344">
      <w:pPr>
        <w:tabs>
          <w:tab w:val="left" w:pos="525"/>
          <w:tab w:val="left" w:pos="1200"/>
        </w:tabs>
        <w:snapToGrid w:val="0"/>
        <w:spacing w:line="360" w:lineRule="auto"/>
        <w:ind w:firstLine="420" w:firstLineChars="200"/>
        <w:rPr>
          <w:rFonts w:hint="eastAsia" w:ascii="宋体" w:hAnsi="宋体" w:cs="宋体"/>
          <w:color w:val="000000"/>
          <w:sz w:val="21"/>
          <w:szCs w:val="21"/>
          <w:highlight w:val="none"/>
          <w:u w:val="single"/>
        </w:rPr>
      </w:pPr>
      <w:r>
        <w:rPr>
          <w:rFonts w:hint="eastAsia" w:ascii="宋体" w:hAnsi="宋体" w:cs="宋体"/>
          <w:color w:val="000000"/>
          <w:sz w:val="21"/>
          <w:szCs w:val="21"/>
          <w:highlight w:val="none"/>
          <w:u w:val="single"/>
        </w:rPr>
        <w:t>（3）取得消防审查验收（备案）手续后，及时通知采购人验收，并按</w:t>
      </w:r>
      <w:r>
        <w:rPr>
          <w:rFonts w:hint="eastAsia" w:ascii="宋体" w:hAnsi="宋体" w:cs="宋体"/>
          <w:color w:val="000000"/>
          <w:sz w:val="21"/>
          <w:szCs w:val="21"/>
          <w:highlight w:val="none"/>
          <w:u w:val="single"/>
          <w:lang w:eastAsia="zh-CN"/>
        </w:rPr>
        <w:t>发包人</w:t>
      </w:r>
      <w:r>
        <w:rPr>
          <w:rFonts w:hint="eastAsia" w:ascii="宋体" w:hAnsi="宋体" w:cs="宋体"/>
          <w:color w:val="000000"/>
          <w:sz w:val="21"/>
          <w:szCs w:val="21"/>
          <w:highlight w:val="none"/>
          <w:u w:val="single"/>
        </w:rPr>
        <w:t>的要求提交竣工验收申请报告及竣工资料，</w:t>
      </w:r>
      <w:r>
        <w:rPr>
          <w:rFonts w:hint="eastAsia" w:ascii="宋体" w:hAnsi="宋体" w:cs="宋体"/>
          <w:color w:val="000000"/>
          <w:sz w:val="21"/>
          <w:szCs w:val="21"/>
          <w:highlight w:val="none"/>
          <w:u w:val="single"/>
          <w:lang w:eastAsia="zh-CN"/>
        </w:rPr>
        <w:t>发包人</w:t>
      </w:r>
      <w:r>
        <w:rPr>
          <w:rFonts w:hint="eastAsia" w:ascii="宋体" w:hAnsi="宋体" w:cs="宋体"/>
          <w:color w:val="000000"/>
          <w:sz w:val="21"/>
          <w:szCs w:val="21"/>
          <w:highlight w:val="none"/>
          <w:u w:val="single"/>
        </w:rPr>
        <w:t>应及时组织验收，并在验收后10个工作日内作出合格或不合格的验收意见，验收不合格的，</w:t>
      </w:r>
      <w:r>
        <w:rPr>
          <w:rFonts w:hint="eastAsia" w:ascii="宋体" w:hAnsi="宋体" w:cs="宋体"/>
          <w:color w:val="000000"/>
          <w:sz w:val="21"/>
          <w:szCs w:val="21"/>
          <w:highlight w:val="none"/>
          <w:u w:val="single"/>
          <w:lang w:eastAsia="zh-CN"/>
        </w:rPr>
        <w:t>承包人</w:t>
      </w:r>
      <w:r>
        <w:rPr>
          <w:rFonts w:hint="eastAsia" w:ascii="宋体" w:hAnsi="宋体" w:cs="宋体"/>
          <w:color w:val="000000"/>
          <w:sz w:val="21"/>
          <w:szCs w:val="21"/>
          <w:highlight w:val="none"/>
          <w:u w:val="single"/>
        </w:rPr>
        <w:t>应返工，直至</w:t>
      </w:r>
      <w:r>
        <w:rPr>
          <w:rFonts w:hint="eastAsia" w:ascii="宋体" w:hAnsi="宋体" w:cs="宋体"/>
          <w:color w:val="000000"/>
          <w:sz w:val="21"/>
          <w:szCs w:val="21"/>
          <w:highlight w:val="none"/>
          <w:u w:val="single"/>
          <w:lang w:eastAsia="zh-CN"/>
        </w:rPr>
        <w:t>发包人</w:t>
      </w:r>
      <w:r>
        <w:rPr>
          <w:rFonts w:hint="eastAsia" w:ascii="宋体" w:hAnsi="宋体" w:cs="宋体"/>
          <w:color w:val="000000"/>
          <w:sz w:val="21"/>
          <w:szCs w:val="21"/>
          <w:highlight w:val="none"/>
          <w:u w:val="single"/>
        </w:rPr>
        <w:t>验收合格为止，返工的一切费用由供应商承担，且工期不予顺延。如</w:t>
      </w:r>
      <w:r>
        <w:rPr>
          <w:rFonts w:hint="eastAsia" w:ascii="宋体" w:hAnsi="宋体" w:cs="宋体"/>
          <w:color w:val="000000"/>
          <w:sz w:val="21"/>
          <w:szCs w:val="21"/>
          <w:highlight w:val="none"/>
          <w:u w:val="single"/>
          <w:lang w:eastAsia="zh-CN"/>
        </w:rPr>
        <w:t>发包人</w:t>
      </w:r>
      <w:r>
        <w:rPr>
          <w:rFonts w:hint="eastAsia" w:ascii="宋体" w:hAnsi="宋体" w:cs="宋体"/>
          <w:color w:val="000000"/>
          <w:sz w:val="21"/>
          <w:szCs w:val="21"/>
          <w:highlight w:val="none"/>
          <w:u w:val="single"/>
        </w:rPr>
        <w:t>在规定时间内未能组织验收的，需及时通知</w:t>
      </w:r>
      <w:r>
        <w:rPr>
          <w:rFonts w:hint="eastAsia" w:ascii="宋体" w:hAnsi="宋体" w:cs="宋体"/>
          <w:color w:val="000000"/>
          <w:sz w:val="21"/>
          <w:szCs w:val="21"/>
          <w:highlight w:val="none"/>
          <w:u w:val="single"/>
          <w:lang w:eastAsia="zh-CN"/>
        </w:rPr>
        <w:t>发包人</w:t>
      </w:r>
      <w:r>
        <w:rPr>
          <w:rFonts w:hint="eastAsia" w:ascii="宋体" w:hAnsi="宋体" w:cs="宋体"/>
          <w:color w:val="000000"/>
          <w:sz w:val="21"/>
          <w:szCs w:val="21"/>
          <w:highlight w:val="none"/>
          <w:u w:val="single"/>
        </w:rPr>
        <w:t>，双方另行商定验收日期。</w:t>
      </w:r>
    </w:p>
    <w:p w14:paraId="514D39B4">
      <w:pPr>
        <w:tabs>
          <w:tab w:val="left" w:pos="525"/>
          <w:tab w:val="left" w:pos="1200"/>
        </w:tabs>
        <w:snapToGrid w:val="0"/>
        <w:spacing w:line="360" w:lineRule="auto"/>
        <w:ind w:firstLine="420" w:firstLineChars="200"/>
        <w:rPr>
          <w:rFonts w:hint="eastAsia" w:ascii="宋体" w:hAnsi="宋体" w:cs="宋体"/>
          <w:color w:val="000000"/>
          <w:sz w:val="21"/>
          <w:szCs w:val="21"/>
          <w:highlight w:val="none"/>
          <w:u w:val="single"/>
        </w:rPr>
      </w:pPr>
      <w:r>
        <w:rPr>
          <w:rFonts w:hint="eastAsia" w:ascii="宋体" w:hAnsi="宋体" w:cs="宋体"/>
          <w:color w:val="000000"/>
          <w:sz w:val="21"/>
          <w:szCs w:val="21"/>
          <w:highlight w:val="none"/>
          <w:u w:val="single"/>
        </w:rPr>
        <w:t>（4）项目实施过程中，所有破坏的建筑装修装饰、元器件等均需按原标准予以恢复。</w:t>
      </w:r>
    </w:p>
    <w:p w14:paraId="6B983D7F">
      <w:pPr>
        <w:tabs>
          <w:tab w:val="left" w:pos="525"/>
          <w:tab w:val="left" w:pos="1200"/>
        </w:tabs>
        <w:snapToGrid w:val="0"/>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（5）验收标准：依据《建筑工程施工质量验收统一标准》（GB50300-2013）、《建筑装饰装修工程施工质量验收规范》（GB50210-2018）等国家相关行业质量验收规范合格标准及</w:t>
      </w:r>
      <w:r>
        <w:rPr>
          <w:rFonts w:hint="eastAsia" w:ascii="宋体" w:hAnsi="宋体" w:cs="宋体"/>
          <w:color w:val="000000"/>
          <w:sz w:val="21"/>
          <w:szCs w:val="21"/>
          <w:highlight w:val="none"/>
          <w:u w:val="single"/>
          <w:lang w:eastAsia="zh-CN"/>
        </w:rPr>
        <w:t>发包人</w:t>
      </w:r>
      <w:r>
        <w:rPr>
          <w:rFonts w:hint="eastAsia" w:ascii="宋体" w:hAnsi="宋体" w:cs="宋体"/>
          <w:color w:val="000000"/>
          <w:sz w:val="21"/>
          <w:szCs w:val="21"/>
          <w:highlight w:val="none"/>
          <w:u w:val="single"/>
        </w:rPr>
        <w:t>与</w:t>
      </w:r>
      <w:r>
        <w:rPr>
          <w:rFonts w:hint="eastAsia" w:ascii="宋体" w:hAnsi="宋体" w:cs="宋体"/>
          <w:color w:val="000000"/>
          <w:sz w:val="21"/>
          <w:szCs w:val="21"/>
          <w:highlight w:val="none"/>
          <w:u w:val="single"/>
          <w:lang w:eastAsia="zh-CN"/>
        </w:rPr>
        <w:t>承包人</w:t>
      </w:r>
      <w:r>
        <w:rPr>
          <w:rFonts w:hint="eastAsia" w:ascii="宋体" w:hAnsi="宋体" w:cs="宋体"/>
          <w:color w:val="000000"/>
          <w:sz w:val="21"/>
          <w:szCs w:val="21"/>
          <w:highlight w:val="none"/>
          <w:u w:val="single"/>
        </w:rPr>
        <w:t>签订的工程建设合同进行验收。</w:t>
      </w:r>
    </w:p>
    <w:p w14:paraId="0DF28422">
      <w:pPr>
        <w:tabs>
          <w:tab w:val="left" w:pos="525"/>
          <w:tab w:val="left" w:pos="1200"/>
        </w:tabs>
        <w:snapToGrid w:val="0"/>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发包人不按照本项约定组织竣工验收、颁发工程接收证书的违约金的计算方法：</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bookmarkEnd w:id="680"/>
    <w:p w14:paraId="15D8FCF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13.2.5移交、接收全部与部分工程</w:t>
      </w:r>
    </w:p>
    <w:bookmarkEnd w:id="681"/>
    <w:p w14:paraId="58FA1F0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承包人向发包人移交工程的期限：</w:t>
      </w:r>
      <w:r>
        <w:rPr>
          <w:rFonts w:hint="eastAsia" w:ascii="宋体" w:hAnsi="宋体" w:cs="宋体"/>
          <w:color w:val="000000"/>
          <w:sz w:val="21"/>
          <w:szCs w:val="21"/>
          <w:highlight w:val="none"/>
          <w:u w:val="single"/>
        </w:rPr>
        <w:t>按发包人要求执行</w:t>
      </w:r>
      <w:r>
        <w:rPr>
          <w:rFonts w:hint="eastAsia" w:ascii="宋体" w:hAnsi="宋体" w:cs="宋体"/>
          <w:color w:val="000000"/>
          <w:sz w:val="21"/>
          <w:szCs w:val="21"/>
          <w:highlight w:val="none"/>
        </w:rPr>
        <w:t>。</w:t>
      </w:r>
    </w:p>
    <w:p w14:paraId="609261CC">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发包人未按本合同约定接收全部或部分工程的，违约金的计算方法为：</w:t>
      </w:r>
      <w:r>
        <w:rPr>
          <w:rFonts w:hint="eastAsia" w:ascii="宋体" w:hAnsi="宋体" w:cs="宋体"/>
          <w:color w:val="000000"/>
          <w:sz w:val="21"/>
          <w:szCs w:val="21"/>
          <w:highlight w:val="none"/>
          <w:u w:val="single"/>
        </w:rPr>
        <w:t>由双方协商</w:t>
      </w:r>
      <w:r>
        <w:rPr>
          <w:rFonts w:hint="eastAsia" w:ascii="宋体" w:hAnsi="宋体" w:cs="宋体"/>
          <w:color w:val="000000"/>
          <w:sz w:val="21"/>
          <w:szCs w:val="21"/>
          <w:highlight w:val="none"/>
        </w:rPr>
        <w:t>。</w:t>
      </w:r>
    </w:p>
    <w:bookmarkEnd w:id="682"/>
    <w:p w14:paraId="68B27FE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承包人未按时移交工程的，违约金的计算方法为：</w:t>
      </w:r>
      <w:r>
        <w:rPr>
          <w:rFonts w:hint="eastAsia" w:ascii="宋体" w:hAnsi="宋体" w:cs="宋体"/>
          <w:color w:val="000000"/>
          <w:sz w:val="21"/>
          <w:szCs w:val="21"/>
          <w:highlight w:val="none"/>
          <w:u w:val="single"/>
        </w:rPr>
        <w:t>每延误一天支付违约金</w:t>
      </w:r>
      <w:r>
        <w:rPr>
          <w:rFonts w:hint="eastAsia" w:ascii="宋体" w:hAnsi="宋体" w:cs="宋体"/>
          <w:color w:val="000000"/>
          <w:sz w:val="21"/>
          <w:szCs w:val="21"/>
          <w:highlight w:val="none"/>
          <w:u w:val="single"/>
          <w:lang w:val="en-US" w:eastAsia="zh-CN"/>
        </w:rPr>
        <w:t>5</w:t>
      </w:r>
      <w:r>
        <w:rPr>
          <w:rFonts w:hint="eastAsia" w:ascii="宋体" w:hAnsi="宋体" w:cs="宋体"/>
          <w:color w:val="000000"/>
          <w:sz w:val="21"/>
          <w:szCs w:val="21"/>
          <w:highlight w:val="none"/>
          <w:u w:val="single"/>
        </w:rPr>
        <w:t>0000元</w:t>
      </w:r>
      <w:r>
        <w:rPr>
          <w:rFonts w:hint="eastAsia" w:ascii="宋体" w:hAnsi="宋体" w:cs="宋体"/>
          <w:color w:val="000000"/>
          <w:sz w:val="21"/>
          <w:szCs w:val="21"/>
          <w:highlight w:val="none"/>
        </w:rPr>
        <w:t>。</w:t>
      </w:r>
    </w:p>
    <w:p w14:paraId="317538C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13.3 工程试车</w:t>
      </w:r>
    </w:p>
    <w:bookmarkEnd w:id="683"/>
    <w:p w14:paraId="68EFA6A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13.3.1 试车程序</w:t>
      </w:r>
    </w:p>
    <w:p w14:paraId="1DE3A63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工程试车内容：</w:t>
      </w:r>
      <w:r>
        <w:rPr>
          <w:rFonts w:hint="eastAsia" w:ascii="宋体" w:hAnsi="宋体" w:cs="宋体"/>
          <w:sz w:val="21"/>
          <w:szCs w:val="21"/>
          <w:highlight w:val="none"/>
          <w:u w:val="single"/>
        </w:rPr>
        <w:t>与本工程承包人承包范围相一致</w:t>
      </w:r>
      <w:r>
        <w:rPr>
          <w:rFonts w:hint="eastAsia" w:ascii="宋体" w:hAnsi="宋体" w:cs="宋体"/>
          <w:color w:val="000000"/>
          <w:sz w:val="21"/>
          <w:szCs w:val="21"/>
          <w:highlight w:val="none"/>
        </w:rPr>
        <w:t>。</w:t>
      </w:r>
    </w:p>
    <w:p w14:paraId="0E8B3D2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（1）单机无负荷试车费用由</w:t>
      </w:r>
      <w:r>
        <w:rPr>
          <w:rFonts w:hint="eastAsia" w:ascii="宋体" w:hAnsi="宋体" w:cs="宋体"/>
          <w:color w:val="000000"/>
          <w:sz w:val="21"/>
          <w:szCs w:val="21"/>
          <w:highlight w:val="none"/>
          <w:u w:val="single"/>
        </w:rPr>
        <w:t>承包人</w:t>
      </w:r>
      <w:r>
        <w:rPr>
          <w:rFonts w:hint="eastAsia" w:ascii="宋体" w:hAnsi="宋体" w:cs="宋体"/>
          <w:color w:val="000000"/>
          <w:sz w:val="21"/>
          <w:szCs w:val="21"/>
          <w:highlight w:val="none"/>
        </w:rPr>
        <w:t>承担；</w:t>
      </w:r>
    </w:p>
    <w:p w14:paraId="204AF963">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（2）无负荷联动试车费用由</w:t>
      </w:r>
      <w:r>
        <w:rPr>
          <w:rFonts w:hint="eastAsia" w:ascii="宋体" w:hAnsi="宋体" w:cs="宋体"/>
          <w:color w:val="000000"/>
          <w:sz w:val="21"/>
          <w:szCs w:val="21"/>
          <w:highlight w:val="none"/>
          <w:u w:val="single"/>
        </w:rPr>
        <w:t xml:space="preserve"> 承包人</w:t>
      </w:r>
      <w:r>
        <w:rPr>
          <w:rFonts w:hint="eastAsia" w:ascii="宋体" w:hAnsi="宋体" w:cs="宋体"/>
          <w:color w:val="000000"/>
          <w:sz w:val="21"/>
          <w:szCs w:val="21"/>
          <w:highlight w:val="none"/>
        </w:rPr>
        <w:t>承担。</w:t>
      </w:r>
    </w:p>
    <w:p w14:paraId="2352DC69">
      <w:pPr>
        <w:spacing w:line="360" w:lineRule="auto"/>
        <w:ind w:firstLine="420" w:firstLineChars="200"/>
        <w:jc w:val="left"/>
        <w:rPr>
          <w:rFonts w:ascii="宋体" w:hAnsi="宋体" w:cs="宋体"/>
          <w:kern w:val="0"/>
          <w:sz w:val="21"/>
          <w:szCs w:val="21"/>
          <w:highlight w:val="none"/>
        </w:rPr>
      </w:pPr>
      <w:r>
        <w:rPr>
          <w:rFonts w:hint="eastAsia" w:ascii="宋体" w:hAnsi="宋体" w:cs="宋体"/>
          <w:color w:val="000000"/>
          <w:sz w:val="21"/>
          <w:szCs w:val="21"/>
          <w:highlight w:val="none"/>
        </w:rPr>
        <w:t>13.3.3</w:t>
      </w:r>
      <w:r>
        <w:rPr>
          <w:rFonts w:hint="eastAsia" w:ascii="宋体" w:hAnsi="宋体" w:cs="宋体"/>
          <w:kern w:val="0"/>
          <w:sz w:val="21"/>
          <w:szCs w:val="21"/>
          <w:highlight w:val="none"/>
        </w:rPr>
        <w:t xml:space="preserve"> 投料试车</w:t>
      </w:r>
    </w:p>
    <w:p w14:paraId="4D19E267">
      <w:pPr>
        <w:spacing w:line="360" w:lineRule="auto"/>
        <w:ind w:firstLine="420" w:firstLineChars="200"/>
        <w:jc w:val="left"/>
        <w:rPr>
          <w:rFonts w:ascii="宋体" w:hAnsi="宋体" w:cs="宋体"/>
          <w:sz w:val="21"/>
          <w:szCs w:val="21"/>
          <w:highlight w:val="none"/>
        </w:rPr>
      </w:pPr>
      <w:r>
        <w:rPr>
          <w:rFonts w:hint="eastAsia" w:ascii="宋体" w:hAnsi="宋体" w:cs="宋体"/>
          <w:kern w:val="0"/>
          <w:sz w:val="21"/>
          <w:szCs w:val="21"/>
          <w:highlight w:val="none"/>
        </w:rPr>
        <w:t>关于投料试车相关事项的约定：</w:t>
      </w:r>
      <w:r>
        <w:rPr>
          <w:rFonts w:hint="eastAsia" w:ascii="宋体" w:hAnsi="宋体" w:cs="宋体"/>
          <w:sz w:val="21"/>
          <w:szCs w:val="21"/>
          <w:highlight w:val="none"/>
          <w:u w:val="single"/>
        </w:rPr>
        <w:t xml:space="preserve"> 费用由承包人承担 </w:t>
      </w:r>
      <w:r>
        <w:rPr>
          <w:rFonts w:hint="eastAsia" w:ascii="宋体" w:hAnsi="宋体" w:cs="宋体"/>
          <w:sz w:val="21"/>
          <w:szCs w:val="21"/>
          <w:highlight w:val="none"/>
        </w:rPr>
        <w:t>。</w:t>
      </w:r>
    </w:p>
    <w:p w14:paraId="09208E38">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13.4 竣工退场</w:t>
      </w:r>
    </w:p>
    <w:p w14:paraId="343AFFD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13.4.1 竣工退场</w:t>
      </w:r>
    </w:p>
    <w:p w14:paraId="7FF597C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承包人完成竣工退场的期限：</w:t>
      </w:r>
      <w:r>
        <w:rPr>
          <w:rFonts w:hint="eastAsia" w:ascii="宋体" w:hAnsi="宋体" w:cs="宋体"/>
          <w:color w:val="000000"/>
          <w:sz w:val="21"/>
          <w:szCs w:val="21"/>
          <w:highlight w:val="none"/>
          <w:u w:val="single"/>
        </w:rPr>
        <w:t>按发包人要求执行</w:t>
      </w:r>
      <w:r>
        <w:rPr>
          <w:rFonts w:hint="eastAsia" w:ascii="宋体" w:hAnsi="宋体" w:cs="宋体"/>
          <w:color w:val="000000"/>
          <w:sz w:val="21"/>
          <w:szCs w:val="21"/>
          <w:highlight w:val="none"/>
        </w:rPr>
        <w:t>。</w:t>
      </w:r>
    </w:p>
    <w:p w14:paraId="502BE997">
      <w:pPr>
        <w:spacing w:line="360" w:lineRule="auto"/>
        <w:ind w:firstLine="420" w:firstLineChars="200"/>
        <w:jc w:val="left"/>
        <w:rPr>
          <w:rFonts w:ascii="宋体" w:hAnsi="宋体" w:cs="宋体"/>
          <w:b/>
          <w:color w:val="000000"/>
          <w:sz w:val="21"/>
          <w:szCs w:val="21"/>
          <w:highlight w:val="none"/>
        </w:rPr>
      </w:pPr>
      <w:bookmarkStart w:id="685" w:name="_Toc351203646"/>
      <w:r>
        <w:rPr>
          <w:rFonts w:hint="eastAsia" w:ascii="宋体" w:hAnsi="宋体" w:cs="宋体"/>
          <w:b/>
          <w:color w:val="000000"/>
          <w:sz w:val="21"/>
          <w:szCs w:val="21"/>
          <w:highlight w:val="none"/>
        </w:rPr>
        <w:t>十四、竣工结算</w:t>
      </w:r>
      <w:bookmarkEnd w:id="685"/>
    </w:p>
    <w:p w14:paraId="02E68D70">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14.1 竣工结算申请</w:t>
      </w:r>
    </w:p>
    <w:p w14:paraId="6E57B6B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承包人提交竣工结算申请单的期限：</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389006D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竣工结算申请单应包括的内容：</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31C624E8">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14.2 竣工结算审核：</w:t>
      </w:r>
    </w:p>
    <w:p w14:paraId="32496884">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发包人完成竣工付款的期限：</w:t>
      </w:r>
      <w:r>
        <w:rPr>
          <w:rFonts w:hint="eastAsia" w:ascii="宋体" w:hAnsi="宋体" w:cs="宋体"/>
          <w:color w:val="000000"/>
          <w:sz w:val="21"/>
          <w:szCs w:val="21"/>
          <w:highlight w:val="none"/>
          <w:u w:val="single"/>
        </w:rPr>
        <w:t xml:space="preserve"> 发包人在收到结算后90天内审核完毕，或提出审核意见 。</w:t>
      </w:r>
    </w:p>
    <w:p w14:paraId="63CCBDEB">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关于竣工付款证书异议部分复核的方式和程序</w:t>
      </w:r>
      <w:r>
        <w:rPr>
          <w:rFonts w:hint="eastAsia" w:ascii="宋体" w:hAnsi="宋体" w:cs="宋体"/>
          <w:color w:val="000000"/>
          <w:sz w:val="21"/>
          <w:szCs w:val="21"/>
          <w:highlight w:val="none"/>
          <w:u w:val="single"/>
        </w:rPr>
        <w:t>：执行《通用条款》。</w:t>
      </w:r>
    </w:p>
    <w:p w14:paraId="3F4C9F1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14.4 最终结清</w:t>
      </w:r>
    </w:p>
    <w:p w14:paraId="7D0D0C4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14.4.1 最终结清申请单</w:t>
      </w:r>
    </w:p>
    <w:p w14:paraId="296A3700">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承包人提交最终结清申请单的份数：</w:t>
      </w:r>
      <w:r>
        <w:rPr>
          <w:rFonts w:hint="eastAsia" w:ascii="宋体" w:hAnsi="宋体" w:cs="宋体"/>
          <w:color w:val="000000"/>
          <w:sz w:val="21"/>
          <w:szCs w:val="21"/>
          <w:highlight w:val="none"/>
          <w:u w:val="single"/>
        </w:rPr>
        <w:t xml:space="preserve"> 五份</w:t>
      </w:r>
      <w:r>
        <w:rPr>
          <w:rFonts w:hint="eastAsia" w:ascii="宋体" w:hAnsi="宋体" w:cs="宋体"/>
          <w:color w:val="000000"/>
          <w:sz w:val="21"/>
          <w:szCs w:val="21"/>
          <w:highlight w:val="none"/>
        </w:rPr>
        <w:t>。</w:t>
      </w:r>
    </w:p>
    <w:p w14:paraId="45D7A6B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承包人提交最终结算申请单的期限：</w:t>
      </w:r>
      <w:r>
        <w:rPr>
          <w:rFonts w:hint="eastAsia" w:ascii="宋体" w:hAnsi="宋体" w:cs="宋体"/>
          <w:color w:val="000000"/>
          <w:sz w:val="21"/>
          <w:szCs w:val="21"/>
          <w:highlight w:val="none"/>
          <w:u w:val="single"/>
        </w:rPr>
        <w:t>执行通用条款14.4.1</w:t>
      </w:r>
      <w:r>
        <w:rPr>
          <w:rFonts w:hint="eastAsia" w:ascii="宋体" w:hAnsi="宋体" w:cs="宋体"/>
          <w:color w:val="000000"/>
          <w:sz w:val="21"/>
          <w:szCs w:val="21"/>
          <w:highlight w:val="none"/>
        </w:rPr>
        <w:t xml:space="preserve">。 </w:t>
      </w:r>
    </w:p>
    <w:bookmarkEnd w:id="672"/>
    <w:bookmarkEnd w:id="673"/>
    <w:bookmarkEnd w:id="674"/>
    <w:bookmarkEnd w:id="675"/>
    <w:bookmarkEnd w:id="676"/>
    <w:bookmarkEnd w:id="677"/>
    <w:bookmarkEnd w:id="678"/>
    <w:bookmarkEnd w:id="684"/>
    <w:p w14:paraId="19D0BE19">
      <w:pPr>
        <w:spacing w:line="360" w:lineRule="auto"/>
        <w:ind w:firstLine="420" w:firstLineChars="200"/>
        <w:jc w:val="left"/>
        <w:rPr>
          <w:rFonts w:ascii="宋体" w:hAnsi="宋体" w:cs="宋体"/>
          <w:b/>
          <w:color w:val="000000"/>
          <w:sz w:val="21"/>
          <w:szCs w:val="21"/>
          <w:highlight w:val="none"/>
        </w:rPr>
      </w:pPr>
      <w:bookmarkStart w:id="686" w:name="_Toc351203647"/>
      <w:bookmarkStart w:id="687" w:name="_Toc267251483"/>
      <w:bookmarkStart w:id="688" w:name="_Toc267251482"/>
      <w:bookmarkStart w:id="689" w:name="_Toc267251484"/>
      <w:bookmarkStart w:id="690" w:name="_Toc267251485"/>
      <w:bookmarkStart w:id="691" w:name="_Toc267251488"/>
      <w:bookmarkStart w:id="692" w:name="_Toc267251490"/>
      <w:bookmarkStart w:id="693" w:name="_Toc267251486"/>
      <w:bookmarkStart w:id="694" w:name="_Toc267251489"/>
      <w:bookmarkStart w:id="695" w:name="_Toc267251493"/>
      <w:bookmarkStart w:id="696" w:name="_Toc267251497"/>
      <w:bookmarkStart w:id="697" w:name="_Toc267251499"/>
      <w:bookmarkStart w:id="698" w:name="_Toc267251492"/>
      <w:bookmarkStart w:id="699" w:name="_Toc267251502"/>
      <w:bookmarkStart w:id="700" w:name="_Toc267251494"/>
      <w:bookmarkStart w:id="701" w:name="_Toc267251503"/>
      <w:bookmarkStart w:id="702" w:name="_Toc267251495"/>
      <w:bookmarkStart w:id="703" w:name="_Toc267251496"/>
      <w:bookmarkStart w:id="704" w:name="_Toc267251491"/>
      <w:bookmarkStart w:id="705" w:name="_Toc267251501"/>
      <w:bookmarkStart w:id="706" w:name="_Toc267251498"/>
      <w:bookmarkStart w:id="707" w:name="_Toc267251504"/>
      <w:bookmarkStart w:id="708" w:name="_Toc267251506"/>
      <w:bookmarkStart w:id="709" w:name="_Toc267251507"/>
      <w:bookmarkStart w:id="710" w:name="_Toc267251508"/>
      <w:bookmarkStart w:id="711" w:name="_Toc267251509"/>
      <w:bookmarkStart w:id="712" w:name="_Toc267251510"/>
      <w:bookmarkStart w:id="713" w:name="_Toc267251515"/>
      <w:bookmarkStart w:id="714" w:name="_Toc267251514"/>
      <w:bookmarkStart w:id="715" w:name="_Toc267251511"/>
      <w:bookmarkStart w:id="716" w:name="_Toc267251513"/>
      <w:r>
        <w:rPr>
          <w:rFonts w:hint="eastAsia" w:ascii="宋体" w:hAnsi="宋体" w:cs="宋体"/>
          <w:b/>
          <w:color w:val="000000"/>
          <w:sz w:val="21"/>
          <w:szCs w:val="21"/>
          <w:highlight w:val="none"/>
        </w:rPr>
        <w:t>十五、缺陷责任期与保修</w:t>
      </w:r>
      <w:bookmarkEnd w:id="686"/>
    </w:p>
    <w:p w14:paraId="7C64ED50">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15.2缺陷责任期</w:t>
      </w:r>
      <w:bookmarkEnd w:id="687"/>
    </w:p>
    <w:p w14:paraId="1D12C869">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缺陷责任期的具体期限：</w:t>
      </w:r>
      <w:r>
        <w:rPr>
          <w:rFonts w:hint="eastAsia" w:ascii="宋体" w:hAnsi="宋体" w:cs="宋体"/>
          <w:color w:val="000000"/>
          <w:sz w:val="21"/>
          <w:szCs w:val="21"/>
          <w:highlight w:val="none"/>
          <w:u w:val="single"/>
        </w:rPr>
        <w:t xml:space="preserve"> 24个月，</w:t>
      </w:r>
      <w:r>
        <w:rPr>
          <w:rFonts w:hint="eastAsia" w:ascii="宋体" w:hAnsi="宋体" w:cs="宋体"/>
          <w:sz w:val="21"/>
          <w:szCs w:val="21"/>
          <w:highlight w:val="none"/>
          <w:u w:val="single"/>
        </w:rPr>
        <w:t>自竣工验收合格之日起计算</w:t>
      </w:r>
      <w:r>
        <w:rPr>
          <w:rFonts w:hint="eastAsia" w:ascii="宋体" w:hAnsi="宋体" w:cs="宋体"/>
          <w:color w:val="000000"/>
          <w:sz w:val="21"/>
          <w:szCs w:val="21"/>
          <w:highlight w:val="none"/>
        </w:rPr>
        <w:t>。</w:t>
      </w:r>
    </w:p>
    <w:p w14:paraId="5A80D47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15.3 质量保证金</w:t>
      </w:r>
    </w:p>
    <w:p w14:paraId="3070B96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关于是否扣留质量保证金的约定：</w:t>
      </w:r>
      <w:r>
        <w:rPr>
          <w:rFonts w:hint="eastAsia" w:ascii="宋体" w:hAnsi="宋体" w:cs="宋体"/>
          <w:color w:val="000000"/>
          <w:sz w:val="21"/>
          <w:szCs w:val="21"/>
          <w:highlight w:val="none"/>
          <w:u w:val="single"/>
        </w:rPr>
        <w:t xml:space="preserve"> 扣留质量保证金。</w:t>
      </w:r>
    </w:p>
    <w:p w14:paraId="6CB7635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15.3.1 承包人提供质量保证金的方式</w:t>
      </w:r>
    </w:p>
    <w:p w14:paraId="6D2BDD8D">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质量保证金采用以下第</w:t>
      </w:r>
      <w:r>
        <w:rPr>
          <w:rFonts w:hint="eastAsia" w:ascii="宋体" w:hAnsi="宋体" w:cs="宋体"/>
          <w:color w:val="000000"/>
          <w:sz w:val="21"/>
          <w:szCs w:val="21"/>
          <w:highlight w:val="none"/>
          <w:u w:val="single"/>
        </w:rPr>
        <w:t>2</w:t>
      </w:r>
      <w:r>
        <w:rPr>
          <w:rFonts w:hint="eastAsia" w:ascii="宋体" w:hAnsi="宋体" w:cs="宋体"/>
          <w:color w:val="000000"/>
          <w:sz w:val="21"/>
          <w:szCs w:val="21"/>
          <w:highlight w:val="none"/>
        </w:rPr>
        <w:t>种方式：</w:t>
      </w:r>
    </w:p>
    <w:p w14:paraId="019419C7">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（1）质量保证金保函，保证金额为：</w:t>
      </w:r>
      <w:r>
        <w:rPr>
          <w:rFonts w:hint="eastAsia" w:ascii="宋体" w:hAnsi="宋体" w:cs="宋体"/>
          <w:color w:val="000000"/>
          <w:sz w:val="21"/>
          <w:szCs w:val="21"/>
          <w:highlight w:val="none"/>
          <w:u w:val="single"/>
        </w:rPr>
        <w:t xml:space="preserve">  /  </w:t>
      </w:r>
      <w:r>
        <w:rPr>
          <w:rFonts w:hint="eastAsia" w:ascii="宋体" w:hAnsi="宋体" w:cs="宋体"/>
          <w:color w:val="000000"/>
          <w:sz w:val="21"/>
          <w:szCs w:val="21"/>
          <w:highlight w:val="none"/>
        </w:rPr>
        <w:t xml:space="preserve">； </w:t>
      </w:r>
    </w:p>
    <w:p w14:paraId="47A088AA">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（2）审定后总工程款的3%；</w:t>
      </w:r>
    </w:p>
    <w:p w14:paraId="266843C5">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（3）其他方式:</w:t>
      </w:r>
      <w:r>
        <w:rPr>
          <w:rFonts w:hint="eastAsia" w:ascii="宋体" w:hAnsi="宋体" w:cs="宋体"/>
          <w:color w:val="000000"/>
          <w:sz w:val="21"/>
          <w:szCs w:val="21"/>
          <w:highlight w:val="none"/>
          <w:u w:val="single"/>
        </w:rPr>
        <w:t xml:space="preserve">     /   </w:t>
      </w:r>
      <w:r>
        <w:rPr>
          <w:rFonts w:hint="eastAsia" w:ascii="宋体" w:hAnsi="宋体" w:cs="宋体"/>
          <w:color w:val="000000"/>
          <w:sz w:val="21"/>
          <w:szCs w:val="21"/>
          <w:highlight w:val="none"/>
        </w:rPr>
        <w:t>。</w:t>
      </w:r>
    </w:p>
    <w:p w14:paraId="4DFD1C4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 xml:space="preserve">15.3.2 质量保证金的扣留 </w:t>
      </w:r>
    </w:p>
    <w:p w14:paraId="007BE6D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质量保证金的扣留采取以下第</w:t>
      </w:r>
      <w:r>
        <w:rPr>
          <w:rFonts w:hint="eastAsia" w:ascii="宋体" w:hAnsi="宋体" w:cs="宋体"/>
          <w:color w:val="000000"/>
          <w:sz w:val="21"/>
          <w:szCs w:val="21"/>
          <w:highlight w:val="none"/>
          <w:u w:val="single"/>
        </w:rPr>
        <w:t xml:space="preserve">  （2） </w:t>
      </w:r>
      <w:r>
        <w:rPr>
          <w:rFonts w:hint="eastAsia" w:ascii="宋体" w:hAnsi="宋体" w:cs="宋体"/>
          <w:color w:val="000000"/>
          <w:sz w:val="21"/>
          <w:szCs w:val="21"/>
          <w:highlight w:val="none"/>
        </w:rPr>
        <w:t>种方式：</w:t>
      </w:r>
    </w:p>
    <w:p w14:paraId="60CED2DB">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（1）在支付工程进度款时逐次扣留，在此情形下，质量保证金的计算基数不包括预付款的支付、扣回以及价格调整的金额；</w:t>
      </w:r>
    </w:p>
    <w:p w14:paraId="0EB70639">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（2）工程竣工结算时一次性扣留质量保证金；</w:t>
      </w:r>
    </w:p>
    <w:p w14:paraId="135063B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（3）其他扣留方式:</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w:t>
      </w:r>
    </w:p>
    <w:bookmarkEnd w:id="688"/>
    <w:bookmarkEnd w:id="689"/>
    <w:p w14:paraId="1BE920E1">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15.3.3 质量保证金的退还：</w:t>
      </w:r>
      <w:r>
        <w:rPr>
          <w:rFonts w:hint="eastAsia" w:ascii="宋体" w:hAnsi="宋体" w:cs="宋体"/>
          <w:color w:val="000000"/>
          <w:sz w:val="21"/>
          <w:szCs w:val="21"/>
          <w:highlight w:val="none"/>
          <w:u w:val="single"/>
        </w:rPr>
        <w:t xml:space="preserve">执行《通用条款》，不计利息 </w:t>
      </w:r>
    </w:p>
    <w:p w14:paraId="40DA4010">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15.4保修</w:t>
      </w:r>
    </w:p>
    <w:bookmarkEnd w:id="690"/>
    <w:p w14:paraId="3AA910B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15.4.1 保修责任</w:t>
      </w:r>
    </w:p>
    <w:p w14:paraId="0D8C35E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工程保修期为：</w:t>
      </w:r>
      <w:r>
        <w:rPr>
          <w:rFonts w:hint="eastAsia" w:ascii="宋体" w:hAnsi="宋体" w:cs="宋体"/>
          <w:kern w:val="0"/>
          <w:sz w:val="21"/>
          <w:szCs w:val="21"/>
          <w:highlight w:val="none"/>
          <w:u w:val="single"/>
        </w:rPr>
        <w:t>执行《工程质量保修书》（附件2）约定</w:t>
      </w:r>
      <w:r>
        <w:rPr>
          <w:rFonts w:hint="eastAsia" w:ascii="宋体" w:hAnsi="宋体" w:cs="宋体"/>
          <w:color w:val="000000"/>
          <w:sz w:val="21"/>
          <w:szCs w:val="21"/>
          <w:highlight w:val="none"/>
          <w:u w:val="single"/>
        </w:rPr>
        <w:t>。</w:t>
      </w:r>
    </w:p>
    <w:p w14:paraId="7D149E25">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15.4.3 修复通知</w:t>
      </w:r>
    </w:p>
    <w:p w14:paraId="0372AC5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承包人收到保修通知并到达工程现场的合理时间：</w:t>
      </w:r>
      <w:r>
        <w:rPr>
          <w:rFonts w:hint="eastAsia" w:ascii="宋体" w:hAnsi="宋体" w:cs="宋体"/>
          <w:color w:val="000000"/>
          <w:sz w:val="21"/>
          <w:szCs w:val="21"/>
          <w:highlight w:val="none"/>
          <w:u w:val="single"/>
        </w:rPr>
        <w:t>24小时内</w:t>
      </w:r>
      <w:r>
        <w:rPr>
          <w:rFonts w:hint="eastAsia" w:ascii="宋体" w:hAnsi="宋体" w:cs="宋体"/>
          <w:color w:val="000000"/>
          <w:sz w:val="21"/>
          <w:szCs w:val="21"/>
          <w:highlight w:val="none"/>
        </w:rPr>
        <w:t>。</w:t>
      </w:r>
    </w:p>
    <w:bookmarkEnd w:id="691"/>
    <w:bookmarkEnd w:id="692"/>
    <w:bookmarkEnd w:id="693"/>
    <w:bookmarkEnd w:id="694"/>
    <w:p w14:paraId="4189DE16">
      <w:pPr>
        <w:spacing w:line="360" w:lineRule="auto"/>
        <w:ind w:firstLine="420" w:firstLineChars="200"/>
        <w:jc w:val="left"/>
        <w:rPr>
          <w:rFonts w:ascii="宋体" w:hAnsi="宋体" w:cs="宋体"/>
          <w:b/>
          <w:color w:val="000000"/>
          <w:sz w:val="21"/>
          <w:szCs w:val="21"/>
          <w:highlight w:val="none"/>
        </w:rPr>
      </w:pPr>
      <w:bookmarkStart w:id="717" w:name="_Toc351203648"/>
      <w:bookmarkStart w:id="718" w:name="_Toc280868717"/>
      <w:bookmarkStart w:id="719" w:name="_Toc280868718"/>
      <w:r>
        <w:rPr>
          <w:rFonts w:hint="eastAsia" w:ascii="宋体" w:hAnsi="宋体" w:cs="宋体"/>
          <w:b/>
          <w:color w:val="000000"/>
          <w:sz w:val="21"/>
          <w:szCs w:val="21"/>
          <w:highlight w:val="none"/>
        </w:rPr>
        <w:t>十六、违约</w:t>
      </w:r>
      <w:bookmarkEnd w:id="717"/>
    </w:p>
    <w:p w14:paraId="3F1AA1C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16.1 发包人违约</w:t>
      </w:r>
    </w:p>
    <w:p w14:paraId="528BAAF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16.1.1发包人违约的情形</w:t>
      </w:r>
    </w:p>
    <w:p w14:paraId="66DCEEA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发包人违约的其他情形：</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w:t>
      </w:r>
    </w:p>
    <w:p w14:paraId="52C9CD06">
      <w:pPr>
        <w:spacing w:line="360" w:lineRule="auto"/>
        <w:ind w:firstLine="420" w:firstLineChars="200"/>
        <w:rPr>
          <w:rFonts w:ascii="宋体" w:hAnsi="宋体" w:cs="宋体"/>
          <w:sz w:val="21"/>
          <w:szCs w:val="21"/>
          <w:highlight w:val="none"/>
        </w:rPr>
      </w:pPr>
      <w:r>
        <w:rPr>
          <w:rFonts w:hint="eastAsia" w:ascii="宋体" w:hAnsi="宋体" w:cs="宋体"/>
          <w:color w:val="000000"/>
          <w:sz w:val="21"/>
          <w:szCs w:val="21"/>
          <w:highlight w:val="none"/>
          <w:u w:val="single"/>
        </w:rPr>
        <w:t>若出现通用条款约定的发包人违约情形，承包人须在违约情形发生时向发包人发出书面通知，要求发包人采取有效措施纠正违约行为，发包人收到承包人通知后28日内仍不纠正违约行为的，承包人有权通知监理人，但不得暂停相应部位工程施工。</w:t>
      </w:r>
    </w:p>
    <w:p w14:paraId="47F9294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16.1.2 发包人违约的责任</w:t>
      </w:r>
    </w:p>
    <w:p w14:paraId="19554FE8">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发包人违约责任的承担方式和计算方法：</w:t>
      </w:r>
    </w:p>
    <w:p w14:paraId="7D3DE581">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（1）因发包人原因未能在计划开工日期前7天内下达开工通知的违约责任：</w:t>
      </w:r>
      <w:r>
        <w:rPr>
          <w:rFonts w:hint="eastAsia" w:ascii="宋体" w:hAnsi="宋体" w:cs="宋体"/>
          <w:sz w:val="21"/>
          <w:szCs w:val="21"/>
          <w:highlight w:val="none"/>
        </w:rPr>
        <w:t>执行《通用条款》</w:t>
      </w:r>
      <w:r>
        <w:rPr>
          <w:rFonts w:hint="eastAsia" w:ascii="宋体" w:hAnsi="宋体" w:cs="宋体"/>
          <w:color w:val="000000"/>
          <w:sz w:val="21"/>
          <w:szCs w:val="21"/>
          <w:highlight w:val="none"/>
        </w:rPr>
        <w:t>；</w:t>
      </w:r>
    </w:p>
    <w:p w14:paraId="24608FE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（2）因发包人原因未能按合同约定支付合同价款的违约责任：</w:t>
      </w:r>
      <w:r>
        <w:rPr>
          <w:rFonts w:hint="eastAsia" w:ascii="宋体" w:hAnsi="宋体" w:cs="宋体"/>
          <w:color w:val="000000"/>
          <w:sz w:val="21"/>
          <w:szCs w:val="21"/>
          <w:highlight w:val="none"/>
          <w:u w:val="single"/>
        </w:rPr>
        <w:t xml:space="preserve"> / </w:t>
      </w:r>
      <w:r>
        <w:rPr>
          <w:rFonts w:hint="eastAsia" w:ascii="宋体" w:hAnsi="宋体" w:cs="宋体"/>
          <w:color w:val="000000"/>
          <w:sz w:val="21"/>
          <w:szCs w:val="21"/>
          <w:highlight w:val="none"/>
        </w:rPr>
        <w:t>。</w:t>
      </w:r>
    </w:p>
    <w:p w14:paraId="7CC4909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（3）发包人违反第10.1款〔变更的范围〕第（2）项约定，自行实施被取消的工作或转由他人实施的违约责任：</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w:t>
      </w:r>
    </w:p>
    <w:p w14:paraId="0364A821">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w:t>
      </w:r>
    </w:p>
    <w:p w14:paraId="27D8B2C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（5）因发包人违反合同约定造成暂停施工的违约责任：</w:t>
      </w:r>
      <w:r>
        <w:rPr>
          <w:rFonts w:hint="eastAsia" w:ascii="宋体" w:hAnsi="宋体" w:cs="宋体"/>
          <w:color w:val="000000"/>
          <w:sz w:val="21"/>
          <w:szCs w:val="21"/>
          <w:highlight w:val="none"/>
          <w:u w:val="single"/>
        </w:rPr>
        <w:t>双方另行协商约定</w:t>
      </w:r>
      <w:r>
        <w:rPr>
          <w:rFonts w:hint="eastAsia" w:ascii="宋体" w:hAnsi="宋体" w:cs="宋体"/>
          <w:color w:val="000000"/>
          <w:sz w:val="21"/>
          <w:szCs w:val="21"/>
          <w:highlight w:val="none"/>
        </w:rPr>
        <w:t>。</w:t>
      </w:r>
    </w:p>
    <w:p w14:paraId="0F8F35B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（6）发包人无正当理由没有在约定期限内发出复工指示，导致承包人无法复工的违约责任：</w:t>
      </w:r>
      <w:r>
        <w:rPr>
          <w:rFonts w:hint="eastAsia" w:ascii="宋体" w:hAnsi="宋体" w:cs="宋体"/>
          <w:color w:val="000000"/>
          <w:sz w:val="21"/>
          <w:szCs w:val="21"/>
          <w:highlight w:val="none"/>
          <w:u w:val="single"/>
        </w:rPr>
        <w:t>双方另行协商约定</w:t>
      </w:r>
      <w:r>
        <w:rPr>
          <w:rFonts w:hint="eastAsia" w:ascii="宋体" w:hAnsi="宋体" w:cs="宋体"/>
          <w:color w:val="000000"/>
          <w:sz w:val="21"/>
          <w:szCs w:val="21"/>
          <w:highlight w:val="none"/>
        </w:rPr>
        <w:t>。</w:t>
      </w:r>
    </w:p>
    <w:p w14:paraId="5D20948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16.1.3 因发包人违约解除合同</w:t>
      </w:r>
    </w:p>
    <w:p w14:paraId="0449F360">
      <w:pPr>
        <w:autoSpaceDE w:val="0"/>
        <w:autoSpaceDN w:val="0"/>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承包人按16.1.1项〔发包人违约的情形〕约定暂停施工满</w:t>
      </w:r>
      <w:r>
        <w:rPr>
          <w:rFonts w:hint="eastAsia" w:ascii="宋体" w:hAnsi="宋体" w:cs="宋体"/>
          <w:color w:val="000000"/>
          <w:sz w:val="21"/>
          <w:szCs w:val="21"/>
          <w:highlight w:val="none"/>
          <w:u w:val="single"/>
        </w:rPr>
        <w:t>28</w:t>
      </w:r>
      <w:r>
        <w:rPr>
          <w:rFonts w:hint="eastAsia" w:ascii="宋体" w:hAnsi="宋体" w:cs="宋体"/>
          <w:color w:val="000000"/>
          <w:sz w:val="21"/>
          <w:szCs w:val="21"/>
          <w:highlight w:val="none"/>
        </w:rPr>
        <w:t>天后发包人仍不纠正其违约行为并致使合同目的不能实现的，承包人有权解除合同。</w:t>
      </w:r>
    </w:p>
    <w:p w14:paraId="0A83E8F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16.2 承包人违约</w:t>
      </w:r>
    </w:p>
    <w:p w14:paraId="334E52E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16.2.1 承包人违约的情形</w:t>
      </w:r>
    </w:p>
    <w:p w14:paraId="431C42C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承包人违约的其他情形：</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w:t>
      </w:r>
    </w:p>
    <w:p w14:paraId="25FD1887">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16.2.2承包人违约的责任</w:t>
      </w:r>
    </w:p>
    <w:p w14:paraId="4031C262">
      <w:pPr>
        <w:pStyle w:val="3"/>
        <w:tabs>
          <w:tab w:val="left" w:pos="9072"/>
        </w:tabs>
        <w:spacing w:before="53" w:line="360" w:lineRule="auto"/>
        <w:ind w:left="16" w:leftChars="8" w:right="-136"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承包人违约责任的承担方式和计算方法：承包人在工程实施过程中，任何因投标时忽视或误解工地情况而导致的索赔或工期延长申请将不被批准。由于承包人自身原因导致工期延误，每延迟一天，承包人向发包人支付</w:t>
      </w:r>
      <w:r>
        <w:rPr>
          <w:rFonts w:hint="eastAsia" w:ascii="宋体" w:hAnsi="宋体" w:cs="宋体"/>
          <w:color w:val="000000"/>
          <w:sz w:val="21"/>
          <w:szCs w:val="21"/>
          <w:highlight w:val="none"/>
          <w:u w:val="single"/>
          <w:lang w:val="en-US" w:eastAsia="zh-CN"/>
        </w:rPr>
        <w:t>5000</w:t>
      </w:r>
      <w:r>
        <w:rPr>
          <w:rFonts w:hint="eastAsia" w:ascii="宋体" w:hAnsi="宋体" w:cs="宋体"/>
          <w:color w:val="000000"/>
          <w:sz w:val="21"/>
          <w:szCs w:val="21"/>
          <w:highlight w:val="none"/>
          <w:u w:val="single"/>
        </w:rPr>
        <w:t xml:space="preserve">元作为违约金；发包人根据延期情况，经书面通知承包人后，有权解除本合同。承包人支付违约金并不免除完成工程及修补缺陷的义务。 </w:t>
      </w:r>
    </w:p>
    <w:p w14:paraId="66EC51B4">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承包人承担因工程质量达不到本合同书约定的质量等级所造成检测、返工、加固等所有质量补救措施的全部费用。当发包人认为质量问题严重，需要终止合同更换承包人，或承包人拒绝发包人要求采取弥补质量缺陷措施时，发包人有权终止合同更换承包人，承包人承担发包人因终止合同更换承包人的全部责任，承担因此产生的全部费用，并向发包人支付工程质量违约金，工程质量违约金为已完工程结算价的 2％。</w:t>
      </w:r>
    </w:p>
    <w:p w14:paraId="4B9618FE">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16.2.3 因承包人违约解除合同</w:t>
      </w:r>
    </w:p>
    <w:p w14:paraId="54C9EC53">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关于承包人违约解除合同的特别约定：</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4D38340A">
      <w:pPr>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发包人继续使用承包人在施工现场的材料、设备、临时工程、承包人文件和由承包人或以其名义编制的其他文件的费用承担方式：</w:t>
      </w:r>
      <w:r>
        <w:rPr>
          <w:rFonts w:hint="eastAsia" w:ascii="宋体" w:hAnsi="宋体" w:cs="宋体"/>
          <w:color w:val="000000"/>
          <w:sz w:val="21"/>
          <w:szCs w:val="21"/>
          <w:highlight w:val="none"/>
          <w:u w:val="single"/>
        </w:rPr>
        <w:t>双方另行协商约定 。</w:t>
      </w:r>
    </w:p>
    <w:p w14:paraId="7DF1F7B2">
      <w:pPr>
        <w:spacing w:line="360" w:lineRule="auto"/>
        <w:ind w:firstLine="420" w:firstLineChars="200"/>
        <w:jc w:val="left"/>
        <w:rPr>
          <w:rFonts w:ascii="宋体" w:hAnsi="宋体" w:cs="宋体"/>
          <w:b/>
          <w:color w:val="000000"/>
          <w:sz w:val="21"/>
          <w:szCs w:val="21"/>
          <w:highlight w:val="none"/>
        </w:rPr>
      </w:pPr>
      <w:bookmarkStart w:id="720" w:name="_Toc351203649"/>
      <w:r>
        <w:rPr>
          <w:rFonts w:hint="eastAsia" w:ascii="宋体" w:hAnsi="宋体" w:cs="宋体"/>
          <w:b/>
          <w:color w:val="000000"/>
          <w:sz w:val="21"/>
          <w:szCs w:val="21"/>
          <w:highlight w:val="none"/>
        </w:rPr>
        <w:t>十七、不可抗力</w:t>
      </w:r>
      <w:bookmarkEnd w:id="718"/>
      <w:bookmarkEnd w:id="720"/>
    </w:p>
    <w:p w14:paraId="62212B9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17.1 不可抗力的确认</w:t>
      </w:r>
    </w:p>
    <w:p w14:paraId="3E3877AD">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rPr>
        <w:t>除通用合同条款约定的不可抗力事件之外，视为不可抗力的其他情形：</w:t>
      </w:r>
      <w:r>
        <w:rPr>
          <w:rFonts w:hint="eastAsia" w:ascii="宋体" w:hAnsi="宋体" w:cs="宋体"/>
          <w:kern w:val="0"/>
          <w:sz w:val="21"/>
          <w:szCs w:val="21"/>
          <w:highlight w:val="none"/>
          <w:u w:val="single"/>
        </w:rPr>
        <w:t>指战争、动乱、空中飞行物体坠落、造成灾难性影响的地震（六级以上）或其它非发包人或承包人双方责任造成的爆炸、火灾，以及对工程造成损害的风、雨、雪、洪水等自然灾害（八级以上持续大风、24小时降雨量在50mm以上的持续大雨）</w:t>
      </w:r>
      <w:r>
        <w:rPr>
          <w:rFonts w:hint="eastAsia" w:ascii="宋体" w:hAnsi="宋体" w:cs="宋体"/>
          <w:color w:val="000000"/>
          <w:sz w:val="21"/>
          <w:szCs w:val="21"/>
          <w:highlight w:val="none"/>
          <w:u w:val="single"/>
        </w:rPr>
        <w:t>。</w:t>
      </w:r>
    </w:p>
    <w:p w14:paraId="48BA414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17.4 因不可抗力解除合同</w:t>
      </w:r>
    </w:p>
    <w:p w14:paraId="7AE3046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合同解除后，发包人应在商定或确定发包人应支付款项后</w:t>
      </w:r>
      <w:r>
        <w:rPr>
          <w:rFonts w:hint="eastAsia" w:ascii="宋体" w:hAnsi="宋体" w:cs="宋体"/>
          <w:color w:val="000000"/>
          <w:sz w:val="21"/>
          <w:szCs w:val="21"/>
          <w:highlight w:val="none"/>
          <w:u w:val="single"/>
        </w:rPr>
        <w:t xml:space="preserve"> 180 </w:t>
      </w:r>
      <w:r>
        <w:rPr>
          <w:rFonts w:hint="eastAsia" w:ascii="宋体" w:hAnsi="宋体" w:cs="宋体"/>
          <w:color w:val="000000"/>
          <w:sz w:val="21"/>
          <w:szCs w:val="21"/>
          <w:highlight w:val="none"/>
        </w:rPr>
        <w:t>日内完成款项的支付。</w:t>
      </w:r>
    </w:p>
    <w:p w14:paraId="25B10EFF">
      <w:pPr>
        <w:spacing w:line="360" w:lineRule="auto"/>
        <w:ind w:firstLine="420" w:firstLineChars="200"/>
        <w:jc w:val="left"/>
        <w:rPr>
          <w:rFonts w:ascii="宋体" w:hAnsi="宋体" w:cs="宋体"/>
          <w:b/>
          <w:color w:val="000000"/>
          <w:sz w:val="21"/>
          <w:szCs w:val="21"/>
          <w:highlight w:val="none"/>
        </w:rPr>
      </w:pPr>
      <w:bookmarkStart w:id="721" w:name="_Toc351203650"/>
      <w:r>
        <w:rPr>
          <w:rFonts w:hint="eastAsia" w:ascii="宋体" w:hAnsi="宋体" w:cs="宋体"/>
          <w:b/>
          <w:color w:val="000000"/>
          <w:sz w:val="21"/>
          <w:szCs w:val="21"/>
          <w:highlight w:val="none"/>
        </w:rPr>
        <w:t>十八、保险</w:t>
      </w:r>
      <w:bookmarkEnd w:id="721"/>
    </w:p>
    <w:bookmarkEnd w:id="719"/>
    <w:p w14:paraId="55CD028B">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18.1 工程保险</w:t>
      </w:r>
    </w:p>
    <w:p w14:paraId="02FEE1CB">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关于工程保险的特别约定：</w:t>
      </w:r>
      <w:r>
        <w:rPr>
          <w:rFonts w:hint="eastAsia" w:ascii="宋体" w:hAnsi="宋体" w:cs="宋体"/>
          <w:color w:val="000000"/>
          <w:sz w:val="21"/>
          <w:szCs w:val="21"/>
          <w:highlight w:val="none"/>
          <w:u w:val="single"/>
        </w:rPr>
        <w:t>由承包人承担</w:t>
      </w:r>
      <w:r>
        <w:rPr>
          <w:rFonts w:hint="eastAsia" w:ascii="宋体" w:hAnsi="宋体" w:cs="宋体"/>
          <w:color w:val="000000"/>
          <w:sz w:val="21"/>
          <w:szCs w:val="21"/>
          <w:highlight w:val="none"/>
        </w:rPr>
        <w:t>。</w:t>
      </w:r>
    </w:p>
    <w:p w14:paraId="06A0524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18.3 其他保险</w:t>
      </w:r>
    </w:p>
    <w:p w14:paraId="213C473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关于其他保险的约定：</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01F5D61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承包人是否应为其施工设备等办理财产保险：</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p w14:paraId="45960586">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18.7 通知义务</w:t>
      </w:r>
    </w:p>
    <w:p w14:paraId="4F5F769F">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关于变更保险合同时的通知义务的约定：</w:t>
      </w:r>
      <w:r>
        <w:rPr>
          <w:rFonts w:hint="eastAsia" w:ascii="宋体" w:hAnsi="宋体" w:cs="宋体"/>
          <w:color w:val="000000"/>
          <w:sz w:val="21"/>
          <w:szCs w:val="21"/>
          <w:highlight w:val="none"/>
          <w:u w:val="single"/>
        </w:rPr>
        <w:t>执行《通用条款》</w:t>
      </w:r>
      <w:r>
        <w:rPr>
          <w:rFonts w:hint="eastAsia" w:ascii="宋体" w:hAnsi="宋体" w:cs="宋体"/>
          <w:color w:val="000000"/>
          <w:sz w:val="21"/>
          <w:szCs w:val="21"/>
          <w:highlight w:val="none"/>
        </w:rPr>
        <w:t>。</w:t>
      </w:r>
    </w:p>
    <w:bookmarkEnd w:id="695"/>
    <w:bookmarkEnd w:id="696"/>
    <w:bookmarkEnd w:id="697"/>
    <w:bookmarkEnd w:id="698"/>
    <w:bookmarkEnd w:id="699"/>
    <w:bookmarkEnd w:id="700"/>
    <w:bookmarkEnd w:id="701"/>
    <w:bookmarkEnd w:id="702"/>
    <w:bookmarkEnd w:id="703"/>
    <w:bookmarkEnd w:id="704"/>
    <w:bookmarkEnd w:id="705"/>
    <w:bookmarkEnd w:id="706"/>
    <w:p w14:paraId="1732A638">
      <w:pPr>
        <w:spacing w:line="360" w:lineRule="auto"/>
        <w:ind w:firstLine="420" w:firstLineChars="200"/>
        <w:jc w:val="left"/>
        <w:rPr>
          <w:rFonts w:ascii="宋体" w:hAnsi="宋体" w:cs="宋体"/>
          <w:b/>
          <w:color w:val="000000"/>
          <w:sz w:val="21"/>
          <w:szCs w:val="21"/>
          <w:highlight w:val="none"/>
        </w:rPr>
      </w:pPr>
      <w:bookmarkStart w:id="722" w:name="_Toc351203651"/>
      <w:r>
        <w:rPr>
          <w:rFonts w:hint="eastAsia" w:ascii="宋体" w:hAnsi="宋体" w:cs="宋体"/>
          <w:b/>
          <w:color w:val="000000"/>
          <w:sz w:val="21"/>
          <w:szCs w:val="21"/>
          <w:highlight w:val="none"/>
        </w:rPr>
        <w:t>二十、争议解决</w:t>
      </w:r>
      <w:bookmarkEnd w:id="722"/>
    </w:p>
    <w:bookmarkEnd w:id="707"/>
    <w:bookmarkEnd w:id="708"/>
    <w:p w14:paraId="5641142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20.3 争</w:t>
      </w:r>
      <w:bookmarkEnd w:id="709"/>
      <w:r>
        <w:rPr>
          <w:rFonts w:hint="eastAsia" w:ascii="宋体" w:hAnsi="宋体" w:cs="宋体"/>
          <w:color w:val="000000"/>
          <w:sz w:val="21"/>
          <w:szCs w:val="21"/>
          <w:highlight w:val="none"/>
        </w:rPr>
        <w:t>议评审</w:t>
      </w:r>
    </w:p>
    <w:p w14:paraId="3F9B1B76">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合同当事人是否同意将工程争议提交争议评审小组决定：</w:t>
      </w:r>
      <w:r>
        <w:rPr>
          <w:rFonts w:hint="eastAsia" w:ascii="宋体" w:hAnsi="宋体" w:cs="宋体"/>
          <w:color w:val="000000"/>
          <w:sz w:val="21"/>
          <w:szCs w:val="21"/>
          <w:highlight w:val="none"/>
          <w:u w:val="single"/>
        </w:rPr>
        <w:t xml:space="preserve"> 否  </w:t>
      </w:r>
      <w:r>
        <w:rPr>
          <w:rFonts w:hint="eastAsia" w:ascii="宋体" w:hAnsi="宋体" w:cs="宋体"/>
          <w:color w:val="000000"/>
          <w:sz w:val="21"/>
          <w:szCs w:val="21"/>
          <w:highlight w:val="none"/>
        </w:rPr>
        <w:t xml:space="preserve">。  </w:t>
      </w:r>
    </w:p>
    <w:p w14:paraId="02A4D46C">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20.4仲裁或诉讼</w:t>
      </w:r>
      <w:bookmarkEnd w:id="710"/>
    </w:p>
    <w:p w14:paraId="561FBDD5">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因合同及合同有关事项发生的争议，按下列第</w:t>
      </w:r>
      <w:r>
        <w:rPr>
          <w:rFonts w:hint="eastAsia" w:ascii="宋体" w:hAnsi="宋体" w:cs="宋体"/>
          <w:color w:val="000000"/>
          <w:sz w:val="21"/>
          <w:szCs w:val="21"/>
          <w:highlight w:val="none"/>
          <w:u w:val="single"/>
        </w:rPr>
        <w:t>2</w:t>
      </w:r>
      <w:r>
        <w:rPr>
          <w:rFonts w:hint="eastAsia" w:ascii="宋体" w:hAnsi="宋体" w:cs="宋体"/>
          <w:color w:val="000000"/>
          <w:sz w:val="21"/>
          <w:szCs w:val="21"/>
          <w:highlight w:val="none"/>
        </w:rPr>
        <w:t>种方式解决：</w:t>
      </w:r>
    </w:p>
    <w:p w14:paraId="0EC99F9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（1）向</w:t>
      </w:r>
      <w:r>
        <w:rPr>
          <w:rFonts w:hint="eastAsia" w:ascii="宋体" w:hAnsi="宋体" w:cs="宋体"/>
          <w:color w:val="000000"/>
          <w:sz w:val="21"/>
          <w:szCs w:val="21"/>
          <w:highlight w:val="none"/>
          <w:u w:val="single"/>
        </w:rPr>
        <w:t>/</w:t>
      </w:r>
      <w:r>
        <w:rPr>
          <w:rFonts w:hint="eastAsia" w:ascii="宋体" w:hAnsi="宋体" w:cs="宋体"/>
          <w:color w:val="000000"/>
          <w:sz w:val="21"/>
          <w:szCs w:val="21"/>
          <w:highlight w:val="none"/>
        </w:rPr>
        <w:t>仲裁委员会申请仲裁；</w:t>
      </w:r>
    </w:p>
    <w:p w14:paraId="3022E4E4">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（2）向</w:t>
      </w:r>
      <w:r>
        <w:rPr>
          <w:rFonts w:hint="eastAsia" w:ascii="宋体" w:hAnsi="宋体" w:cs="宋体"/>
          <w:b/>
          <w:color w:val="000000"/>
          <w:sz w:val="21"/>
          <w:szCs w:val="21"/>
          <w:highlight w:val="none"/>
          <w:u w:val="single"/>
        </w:rPr>
        <w:t>工程所在地</w:t>
      </w:r>
      <w:r>
        <w:rPr>
          <w:rFonts w:hint="eastAsia" w:ascii="宋体" w:hAnsi="宋体" w:cs="宋体"/>
          <w:color w:val="000000"/>
          <w:sz w:val="21"/>
          <w:szCs w:val="21"/>
          <w:highlight w:val="none"/>
        </w:rPr>
        <w:t>人民法院起诉。</w:t>
      </w:r>
      <w:bookmarkEnd w:id="711"/>
      <w:bookmarkEnd w:id="712"/>
      <w:bookmarkEnd w:id="713"/>
      <w:bookmarkEnd w:id="714"/>
      <w:bookmarkEnd w:id="715"/>
      <w:bookmarkEnd w:id="716"/>
    </w:p>
    <w:p w14:paraId="2682BD79">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b/>
          <w:color w:val="000000"/>
          <w:sz w:val="21"/>
          <w:szCs w:val="21"/>
          <w:highlight w:val="none"/>
        </w:rPr>
        <w:t>二十一、补充条款</w:t>
      </w:r>
    </w:p>
    <w:p w14:paraId="2F3AFED7">
      <w:pPr>
        <w:tabs>
          <w:tab w:val="left" w:pos="1124"/>
        </w:tabs>
        <w:spacing w:line="360" w:lineRule="auto"/>
        <w:ind w:firstLine="420" w:firstLineChars="200"/>
        <w:rPr>
          <w:rFonts w:ascii="宋体" w:hAnsi="宋体" w:cs="宋体"/>
          <w:sz w:val="21"/>
          <w:szCs w:val="21"/>
          <w:highlight w:val="none"/>
          <w:u w:val="single"/>
        </w:rPr>
      </w:pPr>
      <w:r>
        <w:rPr>
          <w:rFonts w:hint="eastAsia" w:ascii="宋体" w:hAnsi="宋体" w:cs="宋体"/>
          <w:color w:val="000000"/>
          <w:sz w:val="21"/>
          <w:szCs w:val="21"/>
          <w:highlight w:val="none"/>
          <w:u w:val="single"/>
        </w:rPr>
        <w:t>21.1</w:t>
      </w:r>
      <w:r>
        <w:rPr>
          <w:rFonts w:hint="eastAsia" w:ascii="宋体" w:hAnsi="宋体" w:cs="宋体"/>
          <w:sz w:val="21"/>
          <w:szCs w:val="21"/>
          <w:highlight w:val="none"/>
          <w:u w:val="single"/>
        </w:rPr>
        <w:t>对于没有填报或填报为零的单价或总价清单项，其费用视为已包括在</w:t>
      </w:r>
      <w:r>
        <w:rPr>
          <w:rFonts w:hint="eastAsia" w:ascii="宋体" w:hAnsi="宋体" w:cs="宋体"/>
          <w:sz w:val="21"/>
          <w:szCs w:val="21"/>
          <w:highlight w:val="none"/>
          <w:u w:val="single"/>
          <w:lang w:eastAsia="zh-CN"/>
        </w:rPr>
        <w:t>磋商</w:t>
      </w:r>
      <w:r>
        <w:rPr>
          <w:rFonts w:hint="eastAsia" w:ascii="宋体" w:hAnsi="宋体" w:cs="宋体"/>
          <w:sz w:val="21"/>
          <w:szCs w:val="21"/>
          <w:highlight w:val="none"/>
          <w:u w:val="single"/>
        </w:rPr>
        <w:t xml:space="preserve">报价中，发包人不再额外支付；承包人必须按监理工程师指令完成工程量清单中未填入单价的工程项目。  </w:t>
      </w:r>
    </w:p>
    <w:p w14:paraId="0B4C9C46">
      <w:pPr>
        <w:pStyle w:val="12"/>
        <w:tabs>
          <w:tab w:val="left" w:pos="1124"/>
        </w:tabs>
        <w:spacing w:line="360" w:lineRule="auto"/>
        <w:ind w:firstLine="480"/>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 xml:space="preserve">21.2承包人在投标时已到工地现场详细踏勘，充分考察了发包人的地形地貌，充分了解了到达发包人的材料价格，充分准备了按期进场、按时开工的措施，不得以任何理由拖延进场和开工。承包人充分了解了工程位置、情况、运输道路、储存空间、装卸限制及任何其他足以影响承包价格的情况，所以，任何因忽视或误解工地现场情况等原因而导致的索赔或工期延长申请均不被批准。 </w:t>
      </w:r>
    </w:p>
    <w:p w14:paraId="40AD89B6">
      <w:pPr>
        <w:tabs>
          <w:tab w:val="left" w:pos="1124"/>
        </w:tabs>
        <w:spacing w:before="106"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21.3</w:t>
      </w:r>
      <w:r>
        <w:rPr>
          <w:rFonts w:hint="eastAsia" w:ascii="宋体" w:hAnsi="宋体" w:cs="宋体"/>
          <w:kern w:val="0"/>
          <w:sz w:val="21"/>
          <w:szCs w:val="21"/>
          <w:highlight w:val="none"/>
          <w:u w:val="single"/>
        </w:rPr>
        <w:t xml:space="preserve"> 承包人在投标时已充分考虑了本项目施工要求高、工期紧的特点，已结合自身的施工组织情况，详细编制了施工组织设计，并在</w:t>
      </w:r>
      <w:r>
        <w:rPr>
          <w:rFonts w:hint="eastAsia" w:ascii="宋体" w:hAnsi="宋体" w:cs="宋体"/>
          <w:kern w:val="0"/>
          <w:sz w:val="21"/>
          <w:szCs w:val="21"/>
          <w:highlight w:val="none"/>
          <w:u w:val="single"/>
          <w:lang w:eastAsia="zh-CN"/>
        </w:rPr>
        <w:t>磋商</w:t>
      </w:r>
      <w:r>
        <w:rPr>
          <w:rFonts w:hint="eastAsia" w:ascii="宋体" w:hAnsi="宋体" w:cs="宋体"/>
          <w:kern w:val="0"/>
          <w:sz w:val="21"/>
          <w:szCs w:val="21"/>
          <w:highlight w:val="none"/>
          <w:u w:val="single"/>
        </w:rPr>
        <w:t>报价中已充分考虑了这些因素。承包人进场后，发包人将按照施工组织设计进行检查、落实，承包人未 落实的，将视为违约，承包人应承担相应的违约责任。在施工期间，承包人不得因其施工方案及报价中未考虑</w:t>
      </w:r>
      <w:r>
        <w:rPr>
          <w:rFonts w:hint="eastAsia" w:ascii="宋体" w:hAnsi="宋体" w:cs="宋体"/>
          <w:kern w:val="0"/>
          <w:sz w:val="21"/>
          <w:szCs w:val="21"/>
          <w:highlight w:val="none"/>
          <w:u w:val="single"/>
          <w:lang w:eastAsia="zh-CN"/>
        </w:rPr>
        <w:t>竞争性磋商文件</w:t>
      </w:r>
      <w:r>
        <w:rPr>
          <w:rFonts w:hint="eastAsia" w:ascii="宋体" w:hAnsi="宋体" w:cs="宋体"/>
          <w:kern w:val="0"/>
          <w:sz w:val="21"/>
          <w:szCs w:val="21"/>
          <w:highlight w:val="none"/>
          <w:u w:val="single"/>
        </w:rPr>
        <w:t xml:space="preserve">及施工现场因素造成投入加大或费用增加，而向发包人提出增加工程造价的申请，发包人对此类索赔一律不予认可。 </w:t>
      </w:r>
    </w:p>
    <w:p w14:paraId="21C1726F">
      <w:pPr>
        <w:tabs>
          <w:tab w:val="left" w:pos="1124"/>
        </w:tabs>
        <w:spacing w:before="3"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21.4</w:t>
      </w:r>
      <w:r>
        <w:rPr>
          <w:rFonts w:hint="eastAsia" w:ascii="宋体" w:hAnsi="宋体" w:cs="宋体"/>
          <w:kern w:val="0"/>
          <w:sz w:val="21"/>
          <w:szCs w:val="21"/>
          <w:highlight w:val="none"/>
          <w:u w:val="single"/>
        </w:rPr>
        <w:t xml:space="preserve"> 需承包人办理的有关施工场地交通、环卫和施工噪音管理等手续：负责办理有关行政审批许可、住建、市政、交通、市容、城管、环保、消防、疫情防控等主管部门的相关手续，其相关费用承包人已在合同价款中计取，发包人不再增加涉及上述内容所需的费用，相关手续如有增加费用，承包人应自行承担。负责协调与相关部门的关系，并承担因此而产生的费用，因此引起的经济处罚责任由承包人承担。  </w:t>
      </w:r>
    </w:p>
    <w:p w14:paraId="5531FE03">
      <w:pPr>
        <w:pStyle w:val="3"/>
        <w:spacing w:before="5" w:line="360" w:lineRule="auto"/>
        <w:ind w:firstLine="420" w:firstLineChars="200"/>
        <w:rPr>
          <w:rFonts w:ascii="宋体" w:hAnsi="宋体" w:cs="宋体"/>
          <w:kern w:val="0"/>
          <w:sz w:val="21"/>
          <w:szCs w:val="21"/>
          <w:highlight w:val="none"/>
          <w:u w:val="single"/>
        </w:rPr>
      </w:pPr>
      <w:r>
        <w:rPr>
          <w:rFonts w:ascii="宋体" w:hAnsi="宋体" w:cs="宋体"/>
          <w:sz w:val="21"/>
          <w:szCs w:val="21"/>
          <w:highlight w:val="none"/>
          <w:u w:val="single"/>
        </w:rPr>
        <w:t>2</w:t>
      </w:r>
      <w:r>
        <w:rPr>
          <w:rFonts w:hint="eastAsia" w:ascii="宋体" w:hAnsi="宋体" w:eastAsia="宋体" w:cs="宋体"/>
          <w:kern w:val="0"/>
          <w:sz w:val="21"/>
          <w:szCs w:val="21"/>
          <w:highlight w:val="none"/>
          <w:u w:val="single"/>
          <w:lang w:val="en-US" w:eastAsia="zh-CN" w:bidi="ar-SA"/>
        </w:rPr>
        <w:t>1.5承包人在投标时已充分了解和考虑与周边居民住户的关系处理，施工过程中要妥善处理好与周边居民住户的关系，及时办理施工审批手续，保证不能出现因相关手续未办理、居民住户矛盾等问题而影响工程进度、提高工程造价或其它不能被发包人接受的情况，由此产生的责任由承包人承担。</w:t>
      </w:r>
    </w:p>
    <w:p w14:paraId="0407CE30">
      <w:pPr>
        <w:tabs>
          <w:tab w:val="left" w:pos="1124"/>
        </w:tabs>
        <w:spacing w:before="5"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21.6</w:t>
      </w:r>
      <w:r>
        <w:rPr>
          <w:rFonts w:hint="eastAsia" w:ascii="宋体" w:hAnsi="宋体" w:cs="宋体"/>
          <w:kern w:val="0"/>
          <w:sz w:val="21"/>
          <w:szCs w:val="21"/>
          <w:highlight w:val="none"/>
          <w:u w:val="single"/>
        </w:rPr>
        <w:t xml:space="preserve"> 承包人</w:t>
      </w:r>
      <w:r>
        <w:rPr>
          <w:rFonts w:hint="eastAsia" w:ascii="宋体" w:hAnsi="宋体" w:cs="宋体"/>
          <w:kern w:val="0"/>
          <w:sz w:val="21"/>
          <w:szCs w:val="21"/>
          <w:highlight w:val="none"/>
          <w:u w:val="single"/>
          <w:lang w:eastAsia="zh-CN"/>
        </w:rPr>
        <w:t>磋商</w:t>
      </w:r>
      <w:r>
        <w:rPr>
          <w:rFonts w:hint="eastAsia" w:ascii="宋体" w:hAnsi="宋体" w:cs="宋体"/>
          <w:kern w:val="0"/>
          <w:sz w:val="21"/>
          <w:szCs w:val="21"/>
          <w:highlight w:val="none"/>
          <w:u w:val="single"/>
        </w:rPr>
        <w:t xml:space="preserve">报价已充分考虑了材料设备（包括土方）的二次运输或多次倒运费用，结算时不再另行增加费用。  </w:t>
      </w:r>
    </w:p>
    <w:p w14:paraId="074F587F">
      <w:pPr>
        <w:pStyle w:val="12"/>
        <w:tabs>
          <w:tab w:val="left" w:pos="1124"/>
        </w:tabs>
        <w:autoSpaceDE w:val="0"/>
        <w:autoSpaceDN w:val="0"/>
        <w:spacing w:before="4" w:line="360" w:lineRule="auto"/>
        <w:ind w:firstLine="480"/>
        <w:rPr>
          <w:rFonts w:ascii="宋体" w:hAnsi="宋体" w:cs="宋体"/>
          <w:sz w:val="21"/>
          <w:szCs w:val="21"/>
          <w:highlight w:val="none"/>
          <w:u w:val="single"/>
        </w:rPr>
      </w:pPr>
      <w:r>
        <w:rPr>
          <w:rFonts w:hint="eastAsia" w:ascii="宋体" w:hAnsi="宋体" w:cs="宋体"/>
          <w:color w:val="000000"/>
          <w:sz w:val="21"/>
          <w:szCs w:val="21"/>
          <w:highlight w:val="none"/>
          <w:u w:val="single"/>
        </w:rPr>
        <w:t>21.7</w:t>
      </w:r>
      <w:r>
        <w:rPr>
          <w:rFonts w:hint="eastAsia" w:ascii="宋体" w:hAnsi="宋体" w:cs="宋体"/>
          <w:sz w:val="21"/>
          <w:szCs w:val="21"/>
          <w:highlight w:val="none"/>
          <w:u w:val="single"/>
        </w:rPr>
        <w:t xml:space="preserve"> 承包人除遵守合同中所约定的条款外还须遵守发包人现场管理的各项规章制度。  </w:t>
      </w:r>
    </w:p>
    <w:p w14:paraId="3CE97DC0">
      <w:pPr>
        <w:tabs>
          <w:tab w:val="left" w:pos="1124"/>
        </w:tabs>
        <w:spacing w:before="5"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21.8</w:t>
      </w:r>
      <w:r>
        <w:rPr>
          <w:rFonts w:hint="eastAsia" w:ascii="宋体" w:hAnsi="宋体" w:cs="宋体"/>
          <w:kern w:val="0"/>
          <w:sz w:val="21"/>
          <w:szCs w:val="21"/>
          <w:highlight w:val="none"/>
          <w:u w:val="single"/>
        </w:rPr>
        <w:t xml:space="preserve">承包人严格按文明工地标准安全施工，否则由此引起的罚款由承包人承担， 若给发包人造成负面影响，发包人有权视情节轻重予以处罚。承包人对施工过程中因 承包人原因发生的安全问题承担全部责任。  </w:t>
      </w:r>
    </w:p>
    <w:p w14:paraId="457137D8">
      <w:pPr>
        <w:tabs>
          <w:tab w:val="left" w:pos="1124"/>
        </w:tabs>
        <w:spacing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21.9</w:t>
      </w:r>
      <w:r>
        <w:rPr>
          <w:rFonts w:hint="eastAsia" w:ascii="宋体" w:hAnsi="宋体" w:cs="宋体"/>
          <w:kern w:val="0"/>
          <w:sz w:val="21"/>
          <w:szCs w:val="21"/>
          <w:highlight w:val="none"/>
          <w:u w:val="single"/>
        </w:rPr>
        <w:t xml:space="preserve">承包人在施工过程中，资料整理和工程进度必须同步。每月发包人管理人员对施工进度和资料进行检查，出现问题限期整改，否则承包人每次向发包人支付违约金1000元。在工程竣工验收前，承包人要按规定将竣工资料交监理验收，由监理单位出具相应证明后，发包人方可组织验收。  </w:t>
      </w:r>
    </w:p>
    <w:p w14:paraId="3F3D00E1">
      <w:pPr>
        <w:tabs>
          <w:tab w:val="left" w:pos="1244"/>
        </w:tabs>
        <w:spacing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21.10</w:t>
      </w:r>
      <w:r>
        <w:rPr>
          <w:rFonts w:hint="eastAsia" w:ascii="宋体" w:hAnsi="宋体" w:cs="宋体"/>
          <w:kern w:val="0"/>
          <w:sz w:val="21"/>
          <w:szCs w:val="21"/>
          <w:highlight w:val="none"/>
          <w:u w:val="single"/>
        </w:rPr>
        <w:t xml:space="preserve"> 承包人施工时，治安、卫生等应服从辖区内相关部门对工程建设的统一管理，并按有关规定缴纳费用。承包人施工车辆在道路行驶时，应符合校园有关限速、限时行驶等相关规定，若发生安全事故，由承包人自行承担责任。  </w:t>
      </w:r>
    </w:p>
    <w:p w14:paraId="6240F8E5">
      <w:pPr>
        <w:tabs>
          <w:tab w:val="left" w:pos="1244"/>
        </w:tabs>
        <w:spacing w:before="1"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21.11</w:t>
      </w:r>
      <w:r>
        <w:rPr>
          <w:rFonts w:hint="eastAsia" w:ascii="宋体" w:hAnsi="宋体" w:cs="宋体"/>
          <w:kern w:val="0"/>
          <w:sz w:val="21"/>
          <w:szCs w:val="21"/>
          <w:highlight w:val="none"/>
          <w:u w:val="single"/>
        </w:rPr>
        <w:t xml:space="preserve">  若承包人拒绝完成合同内约定的承包人的工作，除向发包人支付违约金外， 发包人有权另请其他单位进行该项工作，所产生的一切费用以发包方实际支付金额加15%管理费后，全数从本工程合同应付金额内扣除。  </w:t>
      </w:r>
    </w:p>
    <w:p w14:paraId="18414D91">
      <w:pPr>
        <w:tabs>
          <w:tab w:val="left" w:pos="1244"/>
        </w:tabs>
        <w:spacing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21.12</w:t>
      </w:r>
      <w:r>
        <w:rPr>
          <w:rFonts w:hint="eastAsia" w:ascii="宋体" w:hAnsi="宋体" w:cs="宋体"/>
          <w:kern w:val="0"/>
          <w:sz w:val="21"/>
          <w:szCs w:val="21"/>
          <w:highlight w:val="none"/>
          <w:u w:val="single"/>
        </w:rPr>
        <w:t xml:space="preserve"> 如果发包人支付本工程进度款略有滞后（三个月之内），承包人应保证本工程的连续施工不受影响。</w:t>
      </w:r>
    </w:p>
    <w:p w14:paraId="2121CEA3">
      <w:pPr>
        <w:tabs>
          <w:tab w:val="left" w:pos="1244"/>
        </w:tabs>
        <w:spacing w:before="2"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 xml:space="preserve">21.13 </w:t>
      </w:r>
      <w:r>
        <w:rPr>
          <w:rFonts w:hint="eastAsia" w:ascii="宋体" w:hAnsi="宋体" w:cs="宋体"/>
          <w:kern w:val="0"/>
          <w:sz w:val="21"/>
          <w:szCs w:val="21"/>
          <w:highlight w:val="none"/>
          <w:u w:val="single"/>
        </w:rPr>
        <w:t xml:space="preserve">承包人在施工过程中及时向农民工支付工资，应在承包人申报当期进度款计划时一并报发包人，并建立农民工工资发放专户，发包人有权监督承包人在支付的当期进度款中发放农民工工资。若承包人不按规定及时支付农民工工资的，发包人可直接给农民工支付工资，相应费用从进度付款中双倍扣除。若发生群体性事件，承包人应向发包人支付20000元/次的违约金，并赔偿由此给发包人造成的损失。  </w:t>
      </w:r>
    </w:p>
    <w:p w14:paraId="21E60CC7">
      <w:pPr>
        <w:tabs>
          <w:tab w:val="left" w:pos="1244"/>
        </w:tabs>
        <w:spacing w:before="3"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21.14</w:t>
      </w:r>
      <w:r>
        <w:rPr>
          <w:rFonts w:hint="eastAsia" w:ascii="宋体" w:hAnsi="宋体" w:cs="宋体"/>
          <w:kern w:val="0"/>
          <w:sz w:val="21"/>
          <w:szCs w:val="21"/>
          <w:highlight w:val="none"/>
          <w:u w:val="single"/>
        </w:rPr>
        <w:t>承包人采购的材料、设备，应按施工图和</w:t>
      </w:r>
      <w:r>
        <w:rPr>
          <w:rFonts w:hint="eastAsia" w:ascii="宋体" w:hAnsi="宋体" w:cs="宋体"/>
          <w:kern w:val="0"/>
          <w:sz w:val="21"/>
          <w:szCs w:val="21"/>
          <w:highlight w:val="none"/>
          <w:u w:val="single"/>
          <w:lang w:eastAsia="zh-CN"/>
        </w:rPr>
        <w:t>竞争性磋商文件</w:t>
      </w:r>
      <w:r>
        <w:rPr>
          <w:rFonts w:hint="eastAsia" w:ascii="宋体" w:hAnsi="宋体" w:cs="宋体"/>
          <w:kern w:val="0"/>
          <w:sz w:val="21"/>
          <w:szCs w:val="21"/>
          <w:highlight w:val="none"/>
          <w:u w:val="single"/>
        </w:rPr>
        <w:t>规定的技术条件进行采购，符合国家（行业）相关质量标准，部分大宗重要材料设备应符合发包人招标清单要求。</w:t>
      </w:r>
      <w:r>
        <w:rPr>
          <w:rFonts w:hint="eastAsia" w:ascii="宋体" w:hAnsi="宋体" w:cs="宋体"/>
          <w:kern w:val="0"/>
          <w:sz w:val="21"/>
          <w:szCs w:val="21"/>
          <w:highlight w:val="none"/>
          <w:u w:val="single"/>
          <w:lang w:eastAsia="zh-CN"/>
        </w:rPr>
        <w:t>竞争性磋商文件</w:t>
      </w:r>
      <w:r>
        <w:rPr>
          <w:rFonts w:hint="eastAsia" w:ascii="宋体" w:hAnsi="宋体" w:cs="宋体"/>
          <w:kern w:val="0"/>
          <w:sz w:val="21"/>
          <w:szCs w:val="21"/>
          <w:highlight w:val="none"/>
          <w:u w:val="single"/>
        </w:rPr>
        <w:t xml:space="preserve">未包含的材料、设备，采购前需提供书面技术条件，经发包人确认后方可采购。相关计量、检验、试验等费用已包含在合同价款内，承包人不得另行计取上述费用。  </w:t>
      </w:r>
    </w:p>
    <w:p w14:paraId="74D8009F">
      <w:pPr>
        <w:spacing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21.15</w:t>
      </w:r>
      <w:r>
        <w:rPr>
          <w:rFonts w:hint="eastAsia" w:ascii="宋体" w:hAnsi="宋体" w:cs="宋体"/>
          <w:kern w:val="0"/>
          <w:sz w:val="21"/>
          <w:szCs w:val="21"/>
          <w:highlight w:val="none"/>
          <w:u w:val="single"/>
        </w:rPr>
        <w:t xml:space="preserve">竣工验收前承包人委托第三方进行室内环境质量检测，若检测不达标，发包人不予验收；承包人需进行整改并达到合格标准。检测费用已包含在合同价款内，承包人不得另行计取上述费用。  </w:t>
      </w:r>
    </w:p>
    <w:p w14:paraId="17D75344">
      <w:pPr>
        <w:tabs>
          <w:tab w:val="left" w:pos="1244"/>
        </w:tabs>
        <w:spacing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21.16</w:t>
      </w:r>
      <w:r>
        <w:rPr>
          <w:rFonts w:hint="eastAsia" w:ascii="宋体" w:hAnsi="宋体" w:cs="宋体"/>
          <w:kern w:val="0"/>
          <w:sz w:val="21"/>
          <w:szCs w:val="21"/>
          <w:highlight w:val="none"/>
          <w:u w:val="single"/>
        </w:rPr>
        <w:t xml:space="preserve">本工程竣工后，经发包人接收，承包人清理退场、提交竣工资料，发包人核实无误后应办理工程结算，同时要求承包人应将施工现场和施工单位生活区周围清除干净，场地整洁。否则发包人不予支付工程款，并有权另请其他单位完成上述工作， 所产生的一切费用由承包人承担，从工程结算款中扣除。  </w:t>
      </w:r>
    </w:p>
    <w:p w14:paraId="527BDBE5">
      <w:pPr>
        <w:tabs>
          <w:tab w:val="left" w:pos="1244"/>
        </w:tabs>
        <w:spacing w:before="2" w:line="360" w:lineRule="auto"/>
        <w:ind w:firstLine="420" w:firstLineChars="200"/>
        <w:rPr>
          <w:rFonts w:ascii="宋体" w:hAnsi="宋体" w:cs="宋体"/>
          <w:kern w:val="0"/>
          <w:sz w:val="21"/>
          <w:szCs w:val="21"/>
          <w:highlight w:val="none"/>
          <w:u w:val="single"/>
        </w:rPr>
      </w:pPr>
      <w:r>
        <w:rPr>
          <w:rFonts w:hint="eastAsia" w:ascii="宋体" w:hAnsi="宋体" w:cs="宋体"/>
          <w:kern w:val="0"/>
          <w:sz w:val="21"/>
          <w:szCs w:val="21"/>
          <w:highlight w:val="none"/>
          <w:u w:val="single"/>
        </w:rPr>
        <w:t xml:space="preserve">21.17本工程不得转包，否则发包人有权单方面终止合同，一切责任及后果由承包人承担。 </w:t>
      </w:r>
    </w:p>
    <w:p w14:paraId="1D4F6956">
      <w:pPr>
        <w:tabs>
          <w:tab w:val="left" w:pos="1244"/>
        </w:tabs>
        <w:spacing w:before="2" w:line="360" w:lineRule="auto"/>
        <w:ind w:firstLine="420" w:firstLineChars="200"/>
        <w:rPr>
          <w:rFonts w:ascii="宋体" w:hAnsi="宋体" w:cs="宋体"/>
          <w:kern w:val="0"/>
          <w:sz w:val="21"/>
          <w:szCs w:val="21"/>
          <w:highlight w:val="none"/>
          <w:u w:val="single"/>
        </w:rPr>
      </w:pPr>
      <w:r>
        <w:rPr>
          <w:rFonts w:hint="eastAsia" w:ascii="宋体" w:hAnsi="宋体" w:cs="宋体"/>
          <w:color w:val="000000"/>
          <w:sz w:val="21"/>
          <w:szCs w:val="21"/>
          <w:highlight w:val="none"/>
          <w:u w:val="single"/>
        </w:rPr>
        <w:t>21.18</w:t>
      </w:r>
      <w:r>
        <w:rPr>
          <w:rFonts w:hint="eastAsia" w:ascii="宋体" w:hAnsi="宋体" w:cs="宋体"/>
          <w:kern w:val="0"/>
          <w:sz w:val="21"/>
          <w:szCs w:val="21"/>
          <w:highlight w:val="none"/>
          <w:u w:val="single"/>
        </w:rPr>
        <w:t>施工管理执行</w:t>
      </w:r>
      <w:r>
        <w:rPr>
          <w:rFonts w:hint="eastAsia" w:ascii="宋体" w:hAnsi="宋体" w:cs="宋体"/>
          <w:kern w:val="0"/>
          <w:sz w:val="21"/>
          <w:szCs w:val="21"/>
          <w:highlight w:val="none"/>
          <w:u w:val="single"/>
          <w:lang w:eastAsia="zh-CN"/>
        </w:rPr>
        <w:t>西安市第一社会福利院</w:t>
      </w:r>
      <w:r>
        <w:rPr>
          <w:rFonts w:hint="eastAsia" w:ascii="宋体" w:hAnsi="宋体" w:cs="宋体"/>
          <w:kern w:val="0"/>
          <w:sz w:val="21"/>
          <w:szCs w:val="21"/>
          <w:highlight w:val="none"/>
          <w:u w:val="single"/>
        </w:rPr>
        <w:t>基本建设项目工程管理相关办法、制度，发包 人相关制度在承包人进场施工前发放。合同外工程变更、签证，执行《</w:t>
      </w:r>
      <w:r>
        <w:rPr>
          <w:rFonts w:hint="eastAsia" w:ascii="宋体" w:hAnsi="宋体" w:cs="宋体"/>
          <w:kern w:val="0"/>
          <w:sz w:val="21"/>
          <w:szCs w:val="21"/>
          <w:highlight w:val="none"/>
          <w:u w:val="single"/>
          <w:lang w:eastAsia="zh-CN"/>
        </w:rPr>
        <w:t>西安市第一社会福利院</w:t>
      </w:r>
      <w:r>
        <w:rPr>
          <w:rFonts w:hint="eastAsia" w:ascii="宋体" w:hAnsi="宋体" w:cs="宋体"/>
          <w:kern w:val="0"/>
          <w:sz w:val="21"/>
          <w:szCs w:val="21"/>
          <w:highlight w:val="none"/>
          <w:u w:val="single"/>
        </w:rPr>
        <w:t>基本建设项目工程变更签证管理办法》。</w:t>
      </w:r>
    </w:p>
    <w:p w14:paraId="00FCC553">
      <w:pPr>
        <w:spacing w:line="360" w:lineRule="auto"/>
        <w:ind w:firstLine="420" w:firstLineChars="200"/>
        <w:jc w:val="left"/>
        <w:rPr>
          <w:rFonts w:ascii="宋体" w:hAnsi="宋体" w:cs="宋体"/>
          <w:color w:val="000000"/>
          <w:sz w:val="21"/>
          <w:szCs w:val="21"/>
          <w:highlight w:val="none"/>
          <w:u w:val="single"/>
        </w:rPr>
      </w:pPr>
      <w:r>
        <w:rPr>
          <w:rFonts w:hint="eastAsia" w:ascii="宋体" w:hAnsi="宋体" w:cs="宋体"/>
          <w:color w:val="000000"/>
          <w:sz w:val="21"/>
          <w:szCs w:val="21"/>
          <w:highlight w:val="none"/>
          <w:u w:val="single"/>
        </w:rPr>
        <w:t>21.19</w:t>
      </w:r>
      <w:r>
        <w:rPr>
          <w:rFonts w:hint="eastAsia" w:ascii="宋体" w:hAnsi="宋体" w:cs="宋体"/>
          <w:kern w:val="0"/>
          <w:sz w:val="21"/>
          <w:szCs w:val="21"/>
          <w:highlight w:val="none"/>
          <w:u w:val="single"/>
        </w:rPr>
        <w:t>合同未尽事宜，双方另行签订补充协议。补充协议是合同的组成部分,与本合同具有同等法律效力</w:t>
      </w:r>
      <w:r>
        <w:rPr>
          <w:rFonts w:hint="eastAsia" w:ascii="宋体" w:hAnsi="宋体" w:cs="宋体"/>
          <w:color w:val="000000"/>
          <w:sz w:val="21"/>
          <w:szCs w:val="21"/>
          <w:highlight w:val="none"/>
          <w:u w:val="single"/>
        </w:rPr>
        <w:t>。</w:t>
      </w:r>
    </w:p>
    <w:p w14:paraId="64FCAA99">
      <w:pPr>
        <w:spacing w:line="360" w:lineRule="auto"/>
        <w:ind w:firstLine="420" w:firstLineChars="200"/>
        <w:jc w:val="left"/>
        <w:rPr>
          <w:rFonts w:ascii="宋体" w:hAnsi="宋体" w:cs="宋体"/>
          <w:b/>
          <w:color w:val="000000"/>
          <w:sz w:val="21"/>
          <w:szCs w:val="21"/>
          <w:highlight w:val="none"/>
        </w:rPr>
      </w:pPr>
      <w:r>
        <w:rPr>
          <w:rFonts w:hint="eastAsia" w:ascii="宋体" w:hAnsi="宋体" w:cs="宋体"/>
          <w:color w:val="000000"/>
          <w:sz w:val="21"/>
          <w:szCs w:val="21"/>
          <w:highlight w:val="none"/>
          <w:u w:val="single"/>
        </w:rPr>
        <w:br w:type="page"/>
      </w:r>
    </w:p>
    <w:p w14:paraId="5774145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协议书附件：</w:t>
      </w:r>
    </w:p>
    <w:p w14:paraId="422F0E2C">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附件1：承包人承揽工程项目一览表</w:t>
      </w:r>
    </w:p>
    <w:p w14:paraId="6BCAA62A">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附件2：工程质量保修书</w:t>
      </w:r>
    </w:p>
    <w:p w14:paraId="3ACA4DE2">
      <w:pPr>
        <w:spacing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附件3：承包人主要施工管理人员表</w:t>
      </w:r>
    </w:p>
    <w:p w14:paraId="667E45A3">
      <w:pPr>
        <w:spacing w:line="360" w:lineRule="auto"/>
        <w:ind w:firstLine="420" w:firstLineChars="200"/>
        <w:jc w:val="left"/>
        <w:rPr>
          <w:rFonts w:ascii="宋体" w:hAnsi="宋体" w:cs="宋体"/>
          <w:color w:val="000000"/>
          <w:sz w:val="21"/>
          <w:szCs w:val="21"/>
          <w:highlight w:val="none"/>
        </w:rPr>
        <w:sectPr>
          <w:footerReference r:id="rId4" w:type="first"/>
          <w:footerReference r:id="rId3" w:type="default"/>
          <w:pgSz w:w="11906" w:h="16838"/>
          <w:pgMar w:top="1418" w:right="1531" w:bottom="1418" w:left="1554" w:header="851" w:footer="992" w:gutter="0"/>
          <w:pgNumType w:fmt="decimal"/>
          <w:cols w:space="720" w:num="1"/>
          <w:titlePg/>
          <w:docGrid w:type="linesAndChars" w:linePitch="312" w:charSpace="0"/>
        </w:sectPr>
      </w:pPr>
    </w:p>
    <w:p w14:paraId="3A427032">
      <w:pPr>
        <w:spacing w:beforeLines="50" w:afterLines="50" w:line="360" w:lineRule="auto"/>
        <w:ind w:firstLine="420" w:firstLineChars="200"/>
        <w:jc w:val="left"/>
        <w:rPr>
          <w:rFonts w:ascii="宋体" w:hAnsi="宋体" w:cs="宋体"/>
          <w:color w:val="000000"/>
          <w:sz w:val="21"/>
          <w:szCs w:val="21"/>
          <w:highlight w:val="none"/>
        </w:rPr>
      </w:pPr>
      <w:r>
        <w:rPr>
          <w:rFonts w:hint="eastAsia" w:ascii="宋体" w:hAnsi="宋体" w:cs="宋体"/>
          <w:color w:val="000000"/>
          <w:sz w:val="21"/>
          <w:szCs w:val="21"/>
          <w:highlight w:val="none"/>
        </w:rPr>
        <w:t>附件1：</w:t>
      </w:r>
    </w:p>
    <w:p w14:paraId="680B11B5">
      <w:pPr>
        <w:spacing w:beforeLines="50" w:afterLines="50" w:line="360" w:lineRule="auto"/>
        <w:ind w:firstLine="420" w:firstLineChars="200"/>
        <w:jc w:val="center"/>
        <w:rPr>
          <w:rFonts w:ascii="宋体" w:hAnsi="宋体" w:cs="宋体"/>
          <w:b/>
          <w:color w:val="000000"/>
          <w:sz w:val="21"/>
          <w:szCs w:val="21"/>
          <w:highlight w:val="none"/>
        </w:rPr>
      </w:pPr>
      <w:r>
        <w:rPr>
          <w:rFonts w:hint="eastAsia" w:ascii="宋体" w:hAnsi="宋体" w:cs="宋体"/>
          <w:b/>
          <w:color w:val="000000"/>
          <w:sz w:val="21"/>
          <w:szCs w:val="21"/>
          <w:highlight w:val="none"/>
        </w:rPr>
        <w:t>承包人承揽工程项目一览表</w:t>
      </w:r>
    </w:p>
    <w:tbl>
      <w:tblPr>
        <w:tblStyle w:val="10"/>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90"/>
        <w:gridCol w:w="839"/>
        <w:gridCol w:w="915"/>
        <w:gridCol w:w="833"/>
        <w:gridCol w:w="505"/>
        <w:gridCol w:w="744"/>
        <w:gridCol w:w="1057"/>
        <w:gridCol w:w="1171"/>
        <w:gridCol w:w="824"/>
        <w:gridCol w:w="894"/>
      </w:tblGrid>
      <w:tr w14:paraId="64C692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686" w:hRule="atLeast"/>
          <w:jc w:val="center"/>
        </w:trPr>
        <w:tc>
          <w:tcPr>
            <w:tcW w:w="1090" w:type="dxa"/>
            <w:tcBorders>
              <w:top w:val="single" w:color="auto" w:sz="12" w:space="0"/>
              <w:left w:val="single" w:color="auto" w:sz="12" w:space="0"/>
              <w:bottom w:val="double" w:color="auto" w:sz="6" w:space="0"/>
              <w:right w:val="single" w:color="auto" w:sz="6" w:space="0"/>
            </w:tcBorders>
            <w:vAlign w:val="center"/>
          </w:tcPr>
          <w:p w14:paraId="78BA54ED">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单位工程名称</w:t>
            </w:r>
          </w:p>
        </w:tc>
        <w:tc>
          <w:tcPr>
            <w:tcW w:w="839" w:type="dxa"/>
            <w:tcBorders>
              <w:top w:val="single" w:color="auto" w:sz="12" w:space="0"/>
              <w:left w:val="single" w:color="auto" w:sz="6" w:space="0"/>
              <w:bottom w:val="double" w:color="auto" w:sz="6" w:space="0"/>
              <w:right w:val="single" w:color="auto" w:sz="6" w:space="0"/>
            </w:tcBorders>
            <w:vAlign w:val="center"/>
          </w:tcPr>
          <w:p w14:paraId="0924C891">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建设</w:t>
            </w:r>
          </w:p>
          <w:p w14:paraId="0E35967D">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规模</w:t>
            </w:r>
          </w:p>
        </w:tc>
        <w:tc>
          <w:tcPr>
            <w:tcW w:w="915" w:type="dxa"/>
            <w:tcBorders>
              <w:top w:val="single" w:color="auto" w:sz="12" w:space="0"/>
              <w:left w:val="single" w:color="auto" w:sz="6" w:space="0"/>
              <w:bottom w:val="double" w:color="auto" w:sz="6" w:space="0"/>
              <w:right w:val="single" w:color="auto" w:sz="6" w:space="0"/>
            </w:tcBorders>
            <w:vAlign w:val="center"/>
          </w:tcPr>
          <w:p w14:paraId="38BDEEE2">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建筑</w:t>
            </w:r>
          </w:p>
          <w:p w14:paraId="74616DB1">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面积</w:t>
            </w:r>
          </w:p>
          <w:p w14:paraId="131E7E45">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(平方米)</w:t>
            </w:r>
          </w:p>
        </w:tc>
        <w:tc>
          <w:tcPr>
            <w:tcW w:w="833" w:type="dxa"/>
            <w:tcBorders>
              <w:top w:val="single" w:color="auto" w:sz="12" w:space="0"/>
              <w:left w:val="single" w:color="auto" w:sz="6" w:space="0"/>
              <w:bottom w:val="double" w:color="auto" w:sz="6" w:space="0"/>
              <w:right w:val="single" w:color="auto" w:sz="6" w:space="0"/>
            </w:tcBorders>
            <w:vAlign w:val="center"/>
          </w:tcPr>
          <w:p w14:paraId="5B20B7E0">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结构形式</w:t>
            </w:r>
          </w:p>
        </w:tc>
        <w:tc>
          <w:tcPr>
            <w:tcW w:w="505" w:type="dxa"/>
            <w:tcBorders>
              <w:top w:val="single" w:color="auto" w:sz="12" w:space="0"/>
              <w:left w:val="single" w:color="auto" w:sz="6" w:space="0"/>
              <w:bottom w:val="double" w:color="auto" w:sz="6" w:space="0"/>
              <w:right w:val="single" w:color="auto" w:sz="6" w:space="0"/>
            </w:tcBorders>
            <w:vAlign w:val="center"/>
          </w:tcPr>
          <w:p w14:paraId="38FE09A9">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层数</w:t>
            </w:r>
          </w:p>
        </w:tc>
        <w:tc>
          <w:tcPr>
            <w:tcW w:w="744" w:type="dxa"/>
            <w:tcBorders>
              <w:top w:val="single" w:color="auto" w:sz="12" w:space="0"/>
              <w:left w:val="single" w:color="auto" w:sz="6" w:space="0"/>
              <w:bottom w:val="double" w:color="auto" w:sz="6" w:space="0"/>
              <w:right w:val="single" w:color="auto" w:sz="6" w:space="0"/>
            </w:tcBorders>
            <w:vAlign w:val="center"/>
          </w:tcPr>
          <w:p w14:paraId="179E3A45">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生产能力</w:t>
            </w:r>
          </w:p>
        </w:tc>
        <w:tc>
          <w:tcPr>
            <w:tcW w:w="1057" w:type="dxa"/>
            <w:tcBorders>
              <w:top w:val="single" w:color="auto" w:sz="12" w:space="0"/>
              <w:left w:val="single" w:color="auto" w:sz="6" w:space="0"/>
              <w:bottom w:val="double" w:color="auto" w:sz="6" w:space="0"/>
              <w:right w:val="single" w:color="auto" w:sz="6" w:space="0"/>
            </w:tcBorders>
            <w:vAlign w:val="center"/>
          </w:tcPr>
          <w:p w14:paraId="31C5EC49">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设备安装内容</w:t>
            </w:r>
          </w:p>
        </w:tc>
        <w:tc>
          <w:tcPr>
            <w:tcW w:w="1171" w:type="dxa"/>
            <w:tcBorders>
              <w:top w:val="single" w:color="auto" w:sz="12" w:space="0"/>
              <w:left w:val="single" w:color="auto" w:sz="6" w:space="0"/>
              <w:bottom w:val="double" w:color="auto" w:sz="6" w:space="0"/>
              <w:right w:val="single" w:color="auto" w:sz="6" w:space="0"/>
            </w:tcBorders>
            <w:vAlign w:val="center"/>
          </w:tcPr>
          <w:p w14:paraId="3CCECDBC">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合同价格（元）</w:t>
            </w:r>
          </w:p>
        </w:tc>
        <w:tc>
          <w:tcPr>
            <w:tcW w:w="824" w:type="dxa"/>
            <w:tcBorders>
              <w:top w:val="single" w:color="auto" w:sz="12" w:space="0"/>
              <w:left w:val="single" w:color="auto" w:sz="6" w:space="0"/>
              <w:bottom w:val="double" w:color="auto" w:sz="6" w:space="0"/>
              <w:right w:val="single" w:color="auto" w:sz="6" w:space="0"/>
            </w:tcBorders>
            <w:vAlign w:val="center"/>
          </w:tcPr>
          <w:p w14:paraId="2FD451AD">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开工日期</w:t>
            </w:r>
          </w:p>
        </w:tc>
        <w:tc>
          <w:tcPr>
            <w:tcW w:w="894" w:type="dxa"/>
            <w:tcBorders>
              <w:top w:val="single" w:color="auto" w:sz="12" w:space="0"/>
              <w:left w:val="single" w:color="auto" w:sz="6" w:space="0"/>
              <w:bottom w:val="double" w:color="auto" w:sz="6" w:space="0"/>
              <w:right w:val="single" w:color="auto" w:sz="12" w:space="0"/>
            </w:tcBorders>
            <w:vAlign w:val="center"/>
          </w:tcPr>
          <w:p w14:paraId="03A836E8">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竣工</w:t>
            </w:r>
          </w:p>
          <w:p w14:paraId="7E4A35AE">
            <w:pPr>
              <w:pStyle w:val="3"/>
              <w:keepNext/>
              <w:spacing w:line="360" w:lineRule="auto"/>
              <w:ind w:right="63"/>
              <w:jc w:val="center"/>
              <w:rPr>
                <w:rFonts w:ascii="宋体" w:hAnsi="宋体" w:cs="宋体"/>
                <w:color w:val="000000"/>
                <w:sz w:val="21"/>
                <w:szCs w:val="21"/>
                <w:highlight w:val="none"/>
              </w:rPr>
            </w:pPr>
            <w:r>
              <w:rPr>
                <w:rFonts w:hint="eastAsia" w:ascii="宋体" w:hAnsi="宋体" w:cs="宋体"/>
                <w:color w:val="000000"/>
                <w:sz w:val="21"/>
                <w:szCs w:val="21"/>
                <w:highlight w:val="none"/>
              </w:rPr>
              <w:t>日期</w:t>
            </w:r>
          </w:p>
        </w:tc>
      </w:tr>
      <w:tr w14:paraId="6C742E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90" w:type="dxa"/>
            <w:tcBorders>
              <w:top w:val="double" w:color="auto" w:sz="6" w:space="0"/>
              <w:left w:val="single" w:color="auto" w:sz="12" w:space="0"/>
              <w:bottom w:val="single" w:color="auto" w:sz="6" w:space="0"/>
              <w:right w:val="single" w:color="auto" w:sz="6" w:space="0"/>
            </w:tcBorders>
            <w:vAlign w:val="center"/>
          </w:tcPr>
          <w:p w14:paraId="595FB70E">
            <w:pPr>
              <w:pStyle w:val="3"/>
              <w:keepNext/>
              <w:ind w:right="63"/>
              <w:rPr>
                <w:rFonts w:ascii="宋体" w:hAnsi="宋体" w:cs="宋体"/>
                <w:color w:val="000000"/>
                <w:sz w:val="21"/>
                <w:szCs w:val="21"/>
                <w:highlight w:val="none"/>
              </w:rPr>
            </w:pPr>
            <w:r>
              <w:rPr>
                <w:rFonts w:hint="eastAsia" w:ascii="宋体" w:hAnsi="宋体" w:cs="宋体"/>
                <w:color w:val="000000"/>
                <w:sz w:val="21"/>
                <w:szCs w:val="21"/>
                <w:highlight w:val="none"/>
              </w:rPr>
              <w:t xml:space="preserve"> </w:t>
            </w:r>
          </w:p>
        </w:tc>
        <w:tc>
          <w:tcPr>
            <w:tcW w:w="839" w:type="dxa"/>
            <w:tcBorders>
              <w:top w:val="double" w:color="auto" w:sz="6" w:space="0"/>
              <w:left w:val="single" w:color="auto" w:sz="6" w:space="0"/>
              <w:bottom w:val="single" w:color="auto" w:sz="6" w:space="0"/>
              <w:right w:val="single" w:color="auto" w:sz="6" w:space="0"/>
            </w:tcBorders>
            <w:vAlign w:val="center"/>
          </w:tcPr>
          <w:p w14:paraId="7E3B7FFB">
            <w:pPr>
              <w:pStyle w:val="3"/>
              <w:keepNext/>
              <w:spacing w:line="360" w:lineRule="auto"/>
              <w:ind w:left="63" w:right="63" w:firstLine="420" w:firstLineChars="200"/>
              <w:jc w:val="center"/>
              <w:rPr>
                <w:rFonts w:ascii="宋体" w:hAnsi="宋体" w:cs="宋体"/>
                <w:color w:val="000000"/>
                <w:sz w:val="21"/>
                <w:szCs w:val="21"/>
                <w:highlight w:val="none"/>
              </w:rPr>
            </w:pPr>
          </w:p>
        </w:tc>
        <w:tc>
          <w:tcPr>
            <w:tcW w:w="915" w:type="dxa"/>
            <w:tcBorders>
              <w:top w:val="double" w:color="auto" w:sz="6" w:space="0"/>
              <w:left w:val="single" w:color="auto" w:sz="6" w:space="0"/>
              <w:bottom w:val="single" w:color="auto" w:sz="6" w:space="0"/>
              <w:right w:val="single" w:color="auto" w:sz="6" w:space="0"/>
            </w:tcBorders>
            <w:vAlign w:val="center"/>
          </w:tcPr>
          <w:p w14:paraId="3B6C7185">
            <w:pPr>
              <w:pStyle w:val="3"/>
              <w:keepNext/>
              <w:spacing w:line="360" w:lineRule="auto"/>
              <w:ind w:right="63"/>
              <w:jc w:val="left"/>
              <w:rPr>
                <w:rFonts w:ascii="宋体" w:hAnsi="宋体" w:cs="宋体"/>
                <w:color w:val="000000"/>
                <w:sz w:val="21"/>
                <w:szCs w:val="21"/>
                <w:highlight w:val="none"/>
              </w:rPr>
            </w:pPr>
          </w:p>
        </w:tc>
        <w:tc>
          <w:tcPr>
            <w:tcW w:w="833" w:type="dxa"/>
            <w:tcBorders>
              <w:top w:val="double" w:color="auto" w:sz="6" w:space="0"/>
              <w:left w:val="single" w:color="auto" w:sz="6" w:space="0"/>
              <w:bottom w:val="single" w:color="auto" w:sz="6" w:space="0"/>
              <w:right w:val="single" w:color="auto" w:sz="6" w:space="0"/>
            </w:tcBorders>
            <w:vAlign w:val="center"/>
          </w:tcPr>
          <w:p w14:paraId="2FA7B5EF">
            <w:pPr>
              <w:pStyle w:val="3"/>
              <w:keepNext/>
              <w:spacing w:line="360" w:lineRule="auto"/>
              <w:ind w:right="63" w:firstLine="210" w:firstLineChars="100"/>
              <w:rPr>
                <w:rFonts w:ascii="宋体" w:hAnsi="宋体" w:cs="宋体"/>
                <w:color w:val="000000"/>
                <w:sz w:val="21"/>
                <w:szCs w:val="21"/>
                <w:highlight w:val="none"/>
              </w:rPr>
            </w:pPr>
          </w:p>
        </w:tc>
        <w:tc>
          <w:tcPr>
            <w:tcW w:w="505" w:type="dxa"/>
            <w:tcBorders>
              <w:top w:val="double" w:color="auto" w:sz="6" w:space="0"/>
              <w:left w:val="single" w:color="auto" w:sz="6" w:space="0"/>
              <w:bottom w:val="single" w:color="auto" w:sz="6" w:space="0"/>
              <w:right w:val="single" w:color="auto" w:sz="6" w:space="0"/>
            </w:tcBorders>
            <w:vAlign w:val="center"/>
          </w:tcPr>
          <w:p w14:paraId="1FE2F610">
            <w:pPr>
              <w:pStyle w:val="3"/>
              <w:keepNext/>
              <w:spacing w:line="360" w:lineRule="auto"/>
              <w:ind w:right="63"/>
              <w:rPr>
                <w:rFonts w:ascii="宋体" w:hAnsi="宋体" w:cs="宋体"/>
                <w:color w:val="000000"/>
                <w:sz w:val="21"/>
                <w:szCs w:val="21"/>
                <w:highlight w:val="none"/>
              </w:rPr>
            </w:pPr>
          </w:p>
        </w:tc>
        <w:tc>
          <w:tcPr>
            <w:tcW w:w="744" w:type="dxa"/>
            <w:tcBorders>
              <w:top w:val="double" w:color="auto" w:sz="6" w:space="0"/>
              <w:left w:val="single" w:color="auto" w:sz="6" w:space="0"/>
              <w:bottom w:val="single" w:color="auto" w:sz="6" w:space="0"/>
              <w:right w:val="single" w:color="auto" w:sz="6" w:space="0"/>
            </w:tcBorders>
            <w:vAlign w:val="center"/>
          </w:tcPr>
          <w:p w14:paraId="32CF20A4">
            <w:pPr>
              <w:pStyle w:val="3"/>
              <w:keepNext/>
              <w:ind w:right="63"/>
              <w:rPr>
                <w:rFonts w:ascii="宋体" w:hAnsi="宋体" w:cs="宋体"/>
                <w:color w:val="000000"/>
                <w:sz w:val="21"/>
                <w:szCs w:val="21"/>
                <w:highlight w:val="none"/>
              </w:rPr>
            </w:pPr>
          </w:p>
        </w:tc>
        <w:tc>
          <w:tcPr>
            <w:tcW w:w="1057" w:type="dxa"/>
            <w:tcBorders>
              <w:top w:val="double" w:color="auto" w:sz="6" w:space="0"/>
              <w:left w:val="single" w:color="auto" w:sz="6" w:space="0"/>
              <w:bottom w:val="single" w:color="auto" w:sz="6" w:space="0"/>
              <w:right w:val="single" w:color="auto" w:sz="6" w:space="0"/>
            </w:tcBorders>
            <w:vAlign w:val="center"/>
          </w:tcPr>
          <w:p w14:paraId="110C6C1A">
            <w:pPr>
              <w:pStyle w:val="3"/>
              <w:keepNext/>
              <w:spacing w:line="360" w:lineRule="auto"/>
              <w:ind w:right="63"/>
              <w:jc w:val="left"/>
              <w:rPr>
                <w:rFonts w:ascii="宋体" w:hAnsi="宋体" w:cs="宋体"/>
                <w:color w:val="000000"/>
                <w:sz w:val="21"/>
                <w:szCs w:val="21"/>
                <w:highlight w:val="none"/>
              </w:rPr>
            </w:pPr>
          </w:p>
        </w:tc>
        <w:tc>
          <w:tcPr>
            <w:tcW w:w="1171" w:type="dxa"/>
            <w:tcBorders>
              <w:top w:val="double" w:color="auto" w:sz="6" w:space="0"/>
              <w:left w:val="single" w:color="auto" w:sz="6" w:space="0"/>
              <w:bottom w:val="single" w:color="auto" w:sz="6" w:space="0"/>
              <w:right w:val="single" w:color="auto" w:sz="6" w:space="0"/>
            </w:tcBorders>
            <w:vAlign w:val="center"/>
          </w:tcPr>
          <w:p w14:paraId="1C19F054">
            <w:pPr>
              <w:pStyle w:val="3"/>
              <w:keepNext/>
              <w:spacing w:line="360" w:lineRule="auto"/>
              <w:ind w:right="63"/>
              <w:rPr>
                <w:rFonts w:ascii="宋体" w:hAnsi="宋体" w:cs="宋体"/>
                <w:color w:val="000000"/>
                <w:sz w:val="21"/>
                <w:szCs w:val="21"/>
                <w:highlight w:val="none"/>
              </w:rPr>
            </w:pPr>
          </w:p>
        </w:tc>
        <w:tc>
          <w:tcPr>
            <w:tcW w:w="824" w:type="dxa"/>
            <w:tcBorders>
              <w:top w:val="double" w:color="auto" w:sz="6" w:space="0"/>
              <w:left w:val="single" w:color="auto" w:sz="6" w:space="0"/>
              <w:bottom w:val="single" w:color="auto" w:sz="6" w:space="0"/>
              <w:right w:val="single" w:color="auto" w:sz="6" w:space="0"/>
            </w:tcBorders>
            <w:vAlign w:val="center"/>
          </w:tcPr>
          <w:p w14:paraId="07940914">
            <w:pPr>
              <w:pStyle w:val="3"/>
              <w:keepNext/>
              <w:spacing w:line="360" w:lineRule="auto"/>
              <w:ind w:left="63" w:right="63" w:firstLine="420" w:firstLineChars="200"/>
              <w:jc w:val="center"/>
              <w:rPr>
                <w:rFonts w:ascii="宋体" w:hAnsi="宋体" w:cs="宋体"/>
                <w:color w:val="000000"/>
                <w:sz w:val="21"/>
                <w:szCs w:val="21"/>
                <w:highlight w:val="none"/>
              </w:rPr>
            </w:pPr>
          </w:p>
        </w:tc>
        <w:tc>
          <w:tcPr>
            <w:tcW w:w="894" w:type="dxa"/>
            <w:tcBorders>
              <w:top w:val="double" w:color="auto" w:sz="6" w:space="0"/>
              <w:left w:val="single" w:color="auto" w:sz="6" w:space="0"/>
              <w:bottom w:val="single" w:color="auto" w:sz="6" w:space="0"/>
              <w:right w:val="single" w:color="auto" w:sz="12" w:space="0"/>
            </w:tcBorders>
            <w:vAlign w:val="center"/>
          </w:tcPr>
          <w:p w14:paraId="5BDDFB8D">
            <w:pPr>
              <w:pStyle w:val="3"/>
              <w:keepNext/>
              <w:spacing w:line="360" w:lineRule="auto"/>
              <w:ind w:left="63" w:right="63" w:firstLine="420" w:firstLineChars="200"/>
              <w:jc w:val="center"/>
              <w:rPr>
                <w:rFonts w:ascii="宋体" w:hAnsi="宋体" w:cs="宋体"/>
                <w:color w:val="000000"/>
                <w:sz w:val="21"/>
                <w:szCs w:val="21"/>
                <w:highlight w:val="none"/>
              </w:rPr>
            </w:pPr>
          </w:p>
        </w:tc>
      </w:tr>
      <w:tr w14:paraId="1BA89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90" w:type="dxa"/>
            <w:tcBorders>
              <w:top w:val="nil"/>
              <w:left w:val="single" w:color="auto" w:sz="12" w:space="0"/>
              <w:bottom w:val="single" w:color="auto" w:sz="6" w:space="0"/>
              <w:right w:val="single" w:color="auto" w:sz="6" w:space="0"/>
            </w:tcBorders>
            <w:vAlign w:val="center"/>
          </w:tcPr>
          <w:p w14:paraId="37CFF5D1">
            <w:pPr>
              <w:pStyle w:val="3"/>
              <w:keepNext/>
              <w:spacing w:line="360" w:lineRule="auto"/>
              <w:ind w:left="63" w:right="63" w:firstLine="420" w:firstLineChars="200"/>
              <w:rPr>
                <w:rFonts w:ascii="宋体" w:hAnsi="宋体" w:cs="宋体"/>
                <w:color w:val="000000"/>
                <w:sz w:val="21"/>
                <w:szCs w:val="21"/>
                <w:highlight w:val="none"/>
              </w:rPr>
            </w:pPr>
          </w:p>
        </w:tc>
        <w:tc>
          <w:tcPr>
            <w:tcW w:w="839" w:type="dxa"/>
            <w:tcBorders>
              <w:top w:val="nil"/>
              <w:left w:val="single" w:color="auto" w:sz="6" w:space="0"/>
              <w:bottom w:val="single" w:color="auto" w:sz="6" w:space="0"/>
              <w:right w:val="single" w:color="auto" w:sz="6" w:space="0"/>
            </w:tcBorders>
            <w:vAlign w:val="center"/>
          </w:tcPr>
          <w:p w14:paraId="6106B319">
            <w:pPr>
              <w:pStyle w:val="3"/>
              <w:keepNext/>
              <w:spacing w:line="360" w:lineRule="auto"/>
              <w:ind w:left="63" w:right="63" w:firstLine="420" w:firstLineChars="200"/>
              <w:rPr>
                <w:rFonts w:ascii="宋体" w:hAnsi="宋体" w:cs="宋体"/>
                <w:color w:val="000000"/>
                <w:sz w:val="21"/>
                <w:szCs w:val="21"/>
                <w:highlight w:val="none"/>
              </w:rPr>
            </w:pPr>
          </w:p>
        </w:tc>
        <w:tc>
          <w:tcPr>
            <w:tcW w:w="915" w:type="dxa"/>
            <w:tcBorders>
              <w:top w:val="nil"/>
              <w:left w:val="single" w:color="auto" w:sz="6" w:space="0"/>
              <w:bottom w:val="single" w:color="auto" w:sz="6" w:space="0"/>
              <w:right w:val="single" w:color="auto" w:sz="6" w:space="0"/>
            </w:tcBorders>
            <w:vAlign w:val="center"/>
          </w:tcPr>
          <w:p w14:paraId="59F7CDEF">
            <w:pPr>
              <w:pStyle w:val="3"/>
              <w:keepNext/>
              <w:spacing w:line="360" w:lineRule="auto"/>
              <w:ind w:left="63" w:right="63" w:firstLine="420" w:firstLineChars="200"/>
              <w:rPr>
                <w:rFonts w:ascii="宋体" w:hAnsi="宋体" w:cs="宋体"/>
                <w:color w:val="000000"/>
                <w:sz w:val="21"/>
                <w:szCs w:val="21"/>
                <w:highlight w:val="none"/>
              </w:rPr>
            </w:pPr>
          </w:p>
        </w:tc>
        <w:tc>
          <w:tcPr>
            <w:tcW w:w="833" w:type="dxa"/>
            <w:tcBorders>
              <w:top w:val="nil"/>
              <w:left w:val="single" w:color="auto" w:sz="6" w:space="0"/>
              <w:bottom w:val="single" w:color="auto" w:sz="6" w:space="0"/>
              <w:right w:val="single" w:color="auto" w:sz="6" w:space="0"/>
            </w:tcBorders>
            <w:vAlign w:val="center"/>
          </w:tcPr>
          <w:p w14:paraId="7B999984">
            <w:pPr>
              <w:pStyle w:val="3"/>
              <w:keepNext/>
              <w:spacing w:line="360" w:lineRule="auto"/>
              <w:ind w:left="63" w:right="63" w:firstLine="420" w:firstLineChars="200"/>
              <w:rPr>
                <w:rFonts w:ascii="宋体" w:hAnsi="宋体" w:cs="宋体"/>
                <w:color w:val="000000"/>
                <w:sz w:val="21"/>
                <w:szCs w:val="21"/>
                <w:highlight w:val="none"/>
              </w:rPr>
            </w:pPr>
          </w:p>
        </w:tc>
        <w:tc>
          <w:tcPr>
            <w:tcW w:w="505" w:type="dxa"/>
            <w:tcBorders>
              <w:top w:val="nil"/>
              <w:left w:val="single" w:color="auto" w:sz="6" w:space="0"/>
              <w:bottom w:val="single" w:color="auto" w:sz="6" w:space="0"/>
              <w:right w:val="single" w:color="auto" w:sz="6" w:space="0"/>
            </w:tcBorders>
            <w:vAlign w:val="center"/>
          </w:tcPr>
          <w:p w14:paraId="16BBF7F1">
            <w:pPr>
              <w:pStyle w:val="3"/>
              <w:keepNext/>
              <w:spacing w:line="360" w:lineRule="auto"/>
              <w:ind w:left="63" w:right="63" w:firstLine="420" w:firstLineChars="200"/>
              <w:rPr>
                <w:rFonts w:ascii="宋体" w:hAnsi="宋体" w:cs="宋体"/>
                <w:color w:val="000000"/>
                <w:sz w:val="21"/>
                <w:szCs w:val="21"/>
                <w:highlight w:val="none"/>
              </w:rPr>
            </w:pPr>
          </w:p>
        </w:tc>
        <w:tc>
          <w:tcPr>
            <w:tcW w:w="744" w:type="dxa"/>
            <w:tcBorders>
              <w:top w:val="nil"/>
              <w:left w:val="single" w:color="auto" w:sz="6" w:space="0"/>
              <w:bottom w:val="single" w:color="auto" w:sz="6" w:space="0"/>
              <w:right w:val="single" w:color="auto" w:sz="6" w:space="0"/>
            </w:tcBorders>
            <w:vAlign w:val="center"/>
          </w:tcPr>
          <w:p w14:paraId="31C69402">
            <w:pPr>
              <w:pStyle w:val="3"/>
              <w:keepNext/>
              <w:spacing w:line="360" w:lineRule="auto"/>
              <w:ind w:left="63" w:right="63" w:firstLine="420" w:firstLineChars="200"/>
              <w:rPr>
                <w:rFonts w:ascii="宋体" w:hAnsi="宋体" w:cs="宋体"/>
                <w:color w:val="000000"/>
                <w:sz w:val="21"/>
                <w:szCs w:val="21"/>
                <w:highlight w:val="none"/>
              </w:rPr>
            </w:pPr>
          </w:p>
        </w:tc>
        <w:tc>
          <w:tcPr>
            <w:tcW w:w="1057" w:type="dxa"/>
            <w:tcBorders>
              <w:top w:val="nil"/>
              <w:left w:val="single" w:color="auto" w:sz="6" w:space="0"/>
              <w:bottom w:val="single" w:color="auto" w:sz="6" w:space="0"/>
              <w:right w:val="single" w:color="auto" w:sz="6" w:space="0"/>
            </w:tcBorders>
            <w:vAlign w:val="center"/>
          </w:tcPr>
          <w:p w14:paraId="71732025">
            <w:pPr>
              <w:pStyle w:val="3"/>
              <w:keepNext/>
              <w:spacing w:line="360" w:lineRule="auto"/>
              <w:ind w:left="63" w:right="63" w:firstLine="420" w:firstLineChars="200"/>
              <w:rPr>
                <w:rFonts w:ascii="宋体" w:hAnsi="宋体" w:cs="宋体"/>
                <w:color w:val="000000"/>
                <w:sz w:val="21"/>
                <w:szCs w:val="21"/>
                <w:highlight w:val="none"/>
              </w:rPr>
            </w:pPr>
          </w:p>
        </w:tc>
        <w:tc>
          <w:tcPr>
            <w:tcW w:w="1171" w:type="dxa"/>
            <w:tcBorders>
              <w:top w:val="nil"/>
              <w:left w:val="single" w:color="auto" w:sz="6" w:space="0"/>
              <w:bottom w:val="single" w:color="auto" w:sz="6" w:space="0"/>
              <w:right w:val="single" w:color="auto" w:sz="6" w:space="0"/>
            </w:tcBorders>
            <w:vAlign w:val="center"/>
          </w:tcPr>
          <w:p w14:paraId="082A44F0">
            <w:pPr>
              <w:pStyle w:val="3"/>
              <w:keepNext/>
              <w:spacing w:line="360" w:lineRule="auto"/>
              <w:ind w:left="63" w:right="63" w:firstLine="420" w:firstLineChars="200"/>
              <w:rPr>
                <w:rFonts w:ascii="宋体" w:hAnsi="宋体" w:cs="宋体"/>
                <w:color w:val="000000"/>
                <w:sz w:val="21"/>
                <w:szCs w:val="21"/>
                <w:highlight w:val="none"/>
              </w:rPr>
            </w:pPr>
          </w:p>
        </w:tc>
        <w:tc>
          <w:tcPr>
            <w:tcW w:w="824" w:type="dxa"/>
            <w:tcBorders>
              <w:top w:val="nil"/>
              <w:left w:val="single" w:color="auto" w:sz="6" w:space="0"/>
              <w:bottom w:val="single" w:color="auto" w:sz="6" w:space="0"/>
              <w:right w:val="single" w:color="auto" w:sz="6" w:space="0"/>
            </w:tcBorders>
            <w:vAlign w:val="center"/>
          </w:tcPr>
          <w:p w14:paraId="411FE5C9">
            <w:pPr>
              <w:pStyle w:val="3"/>
              <w:keepNext/>
              <w:spacing w:line="360" w:lineRule="auto"/>
              <w:ind w:left="63" w:right="63" w:firstLine="420" w:firstLineChars="200"/>
              <w:rPr>
                <w:rFonts w:ascii="宋体" w:hAnsi="宋体" w:cs="宋体"/>
                <w:color w:val="000000"/>
                <w:sz w:val="21"/>
                <w:szCs w:val="21"/>
                <w:highlight w:val="none"/>
              </w:rPr>
            </w:pPr>
          </w:p>
        </w:tc>
        <w:tc>
          <w:tcPr>
            <w:tcW w:w="894" w:type="dxa"/>
            <w:tcBorders>
              <w:top w:val="nil"/>
              <w:left w:val="single" w:color="auto" w:sz="6" w:space="0"/>
              <w:bottom w:val="single" w:color="auto" w:sz="6" w:space="0"/>
              <w:right w:val="single" w:color="auto" w:sz="12" w:space="0"/>
            </w:tcBorders>
            <w:vAlign w:val="center"/>
          </w:tcPr>
          <w:p w14:paraId="1B5A013C">
            <w:pPr>
              <w:pStyle w:val="3"/>
              <w:keepNext/>
              <w:spacing w:line="360" w:lineRule="auto"/>
              <w:ind w:left="63" w:right="63" w:firstLine="420" w:firstLineChars="200"/>
              <w:rPr>
                <w:rFonts w:ascii="宋体" w:hAnsi="宋体" w:cs="宋体"/>
                <w:color w:val="000000"/>
                <w:sz w:val="21"/>
                <w:szCs w:val="21"/>
                <w:highlight w:val="none"/>
              </w:rPr>
            </w:pPr>
          </w:p>
        </w:tc>
      </w:tr>
      <w:tr w14:paraId="233CD7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90" w:type="dxa"/>
            <w:tcBorders>
              <w:top w:val="nil"/>
              <w:left w:val="single" w:color="auto" w:sz="12" w:space="0"/>
              <w:bottom w:val="single" w:color="auto" w:sz="6" w:space="0"/>
              <w:right w:val="single" w:color="auto" w:sz="6" w:space="0"/>
            </w:tcBorders>
            <w:vAlign w:val="center"/>
          </w:tcPr>
          <w:p w14:paraId="096A9596">
            <w:pPr>
              <w:pStyle w:val="3"/>
              <w:keepNext/>
              <w:spacing w:line="360" w:lineRule="auto"/>
              <w:ind w:left="63" w:right="63" w:firstLine="420" w:firstLineChars="200"/>
              <w:rPr>
                <w:rFonts w:ascii="宋体" w:hAnsi="宋体" w:cs="宋体"/>
                <w:color w:val="000000"/>
                <w:sz w:val="21"/>
                <w:szCs w:val="21"/>
                <w:highlight w:val="none"/>
              </w:rPr>
            </w:pPr>
          </w:p>
        </w:tc>
        <w:tc>
          <w:tcPr>
            <w:tcW w:w="839" w:type="dxa"/>
            <w:tcBorders>
              <w:top w:val="nil"/>
              <w:left w:val="single" w:color="auto" w:sz="6" w:space="0"/>
              <w:bottom w:val="single" w:color="auto" w:sz="6" w:space="0"/>
              <w:right w:val="single" w:color="auto" w:sz="6" w:space="0"/>
            </w:tcBorders>
            <w:vAlign w:val="center"/>
          </w:tcPr>
          <w:p w14:paraId="5A740BBF">
            <w:pPr>
              <w:pStyle w:val="3"/>
              <w:keepNext/>
              <w:spacing w:line="360" w:lineRule="auto"/>
              <w:ind w:left="63" w:right="63" w:firstLine="420" w:firstLineChars="200"/>
              <w:rPr>
                <w:rFonts w:ascii="宋体" w:hAnsi="宋体" w:cs="宋体"/>
                <w:color w:val="000000"/>
                <w:sz w:val="21"/>
                <w:szCs w:val="21"/>
                <w:highlight w:val="none"/>
              </w:rPr>
            </w:pPr>
          </w:p>
        </w:tc>
        <w:tc>
          <w:tcPr>
            <w:tcW w:w="915" w:type="dxa"/>
            <w:tcBorders>
              <w:top w:val="nil"/>
              <w:left w:val="single" w:color="auto" w:sz="6" w:space="0"/>
              <w:bottom w:val="single" w:color="auto" w:sz="6" w:space="0"/>
              <w:right w:val="single" w:color="auto" w:sz="6" w:space="0"/>
            </w:tcBorders>
            <w:vAlign w:val="center"/>
          </w:tcPr>
          <w:p w14:paraId="54D8741F">
            <w:pPr>
              <w:pStyle w:val="3"/>
              <w:keepNext/>
              <w:spacing w:line="360" w:lineRule="auto"/>
              <w:ind w:left="63" w:right="63" w:firstLine="420" w:firstLineChars="200"/>
              <w:rPr>
                <w:rFonts w:ascii="宋体" w:hAnsi="宋体" w:cs="宋体"/>
                <w:color w:val="000000"/>
                <w:sz w:val="21"/>
                <w:szCs w:val="21"/>
                <w:highlight w:val="none"/>
              </w:rPr>
            </w:pPr>
          </w:p>
        </w:tc>
        <w:tc>
          <w:tcPr>
            <w:tcW w:w="833" w:type="dxa"/>
            <w:tcBorders>
              <w:top w:val="nil"/>
              <w:left w:val="single" w:color="auto" w:sz="6" w:space="0"/>
              <w:bottom w:val="single" w:color="auto" w:sz="6" w:space="0"/>
              <w:right w:val="single" w:color="auto" w:sz="6" w:space="0"/>
            </w:tcBorders>
            <w:vAlign w:val="center"/>
          </w:tcPr>
          <w:p w14:paraId="2D45D39E">
            <w:pPr>
              <w:pStyle w:val="3"/>
              <w:keepNext/>
              <w:spacing w:line="360" w:lineRule="auto"/>
              <w:ind w:left="63" w:right="63" w:firstLine="420" w:firstLineChars="200"/>
              <w:rPr>
                <w:rFonts w:ascii="宋体" w:hAnsi="宋体" w:cs="宋体"/>
                <w:color w:val="000000"/>
                <w:sz w:val="21"/>
                <w:szCs w:val="21"/>
                <w:highlight w:val="none"/>
              </w:rPr>
            </w:pPr>
          </w:p>
        </w:tc>
        <w:tc>
          <w:tcPr>
            <w:tcW w:w="505" w:type="dxa"/>
            <w:tcBorders>
              <w:top w:val="nil"/>
              <w:left w:val="single" w:color="auto" w:sz="6" w:space="0"/>
              <w:bottom w:val="single" w:color="auto" w:sz="6" w:space="0"/>
              <w:right w:val="single" w:color="auto" w:sz="6" w:space="0"/>
            </w:tcBorders>
            <w:vAlign w:val="center"/>
          </w:tcPr>
          <w:p w14:paraId="69FFBF20">
            <w:pPr>
              <w:pStyle w:val="3"/>
              <w:keepNext/>
              <w:spacing w:line="360" w:lineRule="auto"/>
              <w:ind w:left="63" w:right="63" w:firstLine="420" w:firstLineChars="200"/>
              <w:rPr>
                <w:rFonts w:ascii="宋体" w:hAnsi="宋体" w:cs="宋体"/>
                <w:color w:val="000000"/>
                <w:sz w:val="21"/>
                <w:szCs w:val="21"/>
                <w:highlight w:val="none"/>
              </w:rPr>
            </w:pPr>
          </w:p>
        </w:tc>
        <w:tc>
          <w:tcPr>
            <w:tcW w:w="744" w:type="dxa"/>
            <w:tcBorders>
              <w:top w:val="nil"/>
              <w:left w:val="single" w:color="auto" w:sz="6" w:space="0"/>
              <w:bottom w:val="single" w:color="auto" w:sz="6" w:space="0"/>
              <w:right w:val="single" w:color="auto" w:sz="6" w:space="0"/>
            </w:tcBorders>
            <w:vAlign w:val="center"/>
          </w:tcPr>
          <w:p w14:paraId="0B728F16">
            <w:pPr>
              <w:pStyle w:val="3"/>
              <w:keepNext/>
              <w:spacing w:line="360" w:lineRule="auto"/>
              <w:ind w:left="63" w:right="63" w:firstLine="420" w:firstLineChars="200"/>
              <w:rPr>
                <w:rFonts w:ascii="宋体" w:hAnsi="宋体" w:cs="宋体"/>
                <w:color w:val="000000"/>
                <w:sz w:val="21"/>
                <w:szCs w:val="21"/>
                <w:highlight w:val="none"/>
              </w:rPr>
            </w:pPr>
          </w:p>
        </w:tc>
        <w:tc>
          <w:tcPr>
            <w:tcW w:w="1057" w:type="dxa"/>
            <w:tcBorders>
              <w:top w:val="nil"/>
              <w:left w:val="single" w:color="auto" w:sz="6" w:space="0"/>
              <w:bottom w:val="single" w:color="auto" w:sz="6" w:space="0"/>
              <w:right w:val="single" w:color="auto" w:sz="6" w:space="0"/>
            </w:tcBorders>
            <w:vAlign w:val="center"/>
          </w:tcPr>
          <w:p w14:paraId="0F2ABF1C">
            <w:pPr>
              <w:pStyle w:val="3"/>
              <w:keepNext/>
              <w:spacing w:line="360" w:lineRule="auto"/>
              <w:ind w:left="63" w:right="63" w:firstLine="420" w:firstLineChars="200"/>
              <w:rPr>
                <w:rFonts w:ascii="宋体" w:hAnsi="宋体" w:cs="宋体"/>
                <w:color w:val="000000"/>
                <w:sz w:val="21"/>
                <w:szCs w:val="21"/>
                <w:highlight w:val="none"/>
              </w:rPr>
            </w:pPr>
          </w:p>
        </w:tc>
        <w:tc>
          <w:tcPr>
            <w:tcW w:w="1171" w:type="dxa"/>
            <w:tcBorders>
              <w:top w:val="nil"/>
              <w:left w:val="single" w:color="auto" w:sz="6" w:space="0"/>
              <w:bottom w:val="single" w:color="auto" w:sz="6" w:space="0"/>
              <w:right w:val="single" w:color="auto" w:sz="6" w:space="0"/>
            </w:tcBorders>
            <w:vAlign w:val="center"/>
          </w:tcPr>
          <w:p w14:paraId="753ED5DB">
            <w:pPr>
              <w:pStyle w:val="3"/>
              <w:keepNext/>
              <w:spacing w:line="360" w:lineRule="auto"/>
              <w:ind w:left="63" w:right="63" w:firstLine="420" w:firstLineChars="200"/>
              <w:rPr>
                <w:rFonts w:ascii="宋体" w:hAnsi="宋体" w:cs="宋体"/>
                <w:color w:val="000000"/>
                <w:sz w:val="21"/>
                <w:szCs w:val="21"/>
                <w:highlight w:val="none"/>
              </w:rPr>
            </w:pPr>
          </w:p>
        </w:tc>
        <w:tc>
          <w:tcPr>
            <w:tcW w:w="824" w:type="dxa"/>
            <w:tcBorders>
              <w:top w:val="nil"/>
              <w:left w:val="single" w:color="auto" w:sz="6" w:space="0"/>
              <w:bottom w:val="single" w:color="auto" w:sz="6" w:space="0"/>
              <w:right w:val="single" w:color="auto" w:sz="6" w:space="0"/>
            </w:tcBorders>
            <w:vAlign w:val="center"/>
          </w:tcPr>
          <w:p w14:paraId="632A6B32">
            <w:pPr>
              <w:pStyle w:val="3"/>
              <w:keepNext/>
              <w:spacing w:line="360" w:lineRule="auto"/>
              <w:ind w:left="63" w:right="63" w:firstLine="420" w:firstLineChars="200"/>
              <w:rPr>
                <w:rFonts w:ascii="宋体" w:hAnsi="宋体" w:cs="宋体"/>
                <w:color w:val="000000"/>
                <w:sz w:val="21"/>
                <w:szCs w:val="21"/>
                <w:highlight w:val="none"/>
              </w:rPr>
            </w:pPr>
          </w:p>
        </w:tc>
        <w:tc>
          <w:tcPr>
            <w:tcW w:w="894" w:type="dxa"/>
            <w:tcBorders>
              <w:top w:val="nil"/>
              <w:left w:val="single" w:color="auto" w:sz="6" w:space="0"/>
              <w:bottom w:val="single" w:color="auto" w:sz="6" w:space="0"/>
              <w:right w:val="single" w:color="auto" w:sz="12" w:space="0"/>
            </w:tcBorders>
            <w:vAlign w:val="center"/>
          </w:tcPr>
          <w:p w14:paraId="721E45FD">
            <w:pPr>
              <w:pStyle w:val="3"/>
              <w:keepNext/>
              <w:spacing w:line="360" w:lineRule="auto"/>
              <w:ind w:left="63" w:right="63" w:firstLine="420" w:firstLineChars="200"/>
              <w:rPr>
                <w:rFonts w:ascii="宋体" w:hAnsi="宋体" w:cs="宋体"/>
                <w:color w:val="000000"/>
                <w:sz w:val="21"/>
                <w:szCs w:val="21"/>
                <w:highlight w:val="none"/>
              </w:rPr>
            </w:pPr>
          </w:p>
        </w:tc>
      </w:tr>
      <w:tr w14:paraId="413BCA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90" w:type="dxa"/>
            <w:tcBorders>
              <w:top w:val="single" w:color="auto" w:sz="6" w:space="0"/>
              <w:left w:val="single" w:color="auto" w:sz="12" w:space="0"/>
              <w:bottom w:val="single" w:color="auto" w:sz="6" w:space="0"/>
              <w:right w:val="single" w:color="auto" w:sz="6" w:space="0"/>
            </w:tcBorders>
            <w:vAlign w:val="center"/>
          </w:tcPr>
          <w:p w14:paraId="6FC1F254">
            <w:pPr>
              <w:pStyle w:val="3"/>
              <w:keepNext/>
              <w:spacing w:line="360" w:lineRule="auto"/>
              <w:ind w:left="63" w:right="63" w:firstLine="420" w:firstLineChars="200"/>
              <w:rPr>
                <w:rFonts w:ascii="宋体" w:hAnsi="宋体" w:cs="宋体"/>
                <w:color w:val="000000"/>
                <w:sz w:val="21"/>
                <w:szCs w:val="21"/>
                <w:highlight w:val="none"/>
              </w:rPr>
            </w:pPr>
          </w:p>
        </w:tc>
        <w:tc>
          <w:tcPr>
            <w:tcW w:w="839" w:type="dxa"/>
            <w:tcBorders>
              <w:top w:val="single" w:color="auto" w:sz="6" w:space="0"/>
              <w:left w:val="single" w:color="auto" w:sz="6" w:space="0"/>
              <w:bottom w:val="single" w:color="auto" w:sz="6" w:space="0"/>
              <w:right w:val="single" w:color="auto" w:sz="6" w:space="0"/>
            </w:tcBorders>
            <w:vAlign w:val="center"/>
          </w:tcPr>
          <w:p w14:paraId="71E40B65">
            <w:pPr>
              <w:pStyle w:val="3"/>
              <w:keepNext/>
              <w:spacing w:line="360" w:lineRule="auto"/>
              <w:ind w:left="63" w:right="63" w:firstLine="420" w:firstLineChars="200"/>
              <w:rPr>
                <w:rFonts w:ascii="宋体" w:hAnsi="宋体" w:cs="宋体"/>
                <w:color w:val="000000"/>
                <w:sz w:val="21"/>
                <w:szCs w:val="21"/>
                <w:highlight w:val="none"/>
              </w:rPr>
            </w:pPr>
          </w:p>
        </w:tc>
        <w:tc>
          <w:tcPr>
            <w:tcW w:w="915" w:type="dxa"/>
            <w:tcBorders>
              <w:top w:val="single" w:color="auto" w:sz="6" w:space="0"/>
              <w:left w:val="single" w:color="auto" w:sz="6" w:space="0"/>
              <w:bottom w:val="single" w:color="auto" w:sz="6" w:space="0"/>
              <w:right w:val="single" w:color="auto" w:sz="6" w:space="0"/>
            </w:tcBorders>
            <w:vAlign w:val="center"/>
          </w:tcPr>
          <w:p w14:paraId="331A2343">
            <w:pPr>
              <w:pStyle w:val="3"/>
              <w:keepNext/>
              <w:spacing w:line="360" w:lineRule="auto"/>
              <w:ind w:left="63" w:right="63" w:firstLine="420" w:firstLineChars="200"/>
              <w:rPr>
                <w:rFonts w:ascii="宋体" w:hAnsi="宋体" w:cs="宋体"/>
                <w:color w:val="000000"/>
                <w:sz w:val="21"/>
                <w:szCs w:val="21"/>
                <w:highlight w:val="none"/>
              </w:rPr>
            </w:pPr>
          </w:p>
        </w:tc>
        <w:tc>
          <w:tcPr>
            <w:tcW w:w="833" w:type="dxa"/>
            <w:tcBorders>
              <w:top w:val="single" w:color="auto" w:sz="6" w:space="0"/>
              <w:left w:val="single" w:color="auto" w:sz="6" w:space="0"/>
              <w:bottom w:val="single" w:color="auto" w:sz="6" w:space="0"/>
              <w:right w:val="single" w:color="auto" w:sz="6" w:space="0"/>
            </w:tcBorders>
            <w:vAlign w:val="center"/>
          </w:tcPr>
          <w:p w14:paraId="72BB47B3">
            <w:pPr>
              <w:pStyle w:val="3"/>
              <w:keepNext/>
              <w:spacing w:line="360" w:lineRule="auto"/>
              <w:ind w:left="63" w:right="63" w:firstLine="420" w:firstLineChars="200"/>
              <w:rPr>
                <w:rFonts w:ascii="宋体" w:hAnsi="宋体" w:cs="宋体"/>
                <w:color w:val="000000"/>
                <w:sz w:val="21"/>
                <w:szCs w:val="21"/>
                <w:highlight w:val="none"/>
              </w:rPr>
            </w:pPr>
          </w:p>
        </w:tc>
        <w:tc>
          <w:tcPr>
            <w:tcW w:w="505" w:type="dxa"/>
            <w:tcBorders>
              <w:top w:val="single" w:color="auto" w:sz="6" w:space="0"/>
              <w:left w:val="single" w:color="auto" w:sz="6" w:space="0"/>
              <w:bottom w:val="single" w:color="auto" w:sz="6" w:space="0"/>
              <w:right w:val="single" w:color="auto" w:sz="6" w:space="0"/>
            </w:tcBorders>
            <w:vAlign w:val="center"/>
          </w:tcPr>
          <w:p w14:paraId="7CA58D36">
            <w:pPr>
              <w:pStyle w:val="3"/>
              <w:keepNext/>
              <w:spacing w:line="360" w:lineRule="auto"/>
              <w:ind w:left="63" w:right="63" w:firstLine="420" w:firstLineChars="200"/>
              <w:rPr>
                <w:rFonts w:ascii="宋体" w:hAnsi="宋体" w:cs="宋体"/>
                <w:color w:val="000000"/>
                <w:sz w:val="21"/>
                <w:szCs w:val="21"/>
                <w:highlight w:val="none"/>
              </w:rPr>
            </w:pPr>
          </w:p>
        </w:tc>
        <w:tc>
          <w:tcPr>
            <w:tcW w:w="744" w:type="dxa"/>
            <w:tcBorders>
              <w:top w:val="single" w:color="auto" w:sz="6" w:space="0"/>
              <w:left w:val="single" w:color="auto" w:sz="6" w:space="0"/>
              <w:bottom w:val="single" w:color="auto" w:sz="6" w:space="0"/>
              <w:right w:val="single" w:color="auto" w:sz="6" w:space="0"/>
            </w:tcBorders>
            <w:vAlign w:val="center"/>
          </w:tcPr>
          <w:p w14:paraId="6F625AC2">
            <w:pPr>
              <w:pStyle w:val="3"/>
              <w:keepNext/>
              <w:spacing w:line="360" w:lineRule="auto"/>
              <w:ind w:left="63" w:right="63" w:firstLine="420" w:firstLineChars="200"/>
              <w:rPr>
                <w:rFonts w:ascii="宋体" w:hAnsi="宋体" w:cs="宋体"/>
                <w:color w:val="000000"/>
                <w:sz w:val="21"/>
                <w:szCs w:val="21"/>
                <w:highlight w:val="none"/>
              </w:rPr>
            </w:pPr>
          </w:p>
        </w:tc>
        <w:tc>
          <w:tcPr>
            <w:tcW w:w="1057" w:type="dxa"/>
            <w:tcBorders>
              <w:top w:val="single" w:color="auto" w:sz="6" w:space="0"/>
              <w:left w:val="single" w:color="auto" w:sz="6" w:space="0"/>
              <w:bottom w:val="single" w:color="auto" w:sz="6" w:space="0"/>
              <w:right w:val="single" w:color="auto" w:sz="6" w:space="0"/>
            </w:tcBorders>
            <w:vAlign w:val="center"/>
          </w:tcPr>
          <w:p w14:paraId="55C5690F">
            <w:pPr>
              <w:pStyle w:val="3"/>
              <w:keepNext/>
              <w:spacing w:line="360" w:lineRule="auto"/>
              <w:ind w:left="63" w:right="63" w:firstLine="420" w:firstLineChars="200"/>
              <w:rPr>
                <w:rFonts w:ascii="宋体" w:hAnsi="宋体" w:cs="宋体"/>
                <w:color w:val="000000"/>
                <w:sz w:val="21"/>
                <w:szCs w:val="21"/>
                <w:highlight w:val="none"/>
              </w:rPr>
            </w:pPr>
          </w:p>
        </w:tc>
        <w:tc>
          <w:tcPr>
            <w:tcW w:w="1171" w:type="dxa"/>
            <w:tcBorders>
              <w:top w:val="single" w:color="auto" w:sz="6" w:space="0"/>
              <w:left w:val="single" w:color="auto" w:sz="6" w:space="0"/>
              <w:bottom w:val="single" w:color="auto" w:sz="6" w:space="0"/>
              <w:right w:val="single" w:color="auto" w:sz="6" w:space="0"/>
            </w:tcBorders>
            <w:vAlign w:val="center"/>
          </w:tcPr>
          <w:p w14:paraId="48CB0A9E">
            <w:pPr>
              <w:pStyle w:val="3"/>
              <w:keepNext/>
              <w:spacing w:line="360" w:lineRule="auto"/>
              <w:ind w:left="63" w:right="63" w:firstLine="420" w:firstLineChars="200"/>
              <w:rPr>
                <w:rFonts w:ascii="宋体" w:hAnsi="宋体" w:cs="宋体"/>
                <w:color w:val="000000"/>
                <w:sz w:val="21"/>
                <w:szCs w:val="21"/>
                <w:highlight w:val="none"/>
              </w:rPr>
            </w:pPr>
          </w:p>
        </w:tc>
        <w:tc>
          <w:tcPr>
            <w:tcW w:w="824" w:type="dxa"/>
            <w:tcBorders>
              <w:top w:val="single" w:color="auto" w:sz="6" w:space="0"/>
              <w:left w:val="single" w:color="auto" w:sz="6" w:space="0"/>
              <w:bottom w:val="single" w:color="auto" w:sz="6" w:space="0"/>
              <w:right w:val="single" w:color="auto" w:sz="6" w:space="0"/>
            </w:tcBorders>
            <w:vAlign w:val="center"/>
          </w:tcPr>
          <w:p w14:paraId="4C391EB3">
            <w:pPr>
              <w:pStyle w:val="3"/>
              <w:keepNext/>
              <w:spacing w:line="360" w:lineRule="auto"/>
              <w:ind w:left="63" w:right="63" w:firstLine="420" w:firstLineChars="200"/>
              <w:rPr>
                <w:rFonts w:ascii="宋体" w:hAnsi="宋体" w:cs="宋体"/>
                <w:color w:val="000000"/>
                <w:sz w:val="21"/>
                <w:szCs w:val="21"/>
                <w:highlight w:val="none"/>
              </w:rPr>
            </w:pPr>
          </w:p>
        </w:tc>
        <w:tc>
          <w:tcPr>
            <w:tcW w:w="894" w:type="dxa"/>
            <w:tcBorders>
              <w:top w:val="single" w:color="auto" w:sz="6" w:space="0"/>
              <w:left w:val="single" w:color="auto" w:sz="6" w:space="0"/>
              <w:bottom w:val="single" w:color="auto" w:sz="6" w:space="0"/>
              <w:right w:val="single" w:color="auto" w:sz="12" w:space="0"/>
            </w:tcBorders>
            <w:vAlign w:val="center"/>
          </w:tcPr>
          <w:p w14:paraId="519D4492">
            <w:pPr>
              <w:pStyle w:val="3"/>
              <w:keepNext/>
              <w:spacing w:line="360" w:lineRule="auto"/>
              <w:ind w:left="63" w:right="63" w:firstLine="420" w:firstLineChars="200"/>
              <w:rPr>
                <w:rFonts w:ascii="宋体" w:hAnsi="宋体" w:cs="宋体"/>
                <w:color w:val="000000"/>
                <w:sz w:val="21"/>
                <w:szCs w:val="21"/>
                <w:highlight w:val="none"/>
              </w:rPr>
            </w:pPr>
          </w:p>
        </w:tc>
      </w:tr>
      <w:tr w14:paraId="257022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90" w:type="dxa"/>
            <w:tcBorders>
              <w:top w:val="nil"/>
              <w:left w:val="single" w:color="auto" w:sz="12" w:space="0"/>
              <w:bottom w:val="single" w:color="auto" w:sz="6" w:space="0"/>
              <w:right w:val="single" w:color="auto" w:sz="6" w:space="0"/>
            </w:tcBorders>
            <w:vAlign w:val="center"/>
          </w:tcPr>
          <w:p w14:paraId="0D89C851">
            <w:pPr>
              <w:pStyle w:val="3"/>
              <w:keepNext/>
              <w:spacing w:line="360" w:lineRule="auto"/>
              <w:ind w:left="63" w:right="63" w:firstLine="420" w:firstLineChars="200"/>
              <w:rPr>
                <w:rFonts w:ascii="宋体" w:hAnsi="宋体" w:cs="宋体"/>
                <w:color w:val="000000"/>
                <w:sz w:val="21"/>
                <w:szCs w:val="21"/>
                <w:highlight w:val="none"/>
              </w:rPr>
            </w:pPr>
          </w:p>
        </w:tc>
        <w:tc>
          <w:tcPr>
            <w:tcW w:w="839" w:type="dxa"/>
            <w:tcBorders>
              <w:top w:val="nil"/>
              <w:left w:val="single" w:color="auto" w:sz="6" w:space="0"/>
              <w:bottom w:val="single" w:color="auto" w:sz="6" w:space="0"/>
              <w:right w:val="single" w:color="auto" w:sz="6" w:space="0"/>
            </w:tcBorders>
            <w:vAlign w:val="center"/>
          </w:tcPr>
          <w:p w14:paraId="59650CE6">
            <w:pPr>
              <w:pStyle w:val="3"/>
              <w:keepNext/>
              <w:spacing w:line="360" w:lineRule="auto"/>
              <w:ind w:left="63" w:right="63" w:firstLine="420" w:firstLineChars="200"/>
              <w:rPr>
                <w:rFonts w:ascii="宋体" w:hAnsi="宋体" w:cs="宋体"/>
                <w:color w:val="000000"/>
                <w:sz w:val="21"/>
                <w:szCs w:val="21"/>
                <w:highlight w:val="none"/>
              </w:rPr>
            </w:pPr>
          </w:p>
        </w:tc>
        <w:tc>
          <w:tcPr>
            <w:tcW w:w="915" w:type="dxa"/>
            <w:tcBorders>
              <w:top w:val="nil"/>
              <w:left w:val="single" w:color="auto" w:sz="6" w:space="0"/>
              <w:bottom w:val="single" w:color="auto" w:sz="6" w:space="0"/>
              <w:right w:val="single" w:color="auto" w:sz="6" w:space="0"/>
            </w:tcBorders>
            <w:vAlign w:val="center"/>
          </w:tcPr>
          <w:p w14:paraId="2ADA94F1">
            <w:pPr>
              <w:pStyle w:val="3"/>
              <w:keepNext/>
              <w:spacing w:line="360" w:lineRule="auto"/>
              <w:ind w:left="63" w:right="63" w:firstLine="420" w:firstLineChars="200"/>
              <w:rPr>
                <w:rFonts w:ascii="宋体" w:hAnsi="宋体" w:cs="宋体"/>
                <w:color w:val="000000"/>
                <w:sz w:val="21"/>
                <w:szCs w:val="21"/>
                <w:highlight w:val="none"/>
              </w:rPr>
            </w:pPr>
          </w:p>
        </w:tc>
        <w:tc>
          <w:tcPr>
            <w:tcW w:w="833" w:type="dxa"/>
            <w:tcBorders>
              <w:top w:val="nil"/>
              <w:left w:val="single" w:color="auto" w:sz="6" w:space="0"/>
              <w:bottom w:val="single" w:color="auto" w:sz="6" w:space="0"/>
              <w:right w:val="single" w:color="auto" w:sz="6" w:space="0"/>
            </w:tcBorders>
            <w:vAlign w:val="center"/>
          </w:tcPr>
          <w:p w14:paraId="15240FC8">
            <w:pPr>
              <w:pStyle w:val="3"/>
              <w:keepNext/>
              <w:spacing w:line="360" w:lineRule="auto"/>
              <w:ind w:left="63" w:right="63" w:firstLine="420" w:firstLineChars="200"/>
              <w:rPr>
                <w:rFonts w:ascii="宋体" w:hAnsi="宋体" w:cs="宋体"/>
                <w:color w:val="000000"/>
                <w:sz w:val="21"/>
                <w:szCs w:val="21"/>
                <w:highlight w:val="none"/>
              </w:rPr>
            </w:pPr>
          </w:p>
        </w:tc>
        <w:tc>
          <w:tcPr>
            <w:tcW w:w="505" w:type="dxa"/>
            <w:tcBorders>
              <w:top w:val="nil"/>
              <w:left w:val="single" w:color="auto" w:sz="6" w:space="0"/>
              <w:bottom w:val="single" w:color="auto" w:sz="6" w:space="0"/>
              <w:right w:val="single" w:color="auto" w:sz="6" w:space="0"/>
            </w:tcBorders>
            <w:vAlign w:val="center"/>
          </w:tcPr>
          <w:p w14:paraId="639362FF">
            <w:pPr>
              <w:pStyle w:val="3"/>
              <w:keepNext/>
              <w:spacing w:line="360" w:lineRule="auto"/>
              <w:ind w:left="63" w:right="63" w:firstLine="420" w:firstLineChars="200"/>
              <w:rPr>
                <w:rFonts w:ascii="宋体" w:hAnsi="宋体" w:cs="宋体"/>
                <w:color w:val="000000"/>
                <w:sz w:val="21"/>
                <w:szCs w:val="21"/>
                <w:highlight w:val="none"/>
              </w:rPr>
            </w:pPr>
          </w:p>
        </w:tc>
        <w:tc>
          <w:tcPr>
            <w:tcW w:w="744" w:type="dxa"/>
            <w:tcBorders>
              <w:top w:val="nil"/>
              <w:left w:val="single" w:color="auto" w:sz="6" w:space="0"/>
              <w:bottom w:val="single" w:color="auto" w:sz="6" w:space="0"/>
              <w:right w:val="single" w:color="auto" w:sz="6" w:space="0"/>
            </w:tcBorders>
            <w:vAlign w:val="center"/>
          </w:tcPr>
          <w:p w14:paraId="2A38BC97">
            <w:pPr>
              <w:pStyle w:val="3"/>
              <w:keepNext/>
              <w:spacing w:line="360" w:lineRule="auto"/>
              <w:ind w:left="63" w:right="63" w:firstLine="420" w:firstLineChars="200"/>
              <w:rPr>
                <w:rFonts w:ascii="宋体" w:hAnsi="宋体" w:cs="宋体"/>
                <w:color w:val="000000"/>
                <w:sz w:val="21"/>
                <w:szCs w:val="21"/>
                <w:highlight w:val="none"/>
              </w:rPr>
            </w:pPr>
          </w:p>
        </w:tc>
        <w:tc>
          <w:tcPr>
            <w:tcW w:w="1057" w:type="dxa"/>
            <w:tcBorders>
              <w:top w:val="nil"/>
              <w:left w:val="single" w:color="auto" w:sz="6" w:space="0"/>
              <w:bottom w:val="single" w:color="auto" w:sz="6" w:space="0"/>
              <w:right w:val="single" w:color="auto" w:sz="6" w:space="0"/>
            </w:tcBorders>
            <w:vAlign w:val="center"/>
          </w:tcPr>
          <w:p w14:paraId="07D0A3BC">
            <w:pPr>
              <w:pStyle w:val="3"/>
              <w:keepNext/>
              <w:spacing w:line="360" w:lineRule="auto"/>
              <w:ind w:left="63" w:right="63" w:firstLine="420" w:firstLineChars="200"/>
              <w:rPr>
                <w:rFonts w:ascii="宋体" w:hAnsi="宋体" w:cs="宋体"/>
                <w:color w:val="000000"/>
                <w:sz w:val="21"/>
                <w:szCs w:val="21"/>
                <w:highlight w:val="none"/>
              </w:rPr>
            </w:pPr>
          </w:p>
        </w:tc>
        <w:tc>
          <w:tcPr>
            <w:tcW w:w="1171" w:type="dxa"/>
            <w:tcBorders>
              <w:top w:val="nil"/>
              <w:left w:val="single" w:color="auto" w:sz="6" w:space="0"/>
              <w:bottom w:val="single" w:color="auto" w:sz="6" w:space="0"/>
              <w:right w:val="single" w:color="auto" w:sz="6" w:space="0"/>
            </w:tcBorders>
            <w:vAlign w:val="center"/>
          </w:tcPr>
          <w:p w14:paraId="5905E845">
            <w:pPr>
              <w:pStyle w:val="3"/>
              <w:keepNext/>
              <w:spacing w:line="360" w:lineRule="auto"/>
              <w:ind w:left="63" w:right="63" w:firstLine="420" w:firstLineChars="200"/>
              <w:rPr>
                <w:rFonts w:ascii="宋体" w:hAnsi="宋体" w:cs="宋体"/>
                <w:color w:val="000000"/>
                <w:sz w:val="21"/>
                <w:szCs w:val="21"/>
                <w:highlight w:val="none"/>
              </w:rPr>
            </w:pPr>
          </w:p>
        </w:tc>
        <w:tc>
          <w:tcPr>
            <w:tcW w:w="824" w:type="dxa"/>
            <w:tcBorders>
              <w:top w:val="nil"/>
              <w:left w:val="single" w:color="auto" w:sz="6" w:space="0"/>
              <w:bottom w:val="single" w:color="auto" w:sz="6" w:space="0"/>
              <w:right w:val="single" w:color="auto" w:sz="6" w:space="0"/>
            </w:tcBorders>
            <w:vAlign w:val="center"/>
          </w:tcPr>
          <w:p w14:paraId="6E2140EC">
            <w:pPr>
              <w:pStyle w:val="3"/>
              <w:keepNext/>
              <w:spacing w:line="360" w:lineRule="auto"/>
              <w:ind w:left="63" w:right="63" w:firstLine="420" w:firstLineChars="200"/>
              <w:rPr>
                <w:rFonts w:ascii="宋体" w:hAnsi="宋体" w:cs="宋体"/>
                <w:color w:val="000000"/>
                <w:sz w:val="21"/>
                <w:szCs w:val="21"/>
                <w:highlight w:val="none"/>
              </w:rPr>
            </w:pPr>
          </w:p>
        </w:tc>
        <w:tc>
          <w:tcPr>
            <w:tcW w:w="894" w:type="dxa"/>
            <w:tcBorders>
              <w:top w:val="nil"/>
              <w:left w:val="single" w:color="auto" w:sz="6" w:space="0"/>
              <w:bottom w:val="single" w:color="auto" w:sz="6" w:space="0"/>
              <w:right w:val="single" w:color="auto" w:sz="12" w:space="0"/>
            </w:tcBorders>
            <w:vAlign w:val="center"/>
          </w:tcPr>
          <w:p w14:paraId="1D2A7D94">
            <w:pPr>
              <w:pStyle w:val="3"/>
              <w:keepNext/>
              <w:spacing w:line="360" w:lineRule="auto"/>
              <w:ind w:left="63" w:right="63" w:firstLine="420" w:firstLineChars="200"/>
              <w:rPr>
                <w:rFonts w:ascii="宋体" w:hAnsi="宋体" w:cs="宋体"/>
                <w:color w:val="000000"/>
                <w:sz w:val="21"/>
                <w:szCs w:val="21"/>
                <w:highlight w:val="none"/>
              </w:rPr>
            </w:pPr>
          </w:p>
        </w:tc>
      </w:tr>
      <w:tr w14:paraId="17BE08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90" w:type="dxa"/>
            <w:tcBorders>
              <w:top w:val="single" w:color="auto" w:sz="6" w:space="0"/>
              <w:left w:val="single" w:color="auto" w:sz="12" w:space="0"/>
              <w:bottom w:val="single" w:color="auto" w:sz="6" w:space="0"/>
              <w:right w:val="single" w:color="auto" w:sz="6" w:space="0"/>
            </w:tcBorders>
            <w:vAlign w:val="center"/>
          </w:tcPr>
          <w:p w14:paraId="6A41FA73">
            <w:pPr>
              <w:pStyle w:val="3"/>
              <w:keepNext/>
              <w:spacing w:line="360" w:lineRule="auto"/>
              <w:ind w:left="63" w:right="63" w:firstLine="420" w:firstLineChars="200"/>
              <w:rPr>
                <w:rFonts w:ascii="宋体" w:hAnsi="宋体" w:cs="宋体"/>
                <w:color w:val="000000"/>
                <w:sz w:val="21"/>
                <w:szCs w:val="21"/>
                <w:highlight w:val="none"/>
              </w:rPr>
            </w:pPr>
          </w:p>
        </w:tc>
        <w:tc>
          <w:tcPr>
            <w:tcW w:w="839" w:type="dxa"/>
            <w:tcBorders>
              <w:top w:val="single" w:color="auto" w:sz="6" w:space="0"/>
              <w:left w:val="single" w:color="auto" w:sz="6" w:space="0"/>
              <w:bottom w:val="single" w:color="auto" w:sz="6" w:space="0"/>
              <w:right w:val="single" w:color="auto" w:sz="6" w:space="0"/>
            </w:tcBorders>
            <w:vAlign w:val="center"/>
          </w:tcPr>
          <w:p w14:paraId="04B8CBB3">
            <w:pPr>
              <w:pStyle w:val="3"/>
              <w:keepNext/>
              <w:spacing w:line="360" w:lineRule="auto"/>
              <w:ind w:left="63" w:right="63" w:firstLine="420" w:firstLineChars="200"/>
              <w:rPr>
                <w:rFonts w:ascii="宋体" w:hAnsi="宋体" w:cs="宋体"/>
                <w:color w:val="000000"/>
                <w:sz w:val="21"/>
                <w:szCs w:val="21"/>
                <w:highlight w:val="none"/>
              </w:rPr>
            </w:pPr>
          </w:p>
        </w:tc>
        <w:tc>
          <w:tcPr>
            <w:tcW w:w="915" w:type="dxa"/>
            <w:tcBorders>
              <w:top w:val="single" w:color="auto" w:sz="6" w:space="0"/>
              <w:left w:val="single" w:color="auto" w:sz="6" w:space="0"/>
              <w:bottom w:val="single" w:color="auto" w:sz="6" w:space="0"/>
              <w:right w:val="single" w:color="auto" w:sz="6" w:space="0"/>
            </w:tcBorders>
            <w:vAlign w:val="center"/>
          </w:tcPr>
          <w:p w14:paraId="3818421A">
            <w:pPr>
              <w:pStyle w:val="3"/>
              <w:keepNext/>
              <w:spacing w:line="360" w:lineRule="auto"/>
              <w:ind w:left="63" w:right="63" w:firstLine="420" w:firstLineChars="200"/>
              <w:rPr>
                <w:rFonts w:ascii="宋体" w:hAnsi="宋体" w:cs="宋体"/>
                <w:color w:val="000000"/>
                <w:sz w:val="21"/>
                <w:szCs w:val="21"/>
                <w:highlight w:val="none"/>
              </w:rPr>
            </w:pPr>
          </w:p>
        </w:tc>
        <w:tc>
          <w:tcPr>
            <w:tcW w:w="833" w:type="dxa"/>
            <w:tcBorders>
              <w:top w:val="single" w:color="auto" w:sz="6" w:space="0"/>
              <w:left w:val="single" w:color="auto" w:sz="6" w:space="0"/>
              <w:bottom w:val="single" w:color="auto" w:sz="6" w:space="0"/>
              <w:right w:val="single" w:color="auto" w:sz="6" w:space="0"/>
            </w:tcBorders>
            <w:vAlign w:val="center"/>
          </w:tcPr>
          <w:p w14:paraId="646D827F">
            <w:pPr>
              <w:pStyle w:val="3"/>
              <w:keepNext/>
              <w:spacing w:line="360" w:lineRule="auto"/>
              <w:ind w:left="63" w:right="63" w:firstLine="420" w:firstLineChars="200"/>
              <w:rPr>
                <w:rFonts w:ascii="宋体" w:hAnsi="宋体" w:cs="宋体"/>
                <w:color w:val="000000"/>
                <w:sz w:val="21"/>
                <w:szCs w:val="21"/>
                <w:highlight w:val="none"/>
              </w:rPr>
            </w:pPr>
          </w:p>
        </w:tc>
        <w:tc>
          <w:tcPr>
            <w:tcW w:w="505" w:type="dxa"/>
            <w:tcBorders>
              <w:top w:val="single" w:color="auto" w:sz="6" w:space="0"/>
              <w:left w:val="single" w:color="auto" w:sz="6" w:space="0"/>
              <w:bottom w:val="single" w:color="auto" w:sz="6" w:space="0"/>
              <w:right w:val="single" w:color="auto" w:sz="6" w:space="0"/>
            </w:tcBorders>
            <w:vAlign w:val="center"/>
          </w:tcPr>
          <w:p w14:paraId="329B8A75">
            <w:pPr>
              <w:pStyle w:val="3"/>
              <w:keepNext/>
              <w:spacing w:line="360" w:lineRule="auto"/>
              <w:ind w:left="63" w:right="63" w:firstLine="420" w:firstLineChars="200"/>
              <w:rPr>
                <w:rFonts w:ascii="宋体" w:hAnsi="宋体" w:cs="宋体"/>
                <w:color w:val="000000"/>
                <w:sz w:val="21"/>
                <w:szCs w:val="21"/>
                <w:highlight w:val="none"/>
              </w:rPr>
            </w:pPr>
          </w:p>
        </w:tc>
        <w:tc>
          <w:tcPr>
            <w:tcW w:w="744" w:type="dxa"/>
            <w:tcBorders>
              <w:top w:val="single" w:color="auto" w:sz="6" w:space="0"/>
              <w:left w:val="single" w:color="auto" w:sz="6" w:space="0"/>
              <w:bottom w:val="single" w:color="auto" w:sz="6" w:space="0"/>
              <w:right w:val="single" w:color="auto" w:sz="6" w:space="0"/>
            </w:tcBorders>
            <w:vAlign w:val="center"/>
          </w:tcPr>
          <w:p w14:paraId="45E8F5A5">
            <w:pPr>
              <w:pStyle w:val="3"/>
              <w:keepNext/>
              <w:spacing w:line="360" w:lineRule="auto"/>
              <w:ind w:left="63" w:right="63" w:firstLine="420" w:firstLineChars="200"/>
              <w:rPr>
                <w:rFonts w:ascii="宋体" w:hAnsi="宋体" w:cs="宋体"/>
                <w:color w:val="000000"/>
                <w:sz w:val="21"/>
                <w:szCs w:val="21"/>
                <w:highlight w:val="none"/>
              </w:rPr>
            </w:pPr>
          </w:p>
        </w:tc>
        <w:tc>
          <w:tcPr>
            <w:tcW w:w="1057" w:type="dxa"/>
            <w:tcBorders>
              <w:top w:val="single" w:color="auto" w:sz="6" w:space="0"/>
              <w:left w:val="single" w:color="auto" w:sz="6" w:space="0"/>
              <w:bottom w:val="single" w:color="auto" w:sz="6" w:space="0"/>
              <w:right w:val="single" w:color="auto" w:sz="6" w:space="0"/>
            </w:tcBorders>
            <w:vAlign w:val="center"/>
          </w:tcPr>
          <w:p w14:paraId="6E9C68E1">
            <w:pPr>
              <w:pStyle w:val="3"/>
              <w:keepNext/>
              <w:spacing w:line="360" w:lineRule="auto"/>
              <w:ind w:left="63" w:right="63" w:firstLine="420" w:firstLineChars="200"/>
              <w:rPr>
                <w:rFonts w:ascii="宋体" w:hAnsi="宋体" w:cs="宋体"/>
                <w:color w:val="000000"/>
                <w:sz w:val="21"/>
                <w:szCs w:val="21"/>
                <w:highlight w:val="none"/>
              </w:rPr>
            </w:pPr>
          </w:p>
        </w:tc>
        <w:tc>
          <w:tcPr>
            <w:tcW w:w="1171" w:type="dxa"/>
            <w:tcBorders>
              <w:top w:val="single" w:color="auto" w:sz="6" w:space="0"/>
              <w:left w:val="single" w:color="auto" w:sz="6" w:space="0"/>
              <w:bottom w:val="single" w:color="auto" w:sz="6" w:space="0"/>
              <w:right w:val="single" w:color="auto" w:sz="6" w:space="0"/>
            </w:tcBorders>
            <w:vAlign w:val="center"/>
          </w:tcPr>
          <w:p w14:paraId="403BBF15">
            <w:pPr>
              <w:pStyle w:val="3"/>
              <w:keepNext/>
              <w:spacing w:line="360" w:lineRule="auto"/>
              <w:ind w:left="63" w:right="63" w:firstLine="420" w:firstLineChars="200"/>
              <w:rPr>
                <w:rFonts w:ascii="宋体" w:hAnsi="宋体" w:cs="宋体"/>
                <w:color w:val="000000"/>
                <w:sz w:val="21"/>
                <w:szCs w:val="21"/>
                <w:highlight w:val="none"/>
              </w:rPr>
            </w:pPr>
          </w:p>
        </w:tc>
        <w:tc>
          <w:tcPr>
            <w:tcW w:w="824" w:type="dxa"/>
            <w:tcBorders>
              <w:top w:val="single" w:color="auto" w:sz="6" w:space="0"/>
              <w:left w:val="single" w:color="auto" w:sz="6" w:space="0"/>
              <w:bottom w:val="single" w:color="auto" w:sz="6" w:space="0"/>
              <w:right w:val="single" w:color="auto" w:sz="6" w:space="0"/>
            </w:tcBorders>
            <w:vAlign w:val="center"/>
          </w:tcPr>
          <w:p w14:paraId="3822C1EC">
            <w:pPr>
              <w:pStyle w:val="3"/>
              <w:keepNext/>
              <w:spacing w:line="360" w:lineRule="auto"/>
              <w:ind w:left="63" w:right="63" w:firstLine="420" w:firstLineChars="200"/>
              <w:rPr>
                <w:rFonts w:ascii="宋体" w:hAnsi="宋体" w:cs="宋体"/>
                <w:color w:val="000000"/>
                <w:sz w:val="21"/>
                <w:szCs w:val="21"/>
                <w:highlight w:val="none"/>
              </w:rPr>
            </w:pPr>
          </w:p>
        </w:tc>
        <w:tc>
          <w:tcPr>
            <w:tcW w:w="894" w:type="dxa"/>
            <w:tcBorders>
              <w:top w:val="single" w:color="auto" w:sz="6" w:space="0"/>
              <w:left w:val="single" w:color="auto" w:sz="6" w:space="0"/>
              <w:bottom w:val="single" w:color="auto" w:sz="6" w:space="0"/>
              <w:right w:val="single" w:color="auto" w:sz="12" w:space="0"/>
            </w:tcBorders>
            <w:vAlign w:val="center"/>
          </w:tcPr>
          <w:p w14:paraId="0BE433A3">
            <w:pPr>
              <w:pStyle w:val="3"/>
              <w:keepNext/>
              <w:spacing w:line="360" w:lineRule="auto"/>
              <w:ind w:left="63" w:right="63" w:firstLine="420" w:firstLineChars="200"/>
              <w:rPr>
                <w:rFonts w:ascii="宋体" w:hAnsi="宋体" w:cs="宋体"/>
                <w:color w:val="000000"/>
                <w:sz w:val="21"/>
                <w:szCs w:val="21"/>
                <w:highlight w:val="none"/>
              </w:rPr>
            </w:pPr>
          </w:p>
        </w:tc>
      </w:tr>
      <w:tr w14:paraId="09574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90" w:type="dxa"/>
            <w:tcBorders>
              <w:top w:val="nil"/>
              <w:left w:val="single" w:color="auto" w:sz="12" w:space="0"/>
              <w:bottom w:val="single" w:color="auto" w:sz="6" w:space="0"/>
              <w:right w:val="single" w:color="auto" w:sz="6" w:space="0"/>
            </w:tcBorders>
            <w:vAlign w:val="center"/>
          </w:tcPr>
          <w:p w14:paraId="52EDB043">
            <w:pPr>
              <w:pStyle w:val="3"/>
              <w:keepNext/>
              <w:spacing w:line="360" w:lineRule="auto"/>
              <w:ind w:left="63" w:right="63" w:firstLine="420" w:firstLineChars="200"/>
              <w:rPr>
                <w:rFonts w:ascii="宋体" w:hAnsi="宋体" w:cs="宋体"/>
                <w:color w:val="000000"/>
                <w:sz w:val="21"/>
                <w:szCs w:val="21"/>
                <w:highlight w:val="none"/>
              </w:rPr>
            </w:pPr>
          </w:p>
        </w:tc>
        <w:tc>
          <w:tcPr>
            <w:tcW w:w="839" w:type="dxa"/>
            <w:tcBorders>
              <w:top w:val="nil"/>
              <w:left w:val="single" w:color="auto" w:sz="6" w:space="0"/>
              <w:bottom w:val="single" w:color="auto" w:sz="6" w:space="0"/>
              <w:right w:val="single" w:color="auto" w:sz="6" w:space="0"/>
            </w:tcBorders>
            <w:vAlign w:val="center"/>
          </w:tcPr>
          <w:p w14:paraId="36172BD5">
            <w:pPr>
              <w:pStyle w:val="3"/>
              <w:keepNext/>
              <w:spacing w:line="360" w:lineRule="auto"/>
              <w:ind w:left="63" w:right="63" w:firstLine="420" w:firstLineChars="200"/>
              <w:rPr>
                <w:rFonts w:ascii="宋体" w:hAnsi="宋体" w:cs="宋体"/>
                <w:color w:val="000000"/>
                <w:sz w:val="21"/>
                <w:szCs w:val="21"/>
                <w:highlight w:val="none"/>
              </w:rPr>
            </w:pPr>
          </w:p>
        </w:tc>
        <w:tc>
          <w:tcPr>
            <w:tcW w:w="915" w:type="dxa"/>
            <w:tcBorders>
              <w:top w:val="nil"/>
              <w:left w:val="single" w:color="auto" w:sz="6" w:space="0"/>
              <w:bottom w:val="single" w:color="auto" w:sz="6" w:space="0"/>
              <w:right w:val="single" w:color="auto" w:sz="6" w:space="0"/>
            </w:tcBorders>
            <w:vAlign w:val="center"/>
          </w:tcPr>
          <w:p w14:paraId="1F2B0E4C">
            <w:pPr>
              <w:pStyle w:val="3"/>
              <w:keepNext/>
              <w:spacing w:line="360" w:lineRule="auto"/>
              <w:ind w:left="63" w:right="63" w:firstLine="420" w:firstLineChars="200"/>
              <w:rPr>
                <w:rFonts w:ascii="宋体" w:hAnsi="宋体" w:cs="宋体"/>
                <w:color w:val="000000"/>
                <w:sz w:val="21"/>
                <w:szCs w:val="21"/>
                <w:highlight w:val="none"/>
              </w:rPr>
            </w:pPr>
          </w:p>
        </w:tc>
        <w:tc>
          <w:tcPr>
            <w:tcW w:w="833" w:type="dxa"/>
            <w:tcBorders>
              <w:top w:val="nil"/>
              <w:left w:val="single" w:color="auto" w:sz="6" w:space="0"/>
              <w:bottom w:val="single" w:color="auto" w:sz="6" w:space="0"/>
              <w:right w:val="single" w:color="auto" w:sz="6" w:space="0"/>
            </w:tcBorders>
            <w:vAlign w:val="center"/>
          </w:tcPr>
          <w:p w14:paraId="3D600AD8">
            <w:pPr>
              <w:pStyle w:val="3"/>
              <w:keepNext/>
              <w:spacing w:line="360" w:lineRule="auto"/>
              <w:ind w:left="63" w:right="63" w:firstLine="420" w:firstLineChars="200"/>
              <w:rPr>
                <w:rFonts w:ascii="宋体" w:hAnsi="宋体" w:cs="宋体"/>
                <w:color w:val="000000"/>
                <w:sz w:val="21"/>
                <w:szCs w:val="21"/>
                <w:highlight w:val="none"/>
              </w:rPr>
            </w:pPr>
          </w:p>
        </w:tc>
        <w:tc>
          <w:tcPr>
            <w:tcW w:w="505" w:type="dxa"/>
            <w:tcBorders>
              <w:top w:val="nil"/>
              <w:left w:val="single" w:color="auto" w:sz="6" w:space="0"/>
              <w:bottom w:val="single" w:color="auto" w:sz="6" w:space="0"/>
              <w:right w:val="single" w:color="auto" w:sz="6" w:space="0"/>
            </w:tcBorders>
            <w:vAlign w:val="center"/>
          </w:tcPr>
          <w:p w14:paraId="19DABD72">
            <w:pPr>
              <w:pStyle w:val="3"/>
              <w:keepNext/>
              <w:spacing w:line="360" w:lineRule="auto"/>
              <w:ind w:left="63" w:right="63" w:firstLine="420" w:firstLineChars="200"/>
              <w:rPr>
                <w:rFonts w:ascii="宋体" w:hAnsi="宋体" w:cs="宋体"/>
                <w:color w:val="000000"/>
                <w:sz w:val="21"/>
                <w:szCs w:val="21"/>
                <w:highlight w:val="none"/>
              </w:rPr>
            </w:pPr>
          </w:p>
        </w:tc>
        <w:tc>
          <w:tcPr>
            <w:tcW w:w="744" w:type="dxa"/>
            <w:tcBorders>
              <w:top w:val="nil"/>
              <w:left w:val="single" w:color="auto" w:sz="6" w:space="0"/>
              <w:bottom w:val="single" w:color="auto" w:sz="6" w:space="0"/>
              <w:right w:val="single" w:color="auto" w:sz="6" w:space="0"/>
            </w:tcBorders>
            <w:vAlign w:val="center"/>
          </w:tcPr>
          <w:p w14:paraId="31405A73">
            <w:pPr>
              <w:pStyle w:val="3"/>
              <w:keepNext/>
              <w:spacing w:line="360" w:lineRule="auto"/>
              <w:ind w:left="63" w:right="63" w:firstLine="420" w:firstLineChars="200"/>
              <w:rPr>
                <w:rFonts w:ascii="宋体" w:hAnsi="宋体" w:cs="宋体"/>
                <w:color w:val="000000"/>
                <w:sz w:val="21"/>
                <w:szCs w:val="21"/>
                <w:highlight w:val="none"/>
              </w:rPr>
            </w:pPr>
          </w:p>
        </w:tc>
        <w:tc>
          <w:tcPr>
            <w:tcW w:w="1057" w:type="dxa"/>
            <w:tcBorders>
              <w:top w:val="nil"/>
              <w:left w:val="single" w:color="auto" w:sz="6" w:space="0"/>
              <w:bottom w:val="single" w:color="auto" w:sz="6" w:space="0"/>
              <w:right w:val="single" w:color="auto" w:sz="6" w:space="0"/>
            </w:tcBorders>
            <w:vAlign w:val="center"/>
          </w:tcPr>
          <w:p w14:paraId="2739BDB1">
            <w:pPr>
              <w:pStyle w:val="3"/>
              <w:keepNext/>
              <w:spacing w:line="360" w:lineRule="auto"/>
              <w:ind w:left="63" w:right="63" w:firstLine="420" w:firstLineChars="200"/>
              <w:rPr>
                <w:rFonts w:ascii="宋体" w:hAnsi="宋体" w:cs="宋体"/>
                <w:color w:val="000000"/>
                <w:sz w:val="21"/>
                <w:szCs w:val="21"/>
                <w:highlight w:val="none"/>
              </w:rPr>
            </w:pPr>
          </w:p>
        </w:tc>
        <w:tc>
          <w:tcPr>
            <w:tcW w:w="1171" w:type="dxa"/>
            <w:tcBorders>
              <w:top w:val="nil"/>
              <w:left w:val="single" w:color="auto" w:sz="6" w:space="0"/>
              <w:bottom w:val="single" w:color="auto" w:sz="6" w:space="0"/>
              <w:right w:val="single" w:color="auto" w:sz="6" w:space="0"/>
            </w:tcBorders>
            <w:vAlign w:val="center"/>
          </w:tcPr>
          <w:p w14:paraId="606F30FC">
            <w:pPr>
              <w:pStyle w:val="3"/>
              <w:keepNext/>
              <w:spacing w:line="360" w:lineRule="auto"/>
              <w:ind w:left="63" w:right="63" w:firstLine="420" w:firstLineChars="200"/>
              <w:rPr>
                <w:rFonts w:ascii="宋体" w:hAnsi="宋体" w:cs="宋体"/>
                <w:color w:val="000000"/>
                <w:sz w:val="21"/>
                <w:szCs w:val="21"/>
                <w:highlight w:val="none"/>
              </w:rPr>
            </w:pPr>
          </w:p>
        </w:tc>
        <w:tc>
          <w:tcPr>
            <w:tcW w:w="824" w:type="dxa"/>
            <w:tcBorders>
              <w:top w:val="nil"/>
              <w:left w:val="single" w:color="auto" w:sz="6" w:space="0"/>
              <w:bottom w:val="single" w:color="auto" w:sz="6" w:space="0"/>
              <w:right w:val="single" w:color="auto" w:sz="6" w:space="0"/>
            </w:tcBorders>
            <w:vAlign w:val="center"/>
          </w:tcPr>
          <w:p w14:paraId="73C714A6">
            <w:pPr>
              <w:pStyle w:val="3"/>
              <w:keepNext/>
              <w:spacing w:line="360" w:lineRule="auto"/>
              <w:ind w:left="63" w:right="63" w:firstLine="420" w:firstLineChars="200"/>
              <w:rPr>
                <w:rFonts w:ascii="宋体" w:hAnsi="宋体" w:cs="宋体"/>
                <w:color w:val="000000"/>
                <w:sz w:val="21"/>
                <w:szCs w:val="21"/>
                <w:highlight w:val="none"/>
              </w:rPr>
            </w:pPr>
          </w:p>
        </w:tc>
        <w:tc>
          <w:tcPr>
            <w:tcW w:w="894" w:type="dxa"/>
            <w:tcBorders>
              <w:top w:val="nil"/>
              <w:left w:val="single" w:color="auto" w:sz="6" w:space="0"/>
              <w:bottom w:val="single" w:color="auto" w:sz="6" w:space="0"/>
              <w:right w:val="single" w:color="auto" w:sz="12" w:space="0"/>
            </w:tcBorders>
            <w:vAlign w:val="center"/>
          </w:tcPr>
          <w:p w14:paraId="67643053">
            <w:pPr>
              <w:pStyle w:val="3"/>
              <w:keepNext/>
              <w:spacing w:line="360" w:lineRule="auto"/>
              <w:ind w:left="63" w:right="63" w:firstLine="420" w:firstLineChars="200"/>
              <w:rPr>
                <w:rFonts w:ascii="宋体" w:hAnsi="宋体" w:cs="宋体"/>
                <w:color w:val="000000"/>
                <w:sz w:val="21"/>
                <w:szCs w:val="21"/>
                <w:highlight w:val="none"/>
              </w:rPr>
            </w:pPr>
          </w:p>
        </w:tc>
      </w:tr>
      <w:tr w14:paraId="72468E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90" w:type="dxa"/>
            <w:tcBorders>
              <w:top w:val="nil"/>
              <w:left w:val="single" w:color="auto" w:sz="12" w:space="0"/>
              <w:bottom w:val="single" w:color="auto" w:sz="6" w:space="0"/>
              <w:right w:val="single" w:color="auto" w:sz="6" w:space="0"/>
            </w:tcBorders>
            <w:vAlign w:val="center"/>
          </w:tcPr>
          <w:p w14:paraId="396E2D79">
            <w:pPr>
              <w:pStyle w:val="3"/>
              <w:keepNext/>
              <w:spacing w:line="360" w:lineRule="auto"/>
              <w:ind w:left="63" w:right="63" w:firstLine="420" w:firstLineChars="200"/>
              <w:rPr>
                <w:rFonts w:ascii="宋体" w:hAnsi="宋体" w:cs="宋体"/>
                <w:color w:val="000000"/>
                <w:sz w:val="21"/>
                <w:szCs w:val="21"/>
                <w:highlight w:val="none"/>
              </w:rPr>
            </w:pPr>
          </w:p>
        </w:tc>
        <w:tc>
          <w:tcPr>
            <w:tcW w:w="839" w:type="dxa"/>
            <w:tcBorders>
              <w:top w:val="nil"/>
              <w:left w:val="single" w:color="auto" w:sz="6" w:space="0"/>
              <w:bottom w:val="single" w:color="auto" w:sz="6" w:space="0"/>
              <w:right w:val="single" w:color="auto" w:sz="6" w:space="0"/>
            </w:tcBorders>
            <w:vAlign w:val="center"/>
          </w:tcPr>
          <w:p w14:paraId="7CB19637">
            <w:pPr>
              <w:pStyle w:val="3"/>
              <w:keepNext/>
              <w:spacing w:line="360" w:lineRule="auto"/>
              <w:ind w:left="63" w:right="63" w:firstLine="420" w:firstLineChars="200"/>
              <w:rPr>
                <w:rFonts w:ascii="宋体" w:hAnsi="宋体" w:cs="宋体"/>
                <w:color w:val="000000"/>
                <w:sz w:val="21"/>
                <w:szCs w:val="21"/>
                <w:highlight w:val="none"/>
              </w:rPr>
            </w:pPr>
          </w:p>
        </w:tc>
        <w:tc>
          <w:tcPr>
            <w:tcW w:w="915" w:type="dxa"/>
            <w:tcBorders>
              <w:top w:val="nil"/>
              <w:left w:val="single" w:color="auto" w:sz="6" w:space="0"/>
              <w:bottom w:val="single" w:color="auto" w:sz="6" w:space="0"/>
              <w:right w:val="single" w:color="auto" w:sz="6" w:space="0"/>
            </w:tcBorders>
            <w:vAlign w:val="center"/>
          </w:tcPr>
          <w:p w14:paraId="185F488A">
            <w:pPr>
              <w:pStyle w:val="3"/>
              <w:keepNext/>
              <w:spacing w:line="360" w:lineRule="auto"/>
              <w:ind w:left="63" w:right="63" w:firstLine="420" w:firstLineChars="200"/>
              <w:rPr>
                <w:rFonts w:ascii="宋体" w:hAnsi="宋体" w:cs="宋体"/>
                <w:color w:val="000000"/>
                <w:sz w:val="21"/>
                <w:szCs w:val="21"/>
                <w:highlight w:val="none"/>
              </w:rPr>
            </w:pPr>
          </w:p>
        </w:tc>
        <w:tc>
          <w:tcPr>
            <w:tcW w:w="833" w:type="dxa"/>
            <w:tcBorders>
              <w:top w:val="nil"/>
              <w:left w:val="single" w:color="auto" w:sz="6" w:space="0"/>
              <w:bottom w:val="single" w:color="auto" w:sz="6" w:space="0"/>
              <w:right w:val="single" w:color="auto" w:sz="6" w:space="0"/>
            </w:tcBorders>
            <w:vAlign w:val="center"/>
          </w:tcPr>
          <w:p w14:paraId="2554BAF6">
            <w:pPr>
              <w:pStyle w:val="3"/>
              <w:keepNext/>
              <w:spacing w:line="360" w:lineRule="auto"/>
              <w:ind w:left="63" w:right="63" w:firstLine="420" w:firstLineChars="200"/>
              <w:rPr>
                <w:rFonts w:ascii="宋体" w:hAnsi="宋体" w:cs="宋体"/>
                <w:color w:val="000000"/>
                <w:sz w:val="21"/>
                <w:szCs w:val="21"/>
                <w:highlight w:val="none"/>
              </w:rPr>
            </w:pPr>
          </w:p>
        </w:tc>
        <w:tc>
          <w:tcPr>
            <w:tcW w:w="505" w:type="dxa"/>
            <w:tcBorders>
              <w:top w:val="nil"/>
              <w:left w:val="single" w:color="auto" w:sz="6" w:space="0"/>
              <w:bottom w:val="single" w:color="auto" w:sz="6" w:space="0"/>
              <w:right w:val="single" w:color="auto" w:sz="6" w:space="0"/>
            </w:tcBorders>
            <w:vAlign w:val="center"/>
          </w:tcPr>
          <w:p w14:paraId="4BD0A5B2">
            <w:pPr>
              <w:pStyle w:val="3"/>
              <w:keepNext/>
              <w:spacing w:line="360" w:lineRule="auto"/>
              <w:ind w:left="63" w:right="63" w:firstLine="420" w:firstLineChars="200"/>
              <w:rPr>
                <w:rFonts w:ascii="宋体" w:hAnsi="宋体" w:cs="宋体"/>
                <w:color w:val="000000"/>
                <w:sz w:val="21"/>
                <w:szCs w:val="21"/>
                <w:highlight w:val="none"/>
              </w:rPr>
            </w:pPr>
          </w:p>
        </w:tc>
        <w:tc>
          <w:tcPr>
            <w:tcW w:w="744" w:type="dxa"/>
            <w:tcBorders>
              <w:top w:val="nil"/>
              <w:left w:val="single" w:color="auto" w:sz="6" w:space="0"/>
              <w:bottom w:val="single" w:color="auto" w:sz="6" w:space="0"/>
              <w:right w:val="single" w:color="auto" w:sz="6" w:space="0"/>
            </w:tcBorders>
            <w:vAlign w:val="center"/>
          </w:tcPr>
          <w:p w14:paraId="510D97F7">
            <w:pPr>
              <w:pStyle w:val="3"/>
              <w:keepNext/>
              <w:spacing w:line="360" w:lineRule="auto"/>
              <w:ind w:left="63" w:right="63" w:firstLine="420" w:firstLineChars="200"/>
              <w:rPr>
                <w:rFonts w:ascii="宋体" w:hAnsi="宋体" w:cs="宋体"/>
                <w:color w:val="000000"/>
                <w:sz w:val="21"/>
                <w:szCs w:val="21"/>
                <w:highlight w:val="none"/>
              </w:rPr>
            </w:pPr>
          </w:p>
        </w:tc>
        <w:tc>
          <w:tcPr>
            <w:tcW w:w="1057" w:type="dxa"/>
            <w:tcBorders>
              <w:top w:val="nil"/>
              <w:left w:val="single" w:color="auto" w:sz="6" w:space="0"/>
              <w:bottom w:val="single" w:color="auto" w:sz="6" w:space="0"/>
              <w:right w:val="single" w:color="auto" w:sz="6" w:space="0"/>
            </w:tcBorders>
            <w:vAlign w:val="center"/>
          </w:tcPr>
          <w:p w14:paraId="34B856F6">
            <w:pPr>
              <w:pStyle w:val="3"/>
              <w:keepNext/>
              <w:spacing w:line="360" w:lineRule="auto"/>
              <w:ind w:left="63" w:right="63" w:firstLine="420" w:firstLineChars="200"/>
              <w:rPr>
                <w:rFonts w:ascii="宋体" w:hAnsi="宋体" w:cs="宋体"/>
                <w:color w:val="000000"/>
                <w:sz w:val="21"/>
                <w:szCs w:val="21"/>
                <w:highlight w:val="none"/>
              </w:rPr>
            </w:pPr>
          </w:p>
        </w:tc>
        <w:tc>
          <w:tcPr>
            <w:tcW w:w="1171" w:type="dxa"/>
            <w:tcBorders>
              <w:top w:val="nil"/>
              <w:left w:val="single" w:color="auto" w:sz="6" w:space="0"/>
              <w:bottom w:val="single" w:color="auto" w:sz="6" w:space="0"/>
              <w:right w:val="single" w:color="auto" w:sz="6" w:space="0"/>
            </w:tcBorders>
            <w:vAlign w:val="center"/>
          </w:tcPr>
          <w:p w14:paraId="242E8391">
            <w:pPr>
              <w:pStyle w:val="3"/>
              <w:keepNext/>
              <w:spacing w:line="360" w:lineRule="auto"/>
              <w:ind w:left="63" w:right="63" w:firstLine="420" w:firstLineChars="200"/>
              <w:rPr>
                <w:rFonts w:ascii="宋体" w:hAnsi="宋体" w:cs="宋体"/>
                <w:color w:val="000000"/>
                <w:sz w:val="21"/>
                <w:szCs w:val="21"/>
                <w:highlight w:val="none"/>
              </w:rPr>
            </w:pPr>
          </w:p>
        </w:tc>
        <w:tc>
          <w:tcPr>
            <w:tcW w:w="824" w:type="dxa"/>
            <w:tcBorders>
              <w:top w:val="nil"/>
              <w:left w:val="single" w:color="auto" w:sz="6" w:space="0"/>
              <w:bottom w:val="single" w:color="auto" w:sz="6" w:space="0"/>
              <w:right w:val="single" w:color="auto" w:sz="6" w:space="0"/>
            </w:tcBorders>
            <w:vAlign w:val="center"/>
          </w:tcPr>
          <w:p w14:paraId="47588DC0">
            <w:pPr>
              <w:pStyle w:val="3"/>
              <w:keepNext/>
              <w:spacing w:line="360" w:lineRule="auto"/>
              <w:ind w:left="63" w:right="63" w:firstLine="420" w:firstLineChars="200"/>
              <w:rPr>
                <w:rFonts w:ascii="宋体" w:hAnsi="宋体" w:cs="宋体"/>
                <w:color w:val="000000"/>
                <w:sz w:val="21"/>
                <w:szCs w:val="21"/>
                <w:highlight w:val="none"/>
              </w:rPr>
            </w:pPr>
          </w:p>
        </w:tc>
        <w:tc>
          <w:tcPr>
            <w:tcW w:w="894" w:type="dxa"/>
            <w:tcBorders>
              <w:top w:val="nil"/>
              <w:left w:val="single" w:color="auto" w:sz="6" w:space="0"/>
              <w:bottom w:val="single" w:color="auto" w:sz="6" w:space="0"/>
              <w:right w:val="single" w:color="auto" w:sz="12" w:space="0"/>
            </w:tcBorders>
            <w:vAlign w:val="center"/>
          </w:tcPr>
          <w:p w14:paraId="159DDA08">
            <w:pPr>
              <w:pStyle w:val="3"/>
              <w:keepNext/>
              <w:spacing w:line="360" w:lineRule="auto"/>
              <w:ind w:left="63" w:right="63" w:firstLine="420" w:firstLineChars="200"/>
              <w:rPr>
                <w:rFonts w:ascii="宋体" w:hAnsi="宋体" w:cs="宋体"/>
                <w:color w:val="000000"/>
                <w:sz w:val="21"/>
                <w:szCs w:val="21"/>
                <w:highlight w:val="none"/>
              </w:rPr>
            </w:pPr>
          </w:p>
        </w:tc>
      </w:tr>
      <w:tr w14:paraId="08215F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90" w:type="dxa"/>
            <w:tcBorders>
              <w:top w:val="single" w:color="auto" w:sz="6" w:space="0"/>
              <w:left w:val="single" w:color="auto" w:sz="12" w:space="0"/>
              <w:bottom w:val="single" w:color="auto" w:sz="12" w:space="0"/>
              <w:right w:val="single" w:color="auto" w:sz="6" w:space="0"/>
            </w:tcBorders>
            <w:vAlign w:val="center"/>
          </w:tcPr>
          <w:p w14:paraId="7851DDE3">
            <w:pPr>
              <w:pStyle w:val="3"/>
              <w:keepNext/>
              <w:spacing w:line="360" w:lineRule="auto"/>
              <w:ind w:left="63" w:right="63" w:firstLine="420" w:firstLineChars="200"/>
              <w:rPr>
                <w:rFonts w:ascii="宋体" w:hAnsi="宋体" w:cs="宋体"/>
                <w:color w:val="000000"/>
                <w:sz w:val="21"/>
                <w:szCs w:val="21"/>
                <w:highlight w:val="none"/>
              </w:rPr>
            </w:pPr>
          </w:p>
        </w:tc>
        <w:tc>
          <w:tcPr>
            <w:tcW w:w="839" w:type="dxa"/>
            <w:tcBorders>
              <w:top w:val="single" w:color="auto" w:sz="6" w:space="0"/>
              <w:left w:val="single" w:color="auto" w:sz="6" w:space="0"/>
              <w:bottom w:val="single" w:color="auto" w:sz="12" w:space="0"/>
              <w:right w:val="single" w:color="auto" w:sz="6" w:space="0"/>
            </w:tcBorders>
            <w:vAlign w:val="center"/>
          </w:tcPr>
          <w:p w14:paraId="2398627D">
            <w:pPr>
              <w:pStyle w:val="3"/>
              <w:keepNext/>
              <w:spacing w:line="360" w:lineRule="auto"/>
              <w:ind w:left="63" w:right="63" w:firstLine="420" w:firstLineChars="200"/>
              <w:rPr>
                <w:rFonts w:ascii="宋体" w:hAnsi="宋体" w:cs="宋体"/>
                <w:color w:val="000000"/>
                <w:sz w:val="21"/>
                <w:szCs w:val="21"/>
                <w:highlight w:val="none"/>
              </w:rPr>
            </w:pPr>
          </w:p>
        </w:tc>
        <w:tc>
          <w:tcPr>
            <w:tcW w:w="915" w:type="dxa"/>
            <w:tcBorders>
              <w:top w:val="single" w:color="auto" w:sz="6" w:space="0"/>
              <w:left w:val="single" w:color="auto" w:sz="6" w:space="0"/>
              <w:bottom w:val="single" w:color="auto" w:sz="12" w:space="0"/>
              <w:right w:val="single" w:color="auto" w:sz="6" w:space="0"/>
            </w:tcBorders>
            <w:vAlign w:val="center"/>
          </w:tcPr>
          <w:p w14:paraId="0E71E9A4">
            <w:pPr>
              <w:pStyle w:val="3"/>
              <w:keepNext/>
              <w:spacing w:line="360" w:lineRule="auto"/>
              <w:ind w:left="63" w:right="63" w:firstLine="420" w:firstLineChars="200"/>
              <w:rPr>
                <w:rFonts w:ascii="宋体" w:hAnsi="宋体" w:cs="宋体"/>
                <w:color w:val="000000"/>
                <w:sz w:val="21"/>
                <w:szCs w:val="21"/>
                <w:highlight w:val="none"/>
              </w:rPr>
            </w:pPr>
          </w:p>
        </w:tc>
        <w:tc>
          <w:tcPr>
            <w:tcW w:w="833" w:type="dxa"/>
            <w:tcBorders>
              <w:top w:val="single" w:color="auto" w:sz="6" w:space="0"/>
              <w:left w:val="single" w:color="auto" w:sz="6" w:space="0"/>
              <w:bottom w:val="single" w:color="auto" w:sz="12" w:space="0"/>
              <w:right w:val="single" w:color="auto" w:sz="6" w:space="0"/>
            </w:tcBorders>
            <w:vAlign w:val="center"/>
          </w:tcPr>
          <w:p w14:paraId="5B5ED78E">
            <w:pPr>
              <w:pStyle w:val="3"/>
              <w:keepNext/>
              <w:spacing w:line="360" w:lineRule="auto"/>
              <w:ind w:left="63" w:right="63" w:firstLine="420" w:firstLineChars="200"/>
              <w:rPr>
                <w:rFonts w:ascii="宋体" w:hAnsi="宋体" w:cs="宋体"/>
                <w:color w:val="000000"/>
                <w:sz w:val="21"/>
                <w:szCs w:val="21"/>
                <w:highlight w:val="none"/>
              </w:rPr>
            </w:pPr>
          </w:p>
        </w:tc>
        <w:tc>
          <w:tcPr>
            <w:tcW w:w="505" w:type="dxa"/>
            <w:tcBorders>
              <w:top w:val="single" w:color="auto" w:sz="6" w:space="0"/>
              <w:left w:val="single" w:color="auto" w:sz="6" w:space="0"/>
              <w:bottom w:val="single" w:color="auto" w:sz="12" w:space="0"/>
              <w:right w:val="single" w:color="auto" w:sz="6" w:space="0"/>
            </w:tcBorders>
            <w:vAlign w:val="center"/>
          </w:tcPr>
          <w:p w14:paraId="313E53BA">
            <w:pPr>
              <w:pStyle w:val="3"/>
              <w:keepNext/>
              <w:spacing w:line="360" w:lineRule="auto"/>
              <w:ind w:left="63" w:right="63" w:firstLine="420" w:firstLineChars="200"/>
              <w:rPr>
                <w:rFonts w:ascii="宋体" w:hAnsi="宋体" w:cs="宋体"/>
                <w:color w:val="000000"/>
                <w:sz w:val="21"/>
                <w:szCs w:val="21"/>
                <w:highlight w:val="none"/>
              </w:rPr>
            </w:pPr>
          </w:p>
        </w:tc>
        <w:tc>
          <w:tcPr>
            <w:tcW w:w="744" w:type="dxa"/>
            <w:tcBorders>
              <w:top w:val="single" w:color="auto" w:sz="6" w:space="0"/>
              <w:left w:val="single" w:color="auto" w:sz="6" w:space="0"/>
              <w:bottom w:val="single" w:color="auto" w:sz="12" w:space="0"/>
              <w:right w:val="single" w:color="auto" w:sz="6" w:space="0"/>
            </w:tcBorders>
            <w:vAlign w:val="center"/>
          </w:tcPr>
          <w:p w14:paraId="14D942C2">
            <w:pPr>
              <w:pStyle w:val="3"/>
              <w:keepNext/>
              <w:spacing w:line="360" w:lineRule="auto"/>
              <w:ind w:left="63" w:right="63" w:firstLine="420" w:firstLineChars="200"/>
              <w:rPr>
                <w:rFonts w:ascii="宋体" w:hAnsi="宋体" w:cs="宋体"/>
                <w:color w:val="000000"/>
                <w:sz w:val="21"/>
                <w:szCs w:val="21"/>
                <w:highlight w:val="none"/>
              </w:rPr>
            </w:pPr>
          </w:p>
        </w:tc>
        <w:tc>
          <w:tcPr>
            <w:tcW w:w="1057" w:type="dxa"/>
            <w:tcBorders>
              <w:top w:val="single" w:color="auto" w:sz="6" w:space="0"/>
              <w:left w:val="single" w:color="auto" w:sz="6" w:space="0"/>
              <w:bottom w:val="single" w:color="auto" w:sz="12" w:space="0"/>
              <w:right w:val="single" w:color="auto" w:sz="6" w:space="0"/>
            </w:tcBorders>
            <w:vAlign w:val="center"/>
          </w:tcPr>
          <w:p w14:paraId="1AEC0406">
            <w:pPr>
              <w:pStyle w:val="3"/>
              <w:keepNext/>
              <w:spacing w:line="360" w:lineRule="auto"/>
              <w:ind w:left="63" w:right="63" w:firstLine="420" w:firstLineChars="200"/>
              <w:rPr>
                <w:rFonts w:ascii="宋体" w:hAnsi="宋体" w:cs="宋体"/>
                <w:color w:val="000000"/>
                <w:sz w:val="21"/>
                <w:szCs w:val="21"/>
                <w:highlight w:val="none"/>
              </w:rPr>
            </w:pPr>
          </w:p>
        </w:tc>
        <w:tc>
          <w:tcPr>
            <w:tcW w:w="1171" w:type="dxa"/>
            <w:tcBorders>
              <w:top w:val="single" w:color="auto" w:sz="6" w:space="0"/>
              <w:left w:val="single" w:color="auto" w:sz="6" w:space="0"/>
              <w:bottom w:val="single" w:color="auto" w:sz="12" w:space="0"/>
              <w:right w:val="single" w:color="auto" w:sz="6" w:space="0"/>
            </w:tcBorders>
            <w:vAlign w:val="center"/>
          </w:tcPr>
          <w:p w14:paraId="20301A96">
            <w:pPr>
              <w:pStyle w:val="3"/>
              <w:keepNext/>
              <w:spacing w:line="360" w:lineRule="auto"/>
              <w:ind w:left="63" w:right="63" w:firstLine="420" w:firstLineChars="200"/>
              <w:rPr>
                <w:rFonts w:ascii="宋体" w:hAnsi="宋体" w:cs="宋体"/>
                <w:color w:val="000000"/>
                <w:sz w:val="21"/>
                <w:szCs w:val="21"/>
                <w:highlight w:val="none"/>
              </w:rPr>
            </w:pPr>
          </w:p>
        </w:tc>
        <w:tc>
          <w:tcPr>
            <w:tcW w:w="824" w:type="dxa"/>
            <w:tcBorders>
              <w:top w:val="single" w:color="auto" w:sz="6" w:space="0"/>
              <w:left w:val="single" w:color="auto" w:sz="6" w:space="0"/>
              <w:bottom w:val="single" w:color="auto" w:sz="12" w:space="0"/>
              <w:right w:val="single" w:color="auto" w:sz="6" w:space="0"/>
            </w:tcBorders>
            <w:vAlign w:val="center"/>
          </w:tcPr>
          <w:p w14:paraId="16CFA745">
            <w:pPr>
              <w:pStyle w:val="3"/>
              <w:keepNext/>
              <w:spacing w:line="360" w:lineRule="auto"/>
              <w:ind w:left="63" w:right="63" w:firstLine="420" w:firstLineChars="200"/>
              <w:rPr>
                <w:rFonts w:ascii="宋体" w:hAnsi="宋体" w:cs="宋体"/>
                <w:color w:val="000000"/>
                <w:sz w:val="21"/>
                <w:szCs w:val="21"/>
                <w:highlight w:val="none"/>
              </w:rPr>
            </w:pPr>
          </w:p>
        </w:tc>
        <w:tc>
          <w:tcPr>
            <w:tcW w:w="894" w:type="dxa"/>
            <w:tcBorders>
              <w:top w:val="single" w:color="auto" w:sz="6" w:space="0"/>
              <w:left w:val="single" w:color="auto" w:sz="6" w:space="0"/>
              <w:bottom w:val="single" w:color="auto" w:sz="12" w:space="0"/>
              <w:right w:val="single" w:color="auto" w:sz="12" w:space="0"/>
            </w:tcBorders>
            <w:vAlign w:val="center"/>
          </w:tcPr>
          <w:p w14:paraId="456EDD9F">
            <w:pPr>
              <w:pStyle w:val="3"/>
              <w:keepNext/>
              <w:spacing w:line="360" w:lineRule="auto"/>
              <w:ind w:left="63" w:right="63" w:firstLine="420" w:firstLineChars="200"/>
              <w:rPr>
                <w:rFonts w:ascii="宋体" w:hAnsi="宋体" w:cs="宋体"/>
                <w:color w:val="000000"/>
                <w:sz w:val="21"/>
                <w:szCs w:val="21"/>
                <w:highlight w:val="none"/>
              </w:rPr>
            </w:pPr>
          </w:p>
        </w:tc>
      </w:tr>
    </w:tbl>
    <w:p w14:paraId="28B1F1FD">
      <w:pPr>
        <w:widowControl/>
        <w:spacing w:line="360" w:lineRule="auto"/>
        <w:ind w:firstLine="420" w:firstLineChars="200"/>
        <w:jc w:val="left"/>
        <w:rPr>
          <w:rFonts w:ascii="宋体" w:hAnsi="宋体" w:cs="宋体"/>
          <w:b/>
          <w:color w:val="000000"/>
          <w:sz w:val="21"/>
          <w:szCs w:val="21"/>
          <w:highlight w:val="none"/>
        </w:rPr>
        <w:sectPr>
          <w:pgSz w:w="11906" w:h="16838"/>
          <w:pgMar w:top="1418" w:right="1531" w:bottom="1418" w:left="1554" w:header="851" w:footer="992" w:gutter="0"/>
          <w:pgNumType w:fmt="decimal"/>
          <w:cols w:space="720" w:num="1"/>
          <w:docGrid w:type="linesAndChars" w:linePitch="312" w:charSpace="0"/>
        </w:sectPr>
      </w:pPr>
    </w:p>
    <w:p w14:paraId="453AADC0">
      <w:pPr>
        <w:spacing w:line="360" w:lineRule="auto"/>
        <w:rPr>
          <w:rFonts w:ascii="宋体" w:hAnsi="宋体" w:cs="宋体"/>
          <w:color w:val="000000"/>
          <w:sz w:val="21"/>
          <w:szCs w:val="21"/>
          <w:highlight w:val="none"/>
        </w:rPr>
      </w:pPr>
      <w:r>
        <w:rPr>
          <w:rFonts w:hint="eastAsia" w:ascii="宋体" w:hAnsi="宋体" w:cs="宋体"/>
          <w:color w:val="000000"/>
          <w:sz w:val="21"/>
          <w:szCs w:val="21"/>
          <w:highlight w:val="none"/>
        </w:rPr>
        <w:t>附件2：</w:t>
      </w:r>
    </w:p>
    <w:p w14:paraId="55084BA8">
      <w:pPr>
        <w:spacing w:line="360" w:lineRule="auto"/>
        <w:ind w:firstLine="422" w:firstLineChars="200"/>
        <w:jc w:val="center"/>
        <w:rPr>
          <w:rFonts w:ascii="宋体" w:hAnsi="宋体" w:cs="宋体"/>
          <w:b/>
          <w:color w:val="000000"/>
          <w:sz w:val="21"/>
          <w:szCs w:val="21"/>
          <w:highlight w:val="none"/>
        </w:rPr>
      </w:pPr>
      <w:r>
        <w:rPr>
          <w:rFonts w:hint="eastAsia" w:ascii="宋体" w:hAnsi="宋体" w:cs="宋体"/>
          <w:b/>
          <w:color w:val="000000"/>
          <w:sz w:val="21"/>
          <w:szCs w:val="21"/>
          <w:highlight w:val="none"/>
        </w:rPr>
        <w:t>工程质量保修书</w:t>
      </w:r>
    </w:p>
    <w:p w14:paraId="4B6FF87D">
      <w:pPr>
        <w:spacing w:line="360" w:lineRule="auto"/>
        <w:ind w:firstLine="422" w:firstLineChars="200"/>
        <w:rPr>
          <w:rFonts w:ascii="宋体" w:hAnsi="宋体" w:cs="宋体"/>
          <w:color w:val="000000"/>
          <w:sz w:val="21"/>
          <w:szCs w:val="21"/>
          <w:highlight w:val="none"/>
        </w:rPr>
      </w:pPr>
      <w:r>
        <w:rPr>
          <w:rFonts w:hint="eastAsia" w:ascii="宋体" w:hAnsi="宋体" w:cs="宋体"/>
          <w:b/>
          <w:color w:val="000000"/>
          <w:sz w:val="21"/>
          <w:szCs w:val="21"/>
          <w:highlight w:val="none"/>
        </w:rPr>
        <w:t>发包人（全称）</w:t>
      </w:r>
      <w:r>
        <w:rPr>
          <w:rFonts w:hint="eastAsia" w:ascii="宋体" w:hAnsi="宋体" w:cs="宋体"/>
          <w:color w:val="000000"/>
          <w:sz w:val="21"/>
          <w:szCs w:val="21"/>
          <w:highlight w:val="none"/>
        </w:rPr>
        <w:t>：</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u w:val="single"/>
          <w:lang w:eastAsia="zh-CN"/>
        </w:rPr>
        <w:t>西安市第一社会福利院</w:t>
      </w:r>
    </w:p>
    <w:p w14:paraId="4733DCEA">
      <w:pPr>
        <w:spacing w:line="360" w:lineRule="auto"/>
        <w:ind w:firstLine="422" w:firstLineChars="200"/>
        <w:rPr>
          <w:rFonts w:ascii="宋体" w:hAnsi="宋体" w:cs="宋体"/>
          <w:color w:val="000000"/>
          <w:sz w:val="21"/>
          <w:szCs w:val="21"/>
          <w:highlight w:val="none"/>
        </w:rPr>
      </w:pPr>
      <w:r>
        <w:rPr>
          <w:rFonts w:hint="eastAsia" w:ascii="宋体" w:hAnsi="宋体" w:cs="宋体"/>
          <w:b/>
          <w:color w:val="000000"/>
          <w:sz w:val="21"/>
          <w:szCs w:val="21"/>
          <w:highlight w:val="none"/>
        </w:rPr>
        <w:t>承包人（全称）</w:t>
      </w:r>
      <w:r>
        <w:rPr>
          <w:rFonts w:hint="eastAsia" w:ascii="宋体" w:hAnsi="宋体" w:cs="宋体"/>
          <w:color w:val="000000"/>
          <w:sz w:val="21"/>
          <w:szCs w:val="21"/>
          <w:highlight w:val="none"/>
        </w:rPr>
        <w:t>：</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u w:val="single"/>
          <w:lang w:val="en-US" w:eastAsia="zh-CN"/>
        </w:rPr>
        <w:t xml:space="preserve">                   </w:t>
      </w:r>
      <w:r>
        <w:rPr>
          <w:rFonts w:hint="eastAsia" w:ascii="宋体" w:hAnsi="宋体" w:cs="宋体"/>
          <w:color w:val="000000"/>
          <w:sz w:val="21"/>
          <w:szCs w:val="21"/>
          <w:highlight w:val="none"/>
          <w:u w:val="single"/>
        </w:rPr>
        <w:t xml:space="preserve"> </w:t>
      </w:r>
    </w:p>
    <w:p w14:paraId="739F9FE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　　发包人和承包人根据《中华人民共和国建筑法》和《建设工程质量管理条例》，经协商一致就</w:t>
      </w:r>
      <w:r>
        <w:rPr>
          <w:rFonts w:hint="eastAsia" w:ascii="宋体" w:hAnsi="宋体" w:cs="宋体"/>
          <w:color w:val="000000"/>
          <w:sz w:val="21"/>
          <w:szCs w:val="21"/>
          <w:highlight w:val="none"/>
          <w:lang w:eastAsia="zh-CN"/>
        </w:rPr>
        <w:t>消防维修提升项目</w:t>
      </w:r>
      <w:r>
        <w:rPr>
          <w:rFonts w:hint="eastAsia" w:ascii="宋体" w:hAnsi="宋体" w:cs="宋体"/>
          <w:color w:val="000000"/>
          <w:sz w:val="21"/>
          <w:szCs w:val="21"/>
          <w:highlight w:val="none"/>
        </w:rPr>
        <w:t>签订工程质量保修书。</w:t>
      </w:r>
    </w:p>
    <w:p w14:paraId="61CB6446">
      <w:pPr>
        <w:spacing w:line="360" w:lineRule="auto"/>
        <w:ind w:firstLine="422" w:firstLineChars="200"/>
        <w:rPr>
          <w:rFonts w:ascii="宋体" w:hAnsi="宋体" w:cs="宋体"/>
          <w:b/>
          <w:color w:val="000000"/>
          <w:sz w:val="21"/>
          <w:szCs w:val="21"/>
          <w:highlight w:val="none"/>
        </w:rPr>
      </w:pPr>
      <w:r>
        <w:rPr>
          <w:rFonts w:hint="eastAsia" w:ascii="宋体" w:hAnsi="宋体" w:cs="宋体"/>
          <w:b/>
          <w:color w:val="000000"/>
          <w:sz w:val="21"/>
          <w:szCs w:val="21"/>
          <w:highlight w:val="none"/>
        </w:rPr>
        <w:t>一、工程质量保修范围和内容</w:t>
      </w:r>
    </w:p>
    <w:p w14:paraId="0D10CFE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承包人在质量保修期内，按照有关法律规定和合同约定，承担工程质量保修责任。</w:t>
      </w:r>
    </w:p>
    <w:p w14:paraId="5415920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质量保修范围包括设备、管道、安装和装修工程，以及双方约定的其他项目。具体保修的内容，双方约定如下：</w:t>
      </w:r>
    </w:p>
    <w:p w14:paraId="60152B45">
      <w:pPr>
        <w:spacing w:line="360" w:lineRule="auto"/>
        <w:ind w:firstLine="420" w:firstLineChars="200"/>
        <w:rPr>
          <w:rFonts w:ascii="宋体" w:hAnsi="宋体" w:cs="宋体"/>
          <w:bCs/>
          <w:color w:val="000000"/>
          <w:sz w:val="21"/>
          <w:szCs w:val="21"/>
          <w:highlight w:val="none"/>
          <w:u w:val="single"/>
        </w:rPr>
      </w:pPr>
      <w:r>
        <w:rPr>
          <w:rFonts w:hint="eastAsia" w:ascii="宋体" w:hAnsi="宋体" w:cs="宋体"/>
          <w:bCs/>
          <w:color w:val="000000"/>
          <w:sz w:val="21"/>
          <w:szCs w:val="21"/>
          <w:highlight w:val="none"/>
          <w:u w:val="single"/>
        </w:rPr>
        <w:t>对承包人承包施工的内容进行保修，凡属承包人施工质量问题引起的维修，均由承包人负责保修。因发包人或业主使用不当造成的返修费用由责任方负担。</w:t>
      </w:r>
    </w:p>
    <w:p w14:paraId="7E752290">
      <w:pPr>
        <w:spacing w:line="360" w:lineRule="auto"/>
        <w:ind w:firstLine="422" w:firstLineChars="200"/>
        <w:rPr>
          <w:rFonts w:ascii="宋体" w:hAnsi="宋体" w:cs="宋体"/>
          <w:b/>
          <w:color w:val="000000"/>
          <w:sz w:val="21"/>
          <w:szCs w:val="21"/>
          <w:highlight w:val="none"/>
        </w:rPr>
      </w:pPr>
      <w:r>
        <w:rPr>
          <w:rFonts w:hint="eastAsia" w:ascii="宋体" w:hAnsi="宋体" w:cs="宋体"/>
          <w:b/>
          <w:color w:val="000000"/>
          <w:sz w:val="21"/>
          <w:szCs w:val="21"/>
          <w:highlight w:val="none"/>
        </w:rPr>
        <w:t>二、质量保修期</w:t>
      </w:r>
    </w:p>
    <w:p w14:paraId="22B08F5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根据《建设工程质量管理条例》及有关规定，工程的质量保修期如下：</w:t>
      </w:r>
    </w:p>
    <w:p w14:paraId="53BF3D0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 xml:space="preserve">1．地基基础工程和主体结构工程为工程合理使用年限； </w:t>
      </w:r>
    </w:p>
    <w:p w14:paraId="44318B7F">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2．屋面防水工程、有防水要求的房间和外墙面的防渗为</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u w:val="single"/>
          <w:lang w:val="en-US" w:eastAsia="zh-CN"/>
        </w:rPr>
        <w:t>5</w:t>
      </w: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年；</w:t>
      </w:r>
    </w:p>
    <w:p w14:paraId="3AF17B4E">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3．装修工程为</w:t>
      </w:r>
      <w:r>
        <w:rPr>
          <w:rFonts w:hint="eastAsia" w:ascii="宋体" w:hAnsi="宋体" w:cs="宋体"/>
          <w:color w:val="000000"/>
          <w:sz w:val="21"/>
          <w:szCs w:val="21"/>
          <w:highlight w:val="none"/>
          <w:u w:val="single"/>
        </w:rPr>
        <w:t xml:space="preserve"> 2 </w:t>
      </w:r>
      <w:r>
        <w:rPr>
          <w:rFonts w:hint="eastAsia" w:ascii="宋体" w:hAnsi="宋体" w:cs="宋体"/>
          <w:color w:val="000000"/>
          <w:sz w:val="21"/>
          <w:szCs w:val="21"/>
          <w:highlight w:val="none"/>
        </w:rPr>
        <w:t>年；</w:t>
      </w:r>
    </w:p>
    <w:p w14:paraId="2AC9FBAB">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4．电气管线、给排水管道、设备安装工程为</w:t>
      </w:r>
      <w:r>
        <w:rPr>
          <w:rFonts w:hint="eastAsia" w:ascii="宋体" w:hAnsi="宋体" w:cs="宋体"/>
          <w:color w:val="000000"/>
          <w:sz w:val="21"/>
          <w:szCs w:val="21"/>
          <w:highlight w:val="none"/>
          <w:u w:val="single"/>
        </w:rPr>
        <w:t xml:space="preserve"> 2</w:t>
      </w:r>
      <w:r>
        <w:rPr>
          <w:rFonts w:hint="eastAsia" w:ascii="宋体" w:hAnsi="宋体" w:cs="宋体"/>
          <w:color w:val="000000"/>
          <w:sz w:val="21"/>
          <w:szCs w:val="21"/>
          <w:highlight w:val="none"/>
        </w:rPr>
        <w:t>年；</w:t>
      </w:r>
    </w:p>
    <w:p w14:paraId="76F2141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5．其他项目保修期限约定为:质量保修期自工程竣工验收合格之日起计算。</w:t>
      </w:r>
    </w:p>
    <w:p w14:paraId="4BCA4510">
      <w:pPr>
        <w:spacing w:line="360" w:lineRule="auto"/>
        <w:ind w:firstLine="422" w:firstLineChars="200"/>
        <w:rPr>
          <w:rFonts w:ascii="宋体" w:hAnsi="宋体" w:cs="宋体"/>
          <w:b/>
          <w:color w:val="000000"/>
          <w:sz w:val="21"/>
          <w:szCs w:val="21"/>
          <w:highlight w:val="none"/>
        </w:rPr>
      </w:pPr>
      <w:r>
        <w:rPr>
          <w:rFonts w:hint="eastAsia" w:ascii="宋体" w:hAnsi="宋体" w:cs="宋体"/>
          <w:b/>
          <w:color w:val="000000"/>
          <w:sz w:val="21"/>
          <w:szCs w:val="21"/>
          <w:highlight w:val="none"/>
        </w:rPr>
        <w:t>三、缺陷责任期</w:t>
      </w:r>
    </w:p>
    <w:p w14:paraId="1326184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工程缺陷责任期为</w:t>
      </w:r>
      <w:r>
        <w:rPr>
          <w:rFonts w:hint="eastAsia" w:ascii="宋体" w:hAnsi="宋体" w:cs="宋体"/>
          <w:color w:val="000000"/>
          <w:sz w:val="21"/>
          <w:szCs w:val="21"/>
          <w:highlight w:val="none"/>
          <w:u w:val="single"/>
        </w:rPr>
        <w:t xml:space="preserve"> 24 </w:t>
      </w:r>
      <w:r>
        <w:rPr>
          <w:rFonts w:hint="eastAsia" w:ascii="宋体" w:hAnsi="宋体" w:cs="宋体"/>
          <w:color w:val="000000"/>
          <w:sz w:val="21"/>
          <w:szCs w:val="21"/>
          <w:highlight w:val="none"/>
        </w:rPr>
        <w:t>个月，缺陷责任期自工程实际竣工之日起计算。单位工程先于全部工程进行验收，单位工程缺陷责任期自单位工程验收合格之日起算。</w:t>
      </w:r>
    </w:p>
    <w:p w14:paraId="437BB7FD">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缺陷责任期终止后，</w:t>
      </w:r>
      <w:r>
        <w:rPr>
          <w:rFonts w:hint="eastAsia" w:ascii="宋体" w:hAnsi="宋体" w:cs="宋体"/>
          <w:color w:val="000000"/>
          <w:sz w:val="21"/>
          <w:szCs w:val="21"/>
          <w:highlight w:val="none"/>
          <w:lang w:eastAsia="zh-CN"/>
        </w:rPr>
        <w:t>若无质量问题，</w:t>
      </w:r>
      <w:r>
        <w:rPr>
          <w:rFonts w:hint="eastAsia" w:ascii="宋体" w:hAnsi="宋体" w:cs="宋体"/>
          <w:color w:val="000000"/>
          <w:sz w:val="21"/>
          <w:szCs w:val="21"/>
          <w:highlight w:val="none"/>
        </w:rPr>
        <w:t>发包人应退还剩余的质量保证金(不计利息)。</w:t>
      </w:r>
    </w:p>
    <w:p w14:paraId="73CFEB81">
      <w:pPr>
        <w:spacing w:line="360" w:lineRule="auto"/>
        <w:ind w:firstLine="422" w:firstLineChars="200"/>
        <w:rPr>
          <w:rFonts w:ascii="宋体" w:hAnsi="宋体" w:cs="宋体"/>
          <w:b/>
          <w:color w:val="000000"/>
          <w:sz w:val="21"/>
          <w:szCs w:val="21"/>
          <w:highlight w:val="none"/>
        </w:rPr>
      </w:pPr>
      <w:r>
        <w:rPr>
          <w:rFonts w:hint="eastAsia" w:ascii="宋体" w:hAnsi="宋体" w:cs="宋体"/>
          <w:b/>
          <w:color w:val="000000"/>
          <w:sz w:val="21"/>
          <w:szCs w:val="21"/>
          <w:highlight w:val="none"/>
        </w:rPr>
        <w:t>四、质量保修责任</w:t>
      </w:r>
    </w:p>
    <w:p w14:paraId="157DD6EF">
      <w:pPr>
        <w:spacing w:line="360" w:lineRule="auto"/>
        <w:ind w:left="105" w:leftChars="50"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1．属于保修范围、内容的项目，承包人应当在接到保修通知之日起7天内派人保修。承包人不在约定期限内派人保修的，发包人可以委托他人修理。</w:t>
      </w:r>
    </w:p>
    <w:p w14:paraId="577AA5F9">
      <w:pPr>
        <w:spacing w:line="360" w:lineRule="auto"/>
        <w:ind w:left="105" w:leftChars="50"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2．发生紧急事故需抢修的，承包人在接到事故通知后，应当立即到达事故现场抢修。</w:t>
      </w:r>
    </w:p>
    <w:p w14:paraId="20D0890B">
      <w:pPr>
        <w:spacing w:line="360" w:lineRule="auto"/>
        <w:ind w:left="105" w:leftChars="50" w:firstLine="420" w:firstLineChars="200"/>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rPr>
        <w:t>3．对于涉及结构安全的质量问题，应当按照《建设工程质量管理条例》的规定，立即向当地建设行政主管部门和有关部门报告，采取安全防范措施，并由原设计人或</w:t>
      </w:r>
      <w:r>
        <w:rPr>
          <w:rFonts w:hint="eastAsia" w:ascii="宋体" w:hAnsi="宋体" w:eastAsia="宋体" w:cs="宋体"/>
          <w:color w:val="000000"/>
          <w:sz w:val="21"/>
          <w:szCs w:val="21"/>
          <w:highlight w:val="none"/>
        </w:rPr>
        <w:t>者具有相应资质等级的设计人提出保修方案，承包人实施保修。</w:t>
      </w:r>
    </w:p>
    <w:p w14:paraId="2CAE14E0">
      <w:pPr>
        <w:spacing w:line="360" w:lineRule="auto"/>
        <w:ind w:left="105" w:leftChars="50"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4．质量保修完成后，由发包人组织验收。</w:t>
      </w:r>
    </w:p>
    <w:p w14:paraId="1EDD2242">
      <w:pPr>
        <w:spacing w:line="360" w:lineRule="auto"/>
        <w:ind w:left="105" w:leftChars="50" w:firstLine="422" w:firstLineChars="200"/>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五、保修费用</w:t>
      </w:r>
    </w:p>
    <w:p w14:paraId="48779049">
      <w:pPr>
        <w:spacing w:line="360" w:lineRule="auto"/>
        <w:ind w:left="105" w:leftChars="50"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质量保证金为审计后总工程款的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，保修费用由承包人承担。</w:t>
      </w:r>
    </w:p>
    <w:p w14:paraId="22ED4EC1">
      <w:pPr>
        <w:spacing w:line="360" w:lineRule="auto"/>
        <w:ind w:left="105" w:leftChars="50" w:firstLine="422" w:firstLineChars="200"/>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六、双方约定的其他工程质量保修事项</w:t>
      </w:r>
    </w:p>
    <w:p w14:paraId="24F8587D">
      <w:pPr>
        <w:spacing w:line="360" w:lineRule="auto"/>
        <w:ind w:left="105" w:leftChars="50" w:firstLine="420" w:firstLineChars="200"/>
        <w:rPr>
          <w:rFonts w:ascii="宋体" w:hAnsi="宋体" w:cs="宋体"/>
          <w:color w:val="000000"/>
          <w:sz w:val="21"/>
          <w:szCs w:val="21"/>
          <w:highlight w:val="none"/>
          <w:u w:val="single"/>
        </w:rPr>
      </w:pPr>
      <w:r>
        <w:rPr>
          <w:rFonts w:hint="eastAsia" w:ascii="宋体" w:hAnsi="宋体" w:eastAsia="宋体" w:cs="宋体"/>
          <w:color w:val="000000"/>
          <w:sz w:val="21"/>
          <w:szCs w:val="21"/>
          <w:highlight w:val="none"/>
        </w:rPr>
        <w:t>承包人应在质量保修期满后提出保证金退付申请， 并经发包人审批后方可作为保修金支付的凭证，质量</w:t>
      </w:r>
      <w:r>
        <w:rPr>
          <w:rFonts w:hint="eastAsia" w:ascii="宋体" w:hAnsi="宋体" w:cs="宋体"/>
          <w:color w:val="000000"/>
          <w:sz w:val="21"/>
          <w:szCs w:val="21"/>
          <w:highlight w:val="none"/>
          <w:u w:val="single"/>
        </w:rPr>
        <w:t>保证金不计利息。</w:t>
      </w:r>
    </w:p>
    <w:p w14:paraId="49B8F4FA">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工程质量保修书由发包人、承包人在工程竣工验收前共同签署，作为施工合同附件，其有效期限至保修期满。</w:t>
      </w:r>
    </w:p>
    <w:p w14:paraId="7E302B1B">
      <w:pPr>
        <w:spacing w:line="360" w:lineRule="auto"/>
        <w:ind w:firstLine="420" w:firstLineChars="200"/>
        <w:rPr>
          <w:rFonts w:ascii="宋体" w:hAnsi="宋体" w:cs="宋体"/>
          <w:color w:val="000000"/>
          <w:sz w:val="21"/>
          <w:szCs w:val="21"/>
          <w:highlight w:val="none"/>
        </w:rPr>
      </w:pPr>
    </w:p>
    <w:p w14:paraId="38A1C61B">
      <w:pPr>
        <w:spacing w:line="360" w:lineRule="auto"/>
        <w:ind w:firstLine="420" w:firstLineChars="200"/>
        <w:rPr>
          <w:rFonts w:ascii="宋体" w:hAnsi="宋体" w:cs="宋体"/>
          <w:color w:val="000000"/>
          <w:sz w:val="21"/>
          <w:szCs w:val="21"/>
          <w:highlight w:val="none"/>
        </w:rPr>
      </w:pPr>
    </w:p>
    <w:p w14:paraId="5C8103A9">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发包人：                         承包人：</w:t>
      </w:r>
    </w:p>
    <w:p w14:paraId="4AAD145D">
      <w:pPr>
        <w:spacing w:line="360" w:lineRule="auto"/>
        <w:ind w:left="6960"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 xml:space="preserve"> </w:t>
      </w:r>
    </w:p>
    <w:p w14:paraId="3CB061D2">
      <w:pPr>
        <w:spacing w:line="360" w:lineRule="auto"/>
        <w:ind w:firstLine="420" w:firstLineChars="200"/>
        <w:rPr>
          <w:rFonts w:ascii="宋体" w:hAnsi="宋体" w:cs="宋体"/>
          <w:color w:val="000000"/>
          <w:sz w:val="21"/>
          <w:szCs w:val="21"/>
          <w:highlight w:val="none"/>
        </w:rPr>
      </w:pPr>
      <w:r>
        <w:rPr>
          <w:rFonts w:hint="eastAsia" w:ascii="宋体" w:hAnsi="宋体" w:cs="宋体"/>
          <w:color w:val="000000"/>
          <w:sz w:val="21"/>
          <w:szCs w:val="21"/>
          <w:highlight w:val="none"/>
        </w:rPr>
        <w:t>法定代表人（委托代理人）：       法定代表人（委托代理人）：</w:t>
      </w:r>
    </w:p>
    <w:p w14:paraId="017A8687">
      <w:pPr>
        <w:spacing w:line="360" w:lineRule="auto"/>
        <w:ind w:firstLine="420" w:firstLineChars="200"/>
        <w:rPr>
          <w:rFonts w:ascii="宋体" w:hAnsi="宋体" w:cs="宋体"/>
          <w:color w:val="000000"/>
          <w:sz w:val="21"/>
          <w:szCs w:val="21"/>
          <w:highlight w:val="none"/>
        </w:rPr>
      </w:pPr>
    </w:p>
    <w:p w14:paraId="13AB8461">
      <w:pPr>
        <w:spacing w:line="360" w:lineRule="auto"/>
        <w:ind w:firstLine="420" w:firstLineChars="200"/>
        <w:rPr>
          <w:rFonts w:ascii="宋体" w:hAnsi="宋体" w:cs="宋体"/>
          <w:sz w:val="21"/>
          <w:szCs w:val="21"/>
          <w:highlight w:val="none"/>
        </w:rPr>
      </w:pPr>
    </w:p>
    <w:p w14:paraId="6708B376">
      <w:pPr>
        <w:widowControl/>
        <w:spacing w:line="360" w:lineRule="auto"/>
        <w:ind w:firstLine="420" w:firstLineChars="200"/>
        <w:jc w:val="left"/>
        <w:rPr>
          <w:rFonts w:ascii="宋体" w:hAnsi="宋体" w:cs="宋体"/>
          <w:color w:val="000000"/>
          <w:sz w:val="21"/>
          <w:szCs w:val="21"/>
          <w:highlight w:val="none"/>
          <w:u w:val="single"/>
        </w:rPr>
      </w:pPr>
    </w:p>
    <w:p w14:paraId="2A56415F">
      <w:pPr>
        <w:widowControl/>
        <w:spacing w:line="360" w:lineRule="auto"/>
        <w:ind w:firstLine="5145" w:firstLineChars="2450"/>
        <w:jc w:val="left"/>
        <w:rPr>
          <w:rFonts w:ascii="宋体" w:hAnsi="宋体" w:cs="宋体"/>
          <w:color w:val="000000"/>
          <w:sz w:val="21"/>
          <w:szCs w:val="21"/>
          <w:highlight w:val="none"/>
        </w:rPr>
      </w:pPr>
      <w:r>
        <w:rPr>
          <w:rFonts w:hint="eastAsia" w:ascii="宋体" w:hAnsi="宋体" w:cs="宋体"/>
          <w:color w:val="000000"/>
          <w:sz w:val="21"/>
          <w:szCs w:val="21"/>
          <w:highlight w:val="none"/>
          <w:lang w:eastAsia="zh-CN"/>
        </w:rPr>
        <w:t>2025</w:t>
      </w:r>
      <w:r>
        <w:rPr>
          <w:rFonts w:hint="eastAsia" w:ascii="宋体" w:hAnsi="宋体" w:cs="宋体"/>
          <w:color w:val="000000"/>
          <w:sz w:val="21"/>
          <w:szCs w:val="21"/>
          <w:highlight w:val="none"/>
        </w:rPr>
        <w:t>年  月  日</w:t>
      </w:r>
    </w:p>
    <w:p w14:paraId="76978CF6">
      <w:pPr>
        <w:spacing w:line="360" w:lineRule="auto"/>
        <w:ind w:firstLine="420" w:firstLineChars="200"/>
        <w:rPr>
          <w:rFonts w:ascii="宋体" w:hAnsi="宋体" w:cs="宋体"/>
          <w:sz w:val="21"/>
          <w:szCs w:val="21"/>
          <w:highlight w:val="none"/>
        </w:rPr>
      </w:pPr>
    </w:p>
    <w:p w14:paraId="5C65BE5B">
      <w:pPr>
        <w:widowControl/>
        <w:spacing w:line="360" w:lineRule="auto"/>
        <w:ind w:firstLine="420" w:firstLineChars="200"/>
        <w:jc w:val="left"/>
        <w:rPr>
          <w:rFonts w:ascii="宋体" w:hAnsi="宋体" w:cs="宋体"/>
          <w:color w:val="000000"/>
          <w:sz w:val="21"/>
          <w:szCs w:val="21"/>
          <w:highlight w:val="none"/>
          <w:u w:val="single"/>
        </w:rPr>
      </w:pPr>
    </w:p>
    <w:p w14:paraId="0AB1423C">
      <w:pPr>
        <w:spacing w:line="360" w:lineRule="auto"/>
        <w:ind w:firstLine="420" w:firstLineChars="200"/>
        <w:rPr>
          <w:rFonts w:ascii="宋体" w:hAnsi="宋体" w:cs="宋体"/>
          <w:sz w:val="21"/>
          <w:szCs w:val="21"/>
          <w:highlight w:val="none"/>
        </w:rPr>
      </w:pPr>
    </w:p>
    <w:p w14:paraId="44A07404">
      <w:pPr>
        <w:spacing w:line="360" w:lineRule="auto"/>
        <w:ind w:firstLine="420" w:firstLineChars="200"/>
        <w:rPr>
          <w:rFonts w:ascii="宋体" w:hAnsi="宋体" w:cs="宋体"/>
          <w:sz w:val="21"/>
          <w:szCs w:val="21"/>
          <w:highlight w:val="none"/>
        </w:rPr>
      </w:pPr>
    </w:p>
    <w:p w14:paraId="27638E49">
      <w:pPr>
        <w:spacing w:line="360" w:lineRule="auto"/>
        <w:ind w:firstLine="420" w:firstLineChars="200"/>
        <w:rPr>
          <w:rFonts w:ascii="宋体" w:hAnsi="宋体" w:cs="宋体"/>
          <w:sz w:val="21"/>
          <w:szCs w:val="21"/>
          <w:highlight w:val="none"/>
        </w:rPr>
      </w:pPr>
    </w:p>
    <w:p w14:paraId="37BFDDD7">
      <w:pPr>
        <w:spacing w:line="360" w:lineRule="auto"/>
        <w:ind w:firstLine="420" w:firstLineChars="200"/>
        <w:rPr>
          <w:rFonts w:ascii="宋体" w:hAnsi="宋体" w:cs="宋体"/>
          <w:sz w:val="21"/>
          <w:szCs w:val="21"/>
          <w:highlight w:val="none"/>
        </w:rPr>
      </w:pPr>
    </w:p>
    <w:p w14:paraId="58754E04">
      <w:pPr>
        <w:spacing w:line="360" w:lineRule="auto"/>
        <w:rPr>
          <w:rFonts w:ascii="宋体" w:hAnsi="宋体" w:cs="宋体"/>
          <w:color w:val="000000"/>
          <w:sz w:val="21"/>
          <w:szCs w:val="21"/>
          <w:highlight w:val="none"/>
        </w:rPr>
      </w:pPr>
    </w:p>
    <w:p w14:paraId="11142FC5">
      <w:pPr>
        <w:spacing w:line="360" w:lineRule="auto"/>
        <w:ind w:firstLine="420" w:firstLineChars="200"/>
        <w:rPr>
          <w:rFonts w:ascii="宋体" w:hAnsi="宋体" w:cs="宋体"/>
          <w:color w:val="000000"/>
          <w:sz w:val="21"/>
          <w:szCs w:val="21"/>
          <w:highlight w:val="none"/>
        </w:rPr>
      </w:pPr>
    </w:p>
    <w:p w14:paraId="480B170A">
      <w:pPr>
        <w:rPr>
          <w:rFonts w:hint="eastAsia" w:ascii="宋体" w:hAnsi="宋体" w:cs="宋体"/>
          <w:color w:val="000000"/>
          <w:sz w:val="21"/>
          <w:szCs w:val="21"/>
          <w:highlight w:val="none"/>
        </w:rPr>
      </w:pPr>
      <w:r>
        <w:rPr>
          <w:rFonts w:hint="eastAsia" w:ascii="宋体" w:hAnsi="宋体" w:cs="宋体"/>
          <w:color w:val="000000"/>
          <w:sz w:val="21"/>
          <w:szCs w:val="21"/>
          <w:highlight w:val="none"/>
        </w:rPr>
        <w:br w:type="page"/>
      </w:r>
    </w:p>
    <w:p w14:paraId="32E785D6">
      <w:pPr>
        <w:spacing w:line="360" w:lineRule="auto"/>
        <w:rPr>
          <w:rFonts w:ascii="宋体" w:hAnsi="宋体" w:cs="宋体"/>
          <w:color w:val="000000"/>
          <w:sz w:val="21"/>
          <w:szCs w:val="21"/>
          <w:highlight w:val="none"/>
        </w:rPr>
      </w:pPr>
      <w:r>
        <w:rPr>
          <w:rFonts w:hint="eastAsia" w:ascii="宋体" w:hAnsi="宋体" w:cs="宋体"/>
          <w:color w:val="000000"/>
          <w:sz w:val="21"/>
          <w:szCs w:val="21"/>
          <w:highlight w:val="none"/>
        </w:rPr>
        <w:t>附件3：</w:t>
      </w:r>
    </w:p>
    <w:p w14:paraId="5EAECF2D">
      <w:pPr>
        <w:spacing w:beforeLines="50" w:afterLines="50" w:line="360" w:lineRule="auto"/>
        <w:ind w:firstLine="420" w:firstLineChars="200"/>
        <w:jc w:val="center"/>
        <w:rPr>
          <w:rFonts w:ascii="宋体" w:hAnsi="宋体" w:cs="宋体"/>
          <w:sz w:val="21"/>
          <w:szCs w:val="21"/>
          <w:highlight w:val="none"/>
        </w:rPr>
      </w:pPr>
      <w:r>
        <w:rPr>
          <w:rFonts w:hint="eastAsia" w:ascii="宋体" w:hAnsi="宋体" w:cs="宋体"/>
          <w:color w:val="000000"/>
          <w:sz w:val="21"/>
          <w:szCs w:val="21"/>
          <w:highlight w:val="none"/>
        </w:rPr>
        <w:t>承包人主要施工管理人员表</w:t>
      </w:r>
    </w:p>
    <w:tbl>
      <w:tblPr>
        <w:tblStyle w:val="10"/>
        <w:tblW w:w="8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1842"/>
        <w:gridCol w:w="2616"/>
        <w:gridCol w:w="3167"/>
      </w:tblGrid>
      <w:tr w14:paraId="61672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966" w:type="dxa"/>
            <w:shd w:val="clear" w:color="auto" w:fill="auto"/>
            <w:noWrap/>
            <w:vAlign w:val="center"/>
          </w:tcPr>
          <w:p w14:paraId="2F643A43">
            <w:pPr>
              <w:spacing w:line="360" w:lineRule="auto"/>
              <w:jc w:val="center"/>
              <w:rPr>
                <w:rFonts w:ascii="宋体" w:hAnsi="宋体" w:cs="宋体"/>
                <w:b/>
                <w:kern w:val="0"/>
                <w:sz w:val="21"/>
                <w:szCs w:val="21"/>
                <w:highlight w:val="none"/>
              </w:rPr>
            </w:pPr>
            <w:r>
              <w:rPr>
                <w:rFonts w:hint="eastAsia" w:ascii="宋体" w:hAnsi="宋体" w:cs="宋体"/>
                <w:b/>
                <w:kern w:val="0"/>
                <w:sz w:val="21"/>
                <w:szCs w:val="21"/>
                <w:highlight w:val="none"/>
              </w:rPr>
              <w:t>序号</w:t>
            </w:r>
          </w:p>
        </w:tc>
        <w:tc>
          <w:tcPr>
            <w:tcW w:w="1842" w:type="dxa"/>
            <w:shd w:val="clear" w:color="auto" w:fill="auto"/>
            <w:noWrap/>
            <w:vAlign w:val="center"/>
          </w:tcPr>
          <w:p w14:paraId="3F74DB66">
            <w:pPr>
              <w:spacing w:line="360" w:lineRule="auto"/>
              <w:jc w:val="center"/>
              <w:rPr>
                <w:rFonts w:ascii="宋体" w:hAnsi="宋体" w:cs="宋体"/>
                <w:b/>
                <w:kern w:val="0"/>
                <w:sz w:val="21"/>
                <w:szCs w:val="21"/>
                <w:highlight w:val="none"/>
              </w:rPr>
            </w:pPr>
            <w:r>
              <w:rPr>
                <w:rFonts w:hint="eastAsia" w:ascii="宋体" w:hAnsi="宋体" w:cs="宋体"/>
                <w:b/>
                <w:kern w:val="0"/>
                <w:sz w:val="21"/>
                <w:szCs w:val="21"/>
                <w:highlight w:val="none"/>
              </w:rPr>
              <w:t>姓名</w:t>
            </w:r>
          </w:p>
        </w:tc>
        <w:tc>
          <w:tcPr>
            <w:tcW w:w="2616" w:type="dxa"/>
            <w:shd w:val="clear" w:color="auto" w:fill="auto"/>
            <w:noWrap/>
            <w:vAlign w:val="center"/>
          </w:tcPr>
          <w:p w14:paraId="2D977D57">
            <w:pPr>
              <w:spacing w:line="360" w:lineRule="auto"/>
              <w:jc w:val="center"/>
              <w:rPr>
                <w:rFonts w:ascii="宋体" w:hAnsi="宋体" w:cs="宋体"/>
                <w:b/>
                <w:kern w:val="0"/>
                <w:sz w:val="21"/>
                <w:szCs w:val="21"/>
                <w:highlight w:val="none"/>
              </w:rPr>
            </w:pPr>
            <w:r>
              <w:rPr>
                <w:rFonts w:hint="eastAsia" w:ascii="宋体" w:hAnsi="宋体" w:cs="宋体"/>
                <w:b/>
                <w:kern w:val="0"/>
                <w:sz w:val="21"/>
                <w:szCs w:val="21"/>
                <w:highlight w:val="none"/>
              </w:rPr>
              <w:t>职务</w:t>
            </w:r>
          </w:p>
        </w:tc>
        <w:tc>
          <w:tcPr>
            <w:tcW w:w="3167" w:type="dxa"/>
            <w:shd w:val="clear" w:color="auto" w:fill="auto"/>
            <w:noWrap/>
            <w:vAlign w:val="center"/>
          </w:tcPr>
          <w:p w14:paraId="71990E62">
            <w:pPr>
              <w:spacing w:line="360" w:lineRule="auto"/>
              <w:jc w:val="center"/>
              <w:rPr>
                <w:rFonts w:ascii="宋体" w:hAnsi="宋体" w:cs="宋体"/>
                <w:b/>
                <w:kern w:val="0"/>
                <w:sz w:val="21"/>
                <w:szCs w:val="21"/>
                <w:highlight w:val="none"/>
              </w:rPr>
            </w:pPr>
            <w:r>
              <w:rPr>
                <w:rFonts w:hint="eastAsia" w:ascii="宋体" w:hAnsi="宋体" w:cs="宋体"/>
                <w:b/>
                <w:kern w:val="0"/>
                <w:sz w:val="21"/>
                <w:szCs w:val="21"/>
                <w:highlight w:val="none"/>
              </w:rPr>
              <w:t>电话</w:t>
            </w:r>
          </w:p>
        </w:tc>
      </w:tr>
      <w:tr w14:paraId="59D7C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133BA1EA">
            <w:pPr>
              <w:spacing w:line="360" w:lineRule="auto"/>
              <w:jc w:val="center"/>
              <w:rPr>
                <w:rFonts w:ascii="宋体" w:hAnsi="宋体" w:cs="宋体"/>
                <w:kern w:val="0"/>
                <w:sz w:val="21"/>
                <w:szCs w:val="21"/>
                <w:highlight w:val="none"/>
              </w:rPr>
            </w:pPr>
            <w:r>
              <w:rPr>
                <w:rFonts w:hint="eastAsia" w:ascii="宋体" w:hAnsi="宋体" w:cs="宋体"/>
                <w:kern w:val="0"/>
                <w:sz w:val="21"/>
                <w:szCs w:val="21"/>
                <w:highlight w:val="none"/>
              </w:rPr>
              <w:t>1</w:t>
            </w:r>
          </w:p>
        </w:tc>
        <w:tc>
          <w:tcPr>
            <w:tcW w:w="1842" w:type="dxa"/>
            <w:shd w:val="clear" w:color="auto" w:fill="auto"/>
            <w:noWrap/>
            <w:vAlign w:val="center"/>
          </w:tcPr>
          <w:p w14:paraId="5B6311F4">
            <w:pPr>
              <w:spacing w:line="360" w:lineRule="auto"/>
              <w:jc w:val="center"/>
              <w:rPr>
                <w:rFonts w:ascii="宋体" w:hAnsi="宋体" w:cs="宋体"/>
                <w:kern w:val="0"/>
                <w:sz w:val="21"/>
                <w:szCs w:val="21"/>
                <w:highlight w:val="none"/>
              </w:rPr>
            </w:pPr>
            <w:r>
              <w:rPr>
                <w:rFonts w:hint="eastAsia" w:ascii="宋体" w:hAnsi="宋体" w:cs="宋体"/>
                <w:kern w:val="0"/>
                <w:sz w:val="21"/>
                <w:szCs w:val="21"/>
                <w:highlight w:val="none"/>
              </w:rPr>
              <w:t xml:space="preserve"> </w:t>
            </w:r>
          </w:p>
        </w:tc>
        <w:tc>
          <w:tcPr>
            <w:tcW w:w="2616" w:type="dxa"/>
            <w:shd w:val="clear" w:color="auto" w:fill="auto"/>
            <w:noWrap/>
            <w:vAlign w:val="center"/>
          </w:tcPr>
          <w:p w14:paraId="276EAE76">
            <w:pPr>
              <w:spacing w:line="360" w:lineRule="auto"/>
              <w:jc w:val="center"/>
              <w:rPr>
                <w:rFonts w:ascii="宋体" w:hAnsi="宋体" w:cs="宋体"/>
                <w:kern w:val="0"/>
                <w:sz w:val="21"/>
                <w:szCs w:val="21"/>
                <w:highlight w:val="none"/>
              </w:rPr>
            </w:pPr>
          </w:p>
        </w:tc>
        <w:tc>
          <w:tcPr>
            <w:tcW w:w="3167" w:type="dxa"/>
            <w:shd w:val="clear" w:color="auto" w:fill="auto"/>
            <w:noWrap/>
            <w:vAlign w:val="center"/>
          </w:tcPr>
          <w:p w14:paraId="1948EE04">
            <w:pPr>
              <w:spacing w:line="360" w:lineRule="auto"/>
              <w:ind w:firstLine="420" w:firstLineChars="200"/>
              <w:jc w:val="center"/>
              <w:rPr>
                <w:rFonts w:ascii="宋体" w:hAnsi="宋体" w:cs="宋体"/>
                <w:kern w:val="0"/>
                <w:sz w:val="21"/>
                <w:szCs w:val="21"/>
                <w:highlight w:val="none"/>
              </w:rPr>
            </w:pPr>
          </w:p>
        </w:tc>
      </w:tr>
      <w:tr w14:paraId="49B1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38C8635A">
            <w:pPr>
              <w:spacing w:line="360" w:lineRule="auto"/>
              <w:jc w:val="center"/>
              <w:rPr>
                <w:rFonts w:ascii="宋体" w:hAnsi="宋体" w:cs="宋体"/>
                <w:kern w:val="0"/>
                <w:sz w:val="21"/>
                <w:szCs w:val="21"/>
                <w:highlight w:val="none"/>
              </w:rPr>
            </w:pPr>
            <w:r>
              <w:rPr>
                <w:rFonts w:hint="eastAsia" w:ascii="宋体" w:hAnsi="宋体" w:cs="宋体"/>
                <w:kern w:val="0"/>
                <w:sz w:val="21"/>
                <w:szCs w:val="21"/>
                <w:highlight w:val="none"/>
              </w:rPr>
              <w:t>2</w:t>
            </w:r>
          </w:p>
        </w:tc>
        <w:tc>
          <w:tcPr>
            <w:tcW w:w="1842" w:type="dxa"/>
            <w:shd w:val="clear" w:color="auto" w:fill="auto"/>
            <w:noWrap/>
            <w:vAlign w:val="center"/>
          </w:tcPr>
          <w:p w14:paraId="2C630DA9">
            <w:pPr>
              <w:spacing w:line="360" w:lineRule="auto"/>
              <w:jc w:val="center"/>
              <w:rPr>
                <w:rFonts w:ascii="宋体" w:hAnsi="宋体" w:cs="宋体"/>
                <w:kern w:val="0"/>
                <w:sz w:val="21"/>
                <w:szCs w:val="21"/>
                <w:highlight w:val="none"/>
              </w:rPr>
            </w:pPr>
          </w:p>
        </w:tc>
        <w:tc>
          <w:tcPr>
            <w:tcW w:w="2616" w:type="dxa"/>
            <w:shd w:val="clear" w:color="auto" w:fill="auto"/>
            <w:noWrap/>
            <w:vAlign w:val="center"/>
          </w:tcPr>
          <w:p w14:paraId="480FD697">
            <w:pPr>
              <w:spacing w:line="360" w:lineRule="auto"/>
              <w:jc w:val="center"/>
              <w:rPr>
                <w:rFonts w:ascii="宋体" w:hAnsi="宋体" w:cs="宋体"/>
                <w:kern w:val="0"/>
                <w:sz w:val="21"/>
                <w:szCs w:val="21"/>
                <w:highlight w:val="none"/>
              </w:rPr>
            </w:pPr>
          </w:p>
        </w:tc>
        <w:tc>
          <w:tcPr>
            <w:tcW w:w="3167" w:type="dxa"/>
            <w:shd w:val="clear" w:color="auto" w:fill="auto"/>
            <w:noWrap/>
            <w:vAlign w:val="center"/>
          </w:tcPr>
          <w:p w14:paraId="39924468">
            <w:pPr>
              <w:spacing w:line="360" w:lineRule="auto"/>
              <w:ind w:firstLine="420" w:firstLineChars="200"/>
              <w:jc w:val="center"/>
              <w:rPr>
                <w:rFonts w:ascii="宋体" w:hAnsi="宋体" w:cs="宋体"/>
                <w:kern w:val="0"/>
                <w:sz w:val="21"/>
                <w:szCs w:val="21"/>
                <w:highlight w:val="none"/>
              </w:rPr>
            </w:pPr>
            <w:r>
              <w:rPr>
                <w:rFonts w:hint="eastAsia" w:ascii="宋体" w:hAnsi="宋体" w:cs="宋体"/>
                <w:kern w:val="0"/>
                <w:sz w:val="21"/>
                <w:szCs w:val="21"/>
                <w:highlight w:val="none"/>
              </w:rPr>
              <w:t>/</w:t>
            </w:r>
          </w:p>
        </w:tc>
      </w:tr>
      <w:tr w14:paraId="6EA81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29A3DEBD">
            <w:pPr>
              <w:spacing w:line="360" w:lineRule="auto"/>
              <w:jc w:val="center"/>
              <w:rPr>
                <w:rFonts w:ascii="宋体" w:hAnsi="宋体" w:cs="宋体"/>
                <w:kern w:val="0"/>
                <w:sz w:val="21"/>
                <w:szCs w:val="21"/>
                <w:highlight w:val="none"/>
              </w:rPr>
            </w:pPr>
            <w:r>
              <w:rPr>
                <w:rFonts w:hint="eastAsia" w:ascii="宋体" w:hAnsi="宋体" w:cs="宋体"/>
                <w:kern w:val="0"/>
                <w:sz w:val="21"/>
                <w:szCs w:val="21"/>
                <w:highlight w:val="none"/>
              </w:rPr>
              <w:t>3</w:t>
            </w:r>
          </w:p>
        </w:tc>
        <w:tc>
          <w:tcPr>
            <w:tcW w:w="1842" w:type="dxa"/>
            <w:shd w:val="clear" w:color="auto" w:fill="auto"/>
            <w:noWrap/>
            <w:vAlign w:val="center"/>
          </w:tcPr>
          <w:p w14:paraId="25F7A4C7">
            <w:pPr>
              <w:spacing w:line="360" w:lineRule="auto"/>
              <w:jc w:val="center"/>
              <w:rPr>
                <w:rFonts w:ascii="宋体" w:hAnsi="宋体" w:cs="宋体"/>
                <w:kern w:val="0"/>
                <w:sz w:val="21"/>
                <w:szCs w:val="21"/>
                <w:highlight w:val="none"/>
              </w:rPr>
            </w:pPr>
          </w:p>
        </w:tc>
        <w:tc>
          <w:tcPr>
            <w:tcW w:w="2616" w:type="dxa"/>
            <w:shd w:val="clear" w:color="auto" w:fill="auto"/>
            <w:noWrap/>
            <w:vAlign w:val="center"/>
          </w:tcPr>
          <w:p w14:paraId="02BCD1CD">
            <w:pPr>
              <w:spacing w:line="360" w:lineRule="auto"/>
              <w:jc w:val="center"/>
              <w:rPr>
                <w:rFonts w:ascii="宋体" w:hAnsi="宋体" w:cs="宋体"/>
                <w:kern w:val="0"/>
                <w:sz w:val="21"/>
                <w:szCs w:val="21"/>
                <w:highlight w:val="none"/>
              </w:rPr>
            </w:pPr>
          </w:p>
        </w:tc>
        <w:tc>
          <w:tcPr>
            <w:tcW w:w="3167" w:type="dxa"/>
            <w:shd w:val="clear" w:color="auto" w:fill="auto"/>
            <w:noWrap/>
            <w:vAlign w:val="center"/>
          </w:tcPr>
          <w:p w14:paraId="6D0776BA">
            <w:pPr>
              <w:spacing w:line="360" w:lineRule="auto"/>
              <w:ind w:firstLine="420" w:firstLineChars="200"/>
              <w:jc w:val="center"/>
              <w:rPr>
                <w:rFonts w:ascii="宋体" w:hAnsi="宋体" w:cs="宋体"/>
                <w:kern w:val="0"/>
                <w:sz w:val="21"/>
                <w:szCs w:val="21"/>
                <w:highlight w:val="none"/>
              </w:rPr>
            </w:pPr>
            <w:r>
              <w:rPr>
                <w:rFonts w:hint="eastAsia" w:ascii="宋体" w:hAnsi="宋体" w:cs="宋体"/>
                <w:kern w:val="0"/>
                <w:sz w:val="21"/>
                <w:szCs w:val="21"/>
                <w:highlight w:val="none"/>
              </w:rPr>
              <w:t>/</w:t>
            </w:r>
          </w:p>
        </w:tc>
      </w:tr>
      <w:tr w14:paraId="13BAD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227F6FA6">
            <w:pPr>
              <w:spacing w:line="360" w:lineRule="auto"/>
              <w:jc w:val="center"/>
              <w:rPr>
                <w:rFonts w:ascii="宋体" w:hAnsi="宋体" w:cs="宋体"/>
                <w:kern w:val="0"/>
                <w:sz w:val="21"/>
                <w:szCs w:val="21"/>
                <w:highlight w:val="none"/>
              </w:rPr>
            </w:pPr>
            <w:r>
              <w:rPr>
                <w:rFonts w:hint="eastAsia" w:ascii="宋体" w:hAnsi="宋体" w:cs="宋体"/>
                <w:kern w:val="0"/>
                <w:sz w:val="21"/>
                <w:szCs w:val="21"/>
                <w:highlight w:val="none"/>
              </w:rPr>
              <w:t>4</w:t>
            </w:r>
          </w:p>
        </w:tc>
        <w:tc>
          <w:tcPr>
            <w:tcW w:w="1842" w:type="dxa"/>
            <w:shd w:val="clear" w:color="auto" w:fill="auto"/>
            <w:noWrap/>
            <w:vAlign w:val="center"/>
          </w:tcPr>
          <w:p w14:paraId="58F6523B">
            <w:pPr>
              <w:spacing w:line="360" w:lineRule="auto"/>
              <w:jc w:val="center"/>
              <w:rPr>
                <w:rFonts w:ascii="宋体" w:hAnsi="宋体" w:cs="宋体"/>
                <w:kern w:val="0"/>
                <w:sz w:val="21"/>
                <w:szCs w:val="21"/>
                <w:highlight w:val="none"/>
              </w:rPr>
            </w:pPr>
          </w:p>
        </w:tc>
        <w:tc>
          <w:tcPr>
            <w:tcW w:w="2616" w:type="dxa"/>
            <w:shd w:val="clear" w:color="auto" w:fill="auto"/>
            <w:noWrap/>
            <w:vAlign w:val="center"/>
          </w:tcPr>
          <w:p w14:paraId="0F77BF12">
            <w:pPr>
              <w:spacing w:line="360" w:lineRule="auto"/>
              <w:jc w:val="center"/>
              <w:rPr>
                <w:rFonts w:ascii="宋体" w:hAnsi="宋体" w:cs="宋体"/>
                <w:kern w:val="0"/>
                <w:sz w:val="21"/>
                <w:szCs w:val="21"/>
                <w:highlight w:val="none"/>
              </w:rPr>
            </w:pPr>
          </w:p>
        </w:tc>
        <w:tc>
          <w:tcPr>
            <w:tcW w:w="3167" w:type="dxa"/>
            <w:shd w:val="clear" w:color="auto" w:fill="auto"/>
            <w:noWrap/>
            <w:vAlign w:val="center"/>
          </w:tcPr>
          <w:p w14:paraId="350132EC">
            <w:pPr>
              <w:spacing w:line="360" w:lineRule="auto"/>
              <w:ind w:firstLine="420" w:firstLineChars="200"/>
              <w:jc w:val="center"/>
              <w:rPr>
                <w:rFonts w:ascii="宋体" w:hAnsi="宋体" w:cs="宋体"/>
                <w:kern w:val="0"/>
                <w:sz w:val="21"/>
                <w:szCs w:val="21"/>
                <w:highlight w:val="none"/>
              </w:rPr>
            </w:pPr>
            <w:r>
              <w:rPr>
                <w:rFonts w:hint="eastAsia" w:ascii="宋体" w:hAnsi="宋体" w:cs="宋体"/>
                <w:kern w:val="0"/>
                <w:sz w:val="21"/>
                <w:szCs w:val="21"/>
                <w:highlight w:val="none"/>
              </w:rPr>
              <w:t>/</w:t>
            </w:r>
          </w:p>
        </w:tc>
      </w:tr>
      <w:tr w14:paraId="04531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3B74A2EB">
            <w:pPr>
              <w:spacing w:line="360" w:lineRule="auto"/>
              <w:jc w:val="center"/>
              <w:rPr>
                <w:rFonts w:ascii="宋体" w:hAnsi="宋体" w:cs="宋体"/>
                <w:kern w:val="0"/>
                <w:sz w:val="21"/>
                <w:szCs w:val="21"/>
                <w:highlight w:val="none"/>
              </w:rPr>
            </w:pPr>
            <w:r>
              <w:rPr>
                <w:rFonts w:hint="eastAsia" w:ascii="宋体" w:hAnsi="宋体" w:cs="宋体"/>
                <w:kern w:val="0"/>
                <w:sz w:val="21"/>
                <w:szCs w:val="21"/>
                <w:highlight w:val="none"/>
              </w:rPr>
              <w:t>5</w:t>
            </w:r>
          </w:p>
        </w:tc>
        <w:tc>
          <w:tcPr>
            <w:tcW w:w="1842" w:type="dxa"/>
            <w:shd w:val="clear" w:color="auto" w:fill="auto"/>
            <w:noWrap/>
            <w:vAlign w:val="center"/>
          </w:tcPr>
          <w:p w14:paraId="40C7D28A">
            <w:pPr>
              <w:spacing w:line="360" w:lineRule="auto"/>
              <w:jc w:val="center"/>
              <w:rPr>
                <w:rFonts w:ascii="宋体" w:hAnsi="宋体" w:cs="宋体"/>
                <w:kern w:val="0"/>
                <w:sz w:val="21"/>
                <w:szCs w:val="21"/>
                <w:highlight w:val="none"/>
              </w:rPr>
            </w:pPr>
          </w:p>
        </w:tc>
        <w:tc>
          <w:tcPr>
            <w:tcW w:w="2616" w:type="dxa"/>
            <w:shd w:val="clear" w:color="auto" w:fill="auto"/>
            <w:noWrap/>
            <w:vAlign w:val="center"/>
          </w:tcPr>
          <w:p w14:paraId="74112880">
            <w:pPr>
              <w:spacing w:line="360" w:lineRule="auto"/>
              <w:jc w:val="center"/>
              <w:rPr>
                <w:rFonts w:ascii="宋体" w:hAnsi="宋体" w:cs="宋体"/>
                <w:kern w:val="0"/>
                <w:sz w:val="21"/>
                <w:szCs w:val="21"/>
                <w:highlight w:val="none"/>
              </w:rPr>
            </w:pPr>
          </w:p>
        </w:tc>
        <w:tc>
          <w:tcPr>
            <w:tcW w:w="3167" w:type="dxa"/>
            <w:shd w:val="clear" w:color="auto" w:fill="auto"/>
            <w:noWrap/>
            <w:vAlign w:val="center"/>
          </w:tcPr>
          <w:p w14:paraId="267D6285">
            <w:pPr>
              <w:spacing w:line="360" w:lineRule="auto"/>
              <w:ind w:firstLine="420" w:firstLineChars="200"/>
              <w:jc w:val="center"/>
              <w:rPr>
                <w:rFonts w:ascii="宋体" w:hAnsi="宋体" w:cs="宋体"/>
                <w:kern w:val="0"/>
                <w:sz w:val="21"/>
                <w:szCs w:val="21"/>
                <w:highlight w:val="none"/>
              </w:rPr>
            </w:pPr>
            <w:r>
              <w:rPr>
                <w:rFonts w:hint="eastAsia" w:ascii="宋体" w:hAnsi="宋体" w:cs="宋体"/>
                <w:kern w:val="0"/>
                <w:sz w:val="21"/>
                <w:szCs w:val="21"/>
                <w:highlight w:val="none"/>
              </w:rPr>
              <w:t>/</w:t>
            </w:r>
          </w:p>
        </w:tc>
      </w:tr>
      <w:tr w14:paraId="2B7A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791E6011">
            <w:pPr>
              <w:spacing w:line="360" w:lineRule="auto"/>
              <w:jc w:val="center"/>
              <w:rPr>
                <w:rFonts w:ascii="宋体" w:hAnsi="宋体" w:cs="宋体"/>
                <w:kern w:val="0"/>
                <w:sz w:val="21"/>
                <w:szCs w:val="21"/>
                <w:highlight w:val="none"/>
              </w:rPr>
            </w:pPr>
            <w:r>
              <w:rPr>
                <w:rFonts w:hint="eastAsia" w:ascii="宋体" w:hAnsi="宋体" w:cs="宋体"/>
                <w:kern w:val="0"/>
                <w:sz w:val="21"/>
                <w:szCs w:val="21"/>
                <w:highlight w:val="none"/>
              </w:rPr>
              <w:t>6</w:t>
            </w:r>
          </w:p>
        </w:tc>
        <w:tc>
          <w:tcPr>
            <w:tcW w:w="1842" w:type="dxa"/>
            <w:shd w:val="clear" w:color="auto" w:fill="auto"/>
            <w:noWrap/>
            <w:vAlign w:val="center"/>
          </w:tcPr>
          <w:p w14:paraId="0841BECE">
            <w:pPr>
              <w:spacing w:line="360" w:lineRule="auto"/>
              <w:jc w:val="center"/>
              <w:rPr>
                <w:rFonts w:ascii="宋体" w:hAnsi="宋体" w:cs="宋体"/>
                <w:kern w:val="0"/>
                <w:sz w:val="21"/>
                <w:szCs w:val="21"/>
                <w:highlight w:val="none"/>
              </w:rPr>
            </w:pPr>
          </w:p>
        </w:tc>
        <w:tc>
          <w:tcPr>
            <w:tcW w:w="2616" w:type="dxa"/>
            <w:shd w:val="clear" w:color="auto" w:fill="auto"/>
            <w:noWrap/>
            <w:vAlign w:val="center"/>
          </w:tcPr>
          <w:p w14:paraId="68BEBE63">
            <w:pPr>
              <w:spacing w:line="360" w:lineRule="auto"/>
              <w:jc w:val="center"/>
              <w:rPr>
                <w:rFonts w:ascii="宋体" w:hAnsi="宋体" w:cs="宋体"/>
                <w:kern w:val="0"/>
                <w:sz w:val="21"/>
                <w:szCs w:val="21"/>
                <w:highlight w:val="none"/>
              </w:rPr>
            </w:pPr>
          </w:p>
        </w:tc>
        <w:tc>
          <w:tcPr>
            <w:tcW w:w="3167" w:type="dxa"/>
            <w:shd w:val="clear" w:color="auto" w:fill="auto"/>
            <w:noWrap/>
            <w:vAlign w:val="center"/>
          </w:tcPr>
          <w:p w14:paraId="06162333">
            <w:pPr>
              <w:spacing w:line="360" w:lineRule="auto"/>
              <w:ind w:firstLine="420" w:firstLineChars="200"/>
              <w:jc w:val="center"/>
              <w:rPr>
                <w:rFonts w:ascii="宋体" w:hAnsi="宋体" w:cs="宋体"/>
                <w:kern w:val="0"/>
                <w:sz w:val="21"/>
                <w:szCs w:val="21"/>
                <w:highlight w:val="none"/>
              </w:rPr>
            </w:pPr>
            <w:r>
              <w:rPr>
                <w:rFonts w:hint="eastAsia" w:ascii="宋体" w:hAnsi="宋体" w:cs="宋体"/>
                <w:kern w:val="0"/>
                <w:sz w:val="21"/>
                <w:szCs w:val="21"/>
                <w:highlight w:val="none"/>
              </w:rPr>
              <w:t>/</w:t>
            </w:r>
          </w:p>
        </w:tc>
      </w:tr>
      <w:tr w14:paraId="0EA3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4575D645">
            <w:pPr>
              <w:spacing w:line="360" w:lineRule="auto"/>
              <w:jc w:val="center"/>
              <w:rPr>
                <w:rFonts w:ascii="宋体" w:hAnsi="宋体" w:cs="宋体"/>
                <w:kern w:val="0"/>
                <w:sz w:val="21"/>
                <w:szCs w:val="21"/>
                <w:highlight w:val="none"/>
              </w:rPr>
            </w:pPr>
            <w:r>
              <w:rPr>
                <w:rFonts w:hint="eastAsia" w:ascii="宋体" w:hAnsi="宋体" w:cs="宋体"/>
                <w:kern w:val="0"/>
                <w:sz w:val="21"/>
                <w:szCs w:val="21"/>
                <w:highlight w:val="none"/>
              </w:rPr>
              <w:t>7</w:t>
            </w:r>
          </w:p>
        </w:tc>
        <w:tc>
          <w:tcPr>
            <w:tcW w:w="1842" w:type="dxa"/>
            <w:shd w:val="clear" w:color="auto" w:fill="auto"/>
            <w:noWrap/>
            <w:vAlign w:val="center"/>
          </w:tcPr>
          <w:p w14:paraId="23839A4C">
            <w:pPr>
              <w:spacing w:line="360" w:lineRule="auto"/>
              <w:jc w:val="center"/>
              <w:rPr>
                <w:rFonts w:ascii="宋体" w:hAnsi="宋体" w:cs="宋体"/>
                <w:kern w:val="0"/>
                <w:sz w:val="21"/>
                <w:szCs w:val="21"/>
                <w:highlight w:val="none"/>
              </w:rPr>
            </w:pPr>
          </w:p>
        </w:tc>
        <w:tc>
          <w:tcPr>
            <w:tcW w:w="2616" w:type="dxa"/>
            <w:shd w:val="clear" w:color="auto" w:fill="auto"/>
            <w:noWrap/>
            <w:vAlign w:val="center"/>
          </w:tcPr>
          <w:p w14:paraId="0096445E">
            <w:pPr>
              <w:spacing w:line="360" w:lineRule="auto"/>
              <w:jc w:val="center"/>
              <w:rPr>
                <w:rFonts w:ascii="宋体" w:hAnsi="宋体" w:cs="宋体"/>
                <w:kern w:val="0"/>
                <w:sz w:val="21"/>
                <w:szCs w:val="21"/>
                <w:highlight w:val="none"/>
              </w:rPr>
            </w:pPr>
          </w:p>
        </w:tc>
        <w:tc>
          <w:tcPr>
            <w:tcW w:w="3167" w:type="dxa"/>
            <w:shd w:val="clear" w:color="auto" w:fill="auto"/>
            <w:noWrap/>
            <w:vAlign w:val="center"/>
          </w:tcPr>
          <w:p w14:paraId="1A1DC310">
            <w:pPr>
              <w:spacing w:line="360" w:lineRule="auto"/>
              <w:ind w:firstLine="420" w:firstLineChars="200"/>
              <w:jc w:val="center"/>
              <w:rPr>
                <w:rFonts w:ascii="宋体" w:hAnsi="宋体" w:cs="宋体"/>
                <w:kern w:val="0"/>
                <w:sz w:val="21"/>
                <w:szCs w:val="21"/>
                <w:highlight w:val="none"/>
              </w:rPr>
            </w:pPr>
            <w:r>
              <w:rPr>
                <w:rFonts w:hint="eastAsia" w:ascii="宋体" w:hAnsi="宋体" w:cs="宋体"/>
                <w:kern w:val="0"/>
                <w:sz w:val="21"/>
                <w:szCs w:val="21"/>
                <w:highlight w:val="none"/>
              </w:rPr>
              <w:t>/</w:t>
            </w:r>
          </w:p>
        </w:tc>
      </w:tr>
      <w:tr w14:paraId="6D644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6F794DB7">
            <w:pPr>
              <w:spacing w:line="360" w:lineRule="auto"/>
              <w:jc w:val="center"/>
              <w:rPr>
                <w:rFonts w:ascii="宋体" w:hAnsi="宋体" w:cs="宋体"/>
                <w:kern w:val="0"/>
                <w:sz w:val="21"/>
                <w:szCs w:val="21"/>
                <w:highlight w:val="none"/>
              </w:rPr>
            </w:pPr>
            <w:r>
              <w:rPr>
                <w:rFonts w:hint="eastAsia" w:ascii="宋体" w:hAnsi="宋体" w:cs="宋体"/>
                <w:kern w:val="0"/>
                <w:sz w:val="21"/>
                <w:szCs w:val="21"/>
                <w:highlight w:val="none"/>
              </w:rPr>
              <w:t>8</w:t>
            </w:r>
          </w:p>
        </w:tc>
        <w:tc>
          <w:tcPr>
            <w:tcW w:w="1842" w:type="dxa"/>
            <w:shd w:val="clear" w:color="auto" w:fill="auto"/>
            <w:noWrap/>
            <w:vAlign w:val="center"/>
          </w:tcPr>
          <w:p w14:paraId="7433B283">
            <w:pPr>
              <w:spacing w:line="360" w:lineRule="auto"/>
              <w:jc w:val="center"/>
              <w:rPr>
                <w:rFonts w:ascii="宋体" w:hAnsi="宋体" w:cs="宋体"/>
                <w:kern w:val="0"/>
                <w:sz w:val="21"/>
                <w:szCs w:val="21"/>
                <w:highlight w:val="none"/>
              </w:rPr>
            </w:pPr>
          </w:p>
        </w:tc>
        <w:tc>
          <w:tcPr>
            <w:tcW w:w="2616" w:type="dxa"/>
            <w:shd w:val="clear" w:color="auto" w:fill="auto"/>
            <w:noWrap/>
            <w:vAlign w:val="center"/>
          </w:tcPr>
          <w:p w14:paraId="4C506CE2">
            <w:pPr>
              <w:spacing w:line="360" w:lineRule="auto"/>
              <w:jc w:val="center"/>
              <w:rPr>
                <w:rFonts w:ascii="宋体" w:hAnsi="宋体" w:cs="宋体"/>
                <w:kern w:val="0"/>
                <w:sz w:val="21"/>
                <w:szCs w:val="21"/>
                <w:highlight w:val="none"/>
              </w:rPr>
            </w:pPr>
          </w:p>
        </w:tc>
        <w:tc>
          <w:tcPr>
            <w:tcW w:w="3167" w:type="dxa"/>
            <w:shd w:val="clear" w:color="auto" w:fill="auto"/>
            <w:noWrap/>
            <w:vAlign w:val="center"/>
          </w:tcPr>
          <w:p w14:paraId="418F596F">
            <w:pPr>
              <w:spacing w:line="360" w:lineRule="auto"/>
              <w:ind w:firstLine="420" w:firstLineChars="200"/>
              <w:jc w:val="center"/>
              <w:rPr>
                <w:rFonts w:ascii="宋体" w:hAnsi="宋体" w:cs="宋体"/>
                <w:kern w:val="0"/>
                <w:sz w:val="21"/>
                <w:szCs w:val="21"/>
                <w:highlight w:val="none"/>
              </w:rPr>
            </w:pPr>
            <w:r>
              <w:rPr>
                <w:rFonts w:ascii="宋体" w:hAnsi="宋体" w:cs="宋体"/>
                <w:kern w:val="0"/>
                <w:sz w:val="21"/>
                <w:szCs w:val="21"/>
                <w:highlight w:val="none"/>
              </w:rPr>
              <w:t>/</w:t>
            </w:r>
          </w:p>
        </w:tc>
      </w:tr>
      <w:tr w14:paraId="730C5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6BECC22B">
            <w:pPr>
              <w:spacing w:line="360" w:lineRule="auto"/>
              <w:rPr>
                <w:rFonts w:ascii="宋体" w:hAnsi="宋体" w:cs="宋体"/>
                <w:kern w:val="0"/>
                <w:sz w:val="21"/>
                <w:szCs w:val="21"/>
                <w:highlight w:val="none"/>
              </w:rPr>
            </w:pPr>
          </w:p>
        </w:tc>
        <w:tc>
          <w:tcPr>
            <w:tcW w:w="1842" w:type="dxa"/>
            <w:shd w:val="clear" w:color="auto" w:fill="auto"/>
            <w:noWrap/>
            <w:vAlign w:val="center"/>
          </w:tcPr>
          <w:p w14:paraId="66905506">
            <w:pPr>
              <w:spacing w:line="360" w:lineRule="auto"/>
              <w:ind w:firstLine="420" w:firstLineChars="200"/>
              <w:jc w:val="center"/>
              <w:rPr>
                <w:rFonts w:ascii="宋体" w:hAnsi="宋体" w:cs="宋体"/>
                <w:kern w:val="0"/>
                <w:sz w:val="21"/>
                <w:szCs w:val="21"/>
                <w:highlight w:val="none"/>
              </w:rPr>
            </w:pPr>
          </w:p>
        </w:tc>
        <w:tc>
          <w:tcPr>
            <w:tcW w:w="2616" w:type="dxa"/>
            <w:shd w:val="clear" w:color="auto" w:fill="auto"/>
            <w:noWrap/>
            <w:vAlign w:val="center"/>
          </w:tcPr>
          <w:p w14:paraId="5F05B2CC">
            <w:pPr>
              <w:spacing w:line="360" w:lineRule="auto"/>
              <w:ind w:firstLine="420" w:firstLineChars="200"/>
              <w:jc w:val="center"/>
              <w:rPr>
                <w:rFonts w:ascii="宋体" w:hAnsi="宋体" w:cs="宋体"/>
                <w:kern w:val="0"/>
                <w:sz w:val="21"/>
                <w:szCs w:val="21"/>
                <w:highlight w:val="none"/>
              </w:rPr>
            </w:pPr>
          </w:p>
        </w:tc>
        <w:tc>
          <w:tcPr>
            <w:tcW w:w="3167" w:type="dxa"/>
            <w:shd w:val="clear" w:color="auto" w:fill="auto"/>
            <w:noWrap/>
            <w:vAlign w:val="center"/>
          </w:tcPr>
          <w:p w14:paraId="3F2792EB">
            <w:pPr>
              <w:spacing w:line="360" w:lineRule="auto"/>
              <w:ind w:firstLine="420" w:firstLineChars="200"/>
              <w:jc w:val="center"/>
              <w:rPr>
                <w:rFonts w:ascii="宋体" w:hAnsi="宋体" w:cs="宋体"/>
                <w:kern w:val="0"/>
                <w:sz w:val="21"/>
                <w:szCs w:val="21"/>
                <w:highlight w:val="none"/>
              </w:rPr>
            </w:pPr>
          </w:p>
        </w:tc>
      </w:tr>
      <w:tr w14:paraId="4413F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68256027">
            <w:pPr>
              <w:spacing w:line="360" w:lineRule="auto"/>
              <w:ind w:firstLine="420" w:firstLineChars="200"/>
              <w:jc w:val="center"/>
              <w:rPr>
                <w:rFonts w:ascii="宋体" w:hAnsi="宋体" w:cs="宋体"/>
                <w:kern w:val="0"/>
                <w:sz w:val="21"/>
                <w:szCs w:val="21"/>
                <w:highlight w:val="none"/>
              </w:rPr>
            </w:pPr>
          </w:p>
        </w:tc>
        <w:tc>
          <w:tcPr>
            <w:tcW w:w="1842" w:type="dxa"/>
            <w:shd w:val="clear" w:color="auto" w:fill="auto"/>
            <w:noWrap/>
            <w:vAlign w:val="center"/>
          </w:tcPr>
          <w:p w14:paraId="3B025BEF">
            <w:pPr>
              <w:spacing w:line="360" w:lineRule="auto"/>
              <w:ind w:firstLine="420" w:firstLineChars="200"/>
              <w:jc w:val="center"/>
              <w:rPr>
                <w:rFonts w:ascii="宋体" w:hAnsi="宋体" w:cs="宋体"/>
                <w:kern w:val="0"/>
                <w:sz w:val="21"/>
                <w:szCs w:val="21"/>
                <w:highlight w:val="none"/>
              </w:rPr>
            </w:pPr>
          </w:p>
        </w:tc>
        <w:tc>
          <w:tcPr>
            <w:tcW w:w="2616" w:type="dxa"/>
            <w:shd w:val="clear" w:color="auto" w:fill="auto"/>
            <w:noWrap/>
            <w:vAlign w:val="center"/>
          </w:tcPr>
          <w:p w14:paraId="654B6461">
            <w:pPr>
              <w:spacing w:line="360" w:lineRule="auto"/>
              <w:ind w:firstLine="420" w:firstLineChars="200"/>
              <w:jc w:val="center"/>
              <w:rPr>
                <w:rFonts w:ascii="宋体" w:hAnsi="宋体" w:cs="宋体"/>
                <w:kern w:val="0"/>
                <w:sz w:val="21"/>
                <w:szCs w:val="21"/>
                <w:highlight w:val="none"/>
              </w:rPr>
            </w:pPr>
          </w:p>
        </w:tc>
        <w:tc>
          <w:tcPr>
            <w:tcW w:w="3167" w:type="dxa"/>
            <w:shd w:val="clear" w:color="auto" w:fill="auto"/>
            <w:noWrap/>
            <w:vAlign w:val="center"/>
          </w:tcPr>
          <w:p w14:paraId="2579C6EA">
            <w:pPr>
              <w:spacing w:line="360" w:lineRule="auto"/>
              <w:ind w:firstLine="420" w:firstLineChars="200"/>
              <w:jc w:val="center"/>
              <w:rPr>
                <w:rFonts w:ascii="宋体" w:hAnsi="宋体" w:cs="宋体"/>
                <w:kern w:val="0"/>
                <w:sz w:val="21"/>
                <w:szCs w:val="21"/>
                <w:highlight w:val="none"/>
              </w:rPr>
            </w:pPr>
          </w:p>
        </w:tc>
      </w:tr>
      <w:tr w14:paraId="1D4A7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6" w:type="dxa"/>
            <w:shd w:val="clear" w:color="auto" w:fill="auto"/>
            <w:noWrap/>
            <w:vAlign w:val="center"/>
          </w:tcPr>
          <w:p w14:paraId="6C8A3EDE">
            <w:pPr>
              <w:spacing w:line="360" w:lineRule="auto"/>
              <w:ind w:firstLine="420" w:firstLineChars="200"/>
              <w:jc w:val="center"/>
              <w:rPr>
                <w:rFonts w:ascii="宋体" w:hAnsi="宋体" w:cs="宋体"/>
                <w:kern w:val="0"/>
                <w:sz w:val="21"/>
                <w:szCs w:val="21"/>
                <w:highlight w:val="none"/>
              </w:rPr>
            </w:pPr>
          </w:p>
        </w:tc>
        <w:tc>
          <w:tcPr>
            <w:tcW w:w="1842" w:type="dxa"/>
            <w:shd w:val="clear" w:color="auto" w:fill="auto"/>
            <w:noWrap/>
            <w:vAlign w:val="center"/>
          </w:tcPr>
          <w:p w14:paraId="4249E2D5">
            <w:pPr>
              <w:spacing w:line="360" w:lineRule="auto"/>
              <w:ind w:firstLine="420" w:firstLineChars="200"/>
              <w:jc w:val="center"/>
              <w:rPr>
                <w:rFonts w:ascii="宋体" w:hAnsi="宋体" w:cs="宋体"/>
                <w:kern w:val="0"/>
                <w:sz w:val="21"/>
                <w:szCs w:val="21"/>
                <w:highlight w:val="none"/>
              </w:rPr>
            </w:pPr>
          </w:p>
        </w:tc>
        <w:tc>
          <w:tcPr>
            <w:tcW w:w="2616" w:type="dxa"/>
            <w:shd w:val="clear" w:color="auto" w:fill="auto"/>
            <w:noWrap/>
            <w:vAlign w:val="center"/>
          </w:tcPr>
          <w:p w14:paraId="41270630">
            <w:pPr>
              <w:spacing w:line="360" w:lineRule="auto"/>
              <w:ind w:firstLine="420" w:firstLineChars="200"/>
              <w:jc w:val="center"/>
              <w:rPr>
                <w:rFonts w:ascii="宋体" w:hAnsi="宋体" w:cs="宋体"/>
                <w:kern w:val="0"/>
                <w:sz w:val="21"/>
                <w:szCs w:val="21"/>
                <w:highlight w:val="none"/>
              </w:rPr>
            </w:pPr>
          </w:p>
        </w:tc>
        <w:tc>
          <w:tcPr>
            <w:tcW w:w="3167" w:type="dxa"/>
            <w:shd w:val="clear" w:color="auto" w:fill="auto"/>
            <w:noWrap/>
            <w:vAlign w:val="center"/>
          </w:tcPr>
          <w:p w14:paraId="41E2EC3F">
            <w:pPr>
              <w:spacing w:line="360" w:lineRule="auto"/>
              <w:ind w:firstLine="420" w:firstLineChars="200"/>
              <w:jc w:val="center"/>
              <w:rPr>
                <w:rFonts w:ascii="宋体" w:hAnsi="宋体" w:cs="宋体"/>
                <w:kern w:val="0"/>
                <w:sz w:val="21"/>
                <w:szCs w:val="21"/>
                <w:highlight w:val="none"/>
              </w:rPr>
            </w:pPr>
          </w:p>
        </w:tc>
      </w:tr>
    </w:tbl>
    <w:p w14:paraId="76ABE1FA">
      <w:pPr>
        <w:rPr>
          <w:rFonts w:hint="eastAsia" w:ascii="宋体" w:hAnsi="宋体" w:eastAsia="宋体" w:cs="宋体"/>
          <w:sz w:val="21"/>
          <w:szCs w:val="21"/>
        </w:rPr>
      </w:pPr>
      <w:bookmarkStart w:id="723" w:name="_GoBack"/>
      <w:bookmarkEnd w:id="723"/>
    </w:p>
    <w:p w14:paraId="53540CCA"/>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6C75A">
    <w:pPr>
      <w:pStyle w:val="7"/>
      <w:tabs>
        <w:tab w:val="clear" w:pos="4153"/>
      </w:tabs>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FF01D1">
                          <w:pPr>
                            <w:pStyle w:val="7"/>
                          </w:pPr>
                          <w:r>
                            <w:t xml:space="preserve">第 </w:t>
                          </w:r>
                          <w:r>
                            <w:fldChar w:fldCharType="begin"/>
                          </w:r>
                          <w:r>
                            <w:instrText xml:space="preserve"> PAGE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7FF01D1">
                    <w:pPr>
                      <w:pStyle w:val="7"/>
                    </w:pPr>
                    <w:r>
                      <w:t xml:space="preserve">第 </w:t>
                    </w:r>
                    <w:r>
                      <w:fldChar w:fldCharType="begin"/>
                    </w:r>
                    <w:r>
                      <w:instrText xml:space="preserve"> PAGE  \* MERGEFORMAT </w:instrText>
                    </w:r>
                    <w:r>
                      <w:fldChar w:fldCharType="separate"/>
                    </w:r>
                    <w:r>
                      <w:t>67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8B731">
    <w:pPr>
      <w:pStyle w:val="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1CE34D">
                          <w:pPr>
                            <w:pStyle w:val="7"/>
                          </w:pPr>
                          <w:r>
                            <w:t xml:space="preserve">第 </w:t>
                          </w:r>
                          <w:r>
                            <w:fldChar w:fldCharType="begin"/>
                          </w:r>
                          <w:r>
                            <w:instrText xml:space="preserve"> PAGE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6E1CE34D">
                    <w:pPr>
                      <w:pStyle w:val="7"/>
                    </w:pPr>
                    <w:r>
                      <w:t xml:space="preserve">第 </w:t>
                    </w:r>
                    <w:r>
                      <w:fldChar w:fldCharType="begin"/>
                    </w:r>
                    <w:r>
                      <w:instrText xml:space="preserve"> PAGE  \* MERGEFORMAT </w:instrText>
                    </w:r>
                    <w:r>
                      <w:fldChar w:fldCharType="separate"/>
                    </w:r>
                    <w:r>
                      <w:t>66</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FAE9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B0DAE4">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B0DAE4">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293664"/>
    <w:multiLevelType w:val="singleLevel"/>
    <w:tmpl w:val="0B29366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0101BB"/>
    <w:rsid w:val="3F0101BB"/>
    <w:rsid w:val="6B134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Body Text Indent"/>
    <w:basedOn w:val="1"/>
    <w:next w:val="5"/>
    <w:qFormat/>
    <w:uiPriority w:val="0"/>
    <w:pPr>
      <w:spacing w:after="120"/>
      <w:ind w:left="420" w:leftChars="200"/>
    </w:pPr>
  </w:style>
  <w:style w:type="paragraph" w:customStyle="1" w:styleId="5">
    <w:name w:val="font5"/>
    <w:basedOn w:val="1"/>
    <w:qFormat/>
    <w:uiPriority w:val="0"/>
    <w:pPr>
      <w:widowControl/>
      <w:spacing w:before="100" w:beforeAutospacing="1" w:after="100" w:afterAutospacing="1"/>
      <w:jc w:val="left"/>
    </w:pPr>
    <w:rPr>
      <w:rFonts w:hint="eastAsia" w:ascii="宋体" w:hAnsi="宋体"/>
      <w:kern w:val="0"/>
      <w:sz w:val="24"/>
    </w:rPr>
  </w:style>
  <w:style w:type="paragraph" w:styleId="6">
    <w:name w:val="Body Text Indent 2"/>
    <w:basedOn w:val="1"/>
    <w:qFormat/>
    <w:uiPriority w:val="0"/>
    <w:pPr>
      <w:spacing w:after="120" w:afterLines="0" w:line="480" w:lineRule="auto"/>
      <w:ind w:left="420" w:leftChars="200"/>
    </w:pPr>
  </w:style>
  <w:style w:type="paragraph" w:styleId="7">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Body Text First Indent"/>
    <w:basedOn w:val="3"/>
    <w:next w:val="1"/>
    <w:qFormat/>
    <w:uiPriority w:val="0"/>
    <w:pPr>
      <w:ind w:firstLine="420" w:firstLineChars="100"/>
    </w:pPr>
    <w:rPr>
      <w:rFonts w:ascii="宋体" w:hAnsi="Calibri"/>
      <w:kern w:val="0"/>
      <w:sz w:val="34"/>
      <w:szCs w:val="20"/>
    </w:rPr>
  </w:style>
  <w:style w:type="paragraph" w:styleId="9">
    <w:name w:val="Body Text First Indent 2"/>
    <w:basedOn w:val="4"/>
    <w:qFormat/>
    <w:uiPriority w:val="0"/>
    <w:pPr>
      <w:spacing w:after="120"/>
      <w:ind w:left="420" w:leftChars="200" w:firstLine="420" w:firstLineChars="200"/>
      <w:jc w:val="left"/>
    </w:pPr>
    <w:rPr>
      <w:sz w:val="20"/>
    </w:rPr>
  </w:style>
  <w:style w:type="paragraph" w:styleId="12">
    <w:name w:val="List Paragraph"/>
    <w:basedOn w:val="1"/>
    <w:semiHidden/>
    <w:unhideWhenUsed/>
    <w:qFormat/>
    <w:uiPriority w:val="99"/>
    <w:pPr>
      <w:ind w:firstLine="420" w:firstLineChars="200"/>
    </w:pPr>
    <w:rPr>
      <w:rFonts w:ascii="Calibri" w:hAnsi="Calibri" w:eastAsia="宋体" w:cs="Times New Roman"/>
      <w:szCs w:val="22"/>
    </w:rPr>
  </w:style>
  <w:style w:type="paragraph" w:customStyle="1" w:styleId="13">
    <w:name w:val="Table Paragraph"/>
    <w:basedOn w:val="1"/>
    <w:qFormat/>
    <w:uiPriority w:val="1"/>
    <w:pPr>
      <w:autoSpaceDE w:val="0"/>
      <w:autoSpaceDN w:val="0"/>
      <w:jc w:val="left"/>
    </w:pPr>
    <w:rPr>
      <w:rFonts w:hint="eastAsia" w:ascii="宋体" w:hAnsi="宋体"/>
      <w:kern w:val="0"/>
      <w:sz w:val="22"/>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86</Pages>
  <Words>25067</Words>
  <Characters>26079</Characters>
  <Lines>0</Lines>
  <Paragraphs>0</Paragraphs>
  <TotalTime>0</TotalTime>
  <ScaleCrop>false</ScaleCrop>
  <LinksUpToDate>false</LinksUpToDate>
  <CharactersWithSpaces>26735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2025-06-10T07:53:00Z</dcterms:created>
  <dc:creator>樱桃小晨子 </dc:creator>
  <cp:lastModifiedBy>樱桃小晨子 </cp:lastModifiedBy>
  <dcterms:modified xsi:type="dcterms:W3CDTF">2025-06-10T10:22:36Z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56F9A21E94534A4AAFBA5EB8FF621F8E_11</vt:lpwstr>
  </property>
  <property fmtid="{D5CDD505-2E9C-101B-9397-08002B2CF9AE}" pid="4" name="KSOTemplateDocerSaveRecord">
    <vt:lpwstr>eyJoZGlkIjoiYmVjZjg2OWE5ZTE1Njc1MjI5MzRlMzhjOTEyZTVkNDUiLCJ1c2VySWQiOiIxMjkzNTU3MjkzIn0=</vt:lpwstr>
  </property>
</Properties>
</file>