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6BA58E">
      <w:pPr>
        <w:autoSpaceDE w:val="0"/>
        <w:autoSpaceDN w:val="0"/>
        <w:adjustRightInd w:val="0"/>
        <w:snapToGrid w:val="0"/>
        <w:spacing w:line="360" w:lineRule="auto"/>
        <w:jc w:val="center"/>
        <w:outlineLvl w:val="0"/>
        <w:rPr>
          <w:b/>
          <w:bCs/>
          <w:color w:val="auto"/>
          <w:sz w:val="44"/>
          <w:szCs w:val="44"/>
          <w:highlight w:val="none"/>
          <w:lang w:val="zh-CN"/>
        </w:rPr>
      </w:pPr>
      <w:bookmarkStart w:id="0" w:name="_Toc11013"/>
      <w:r>
        <w:rPr>
          <w:b/>
          <w:bCs/>
          <w:color w:val="auto"/>
          <w:sz w:val="44"/>
          <w:szCs w:val="44"/>
          <w:highlight w:val="none"/>
          <w:lang w:val="zh-CN"/>
        </w:rPr>
        <w:t>拟签订的合同文本</w:t>
      </w:r>
      <w:bookmarkEnd w:id="0"/>
    </w:p>
    <w:p w14:paraId="576B5ACB">
      <w:pPr>
        <w:adjustRightInd w:val="0"/>
        <w:snapToGrid w:val="0"/>
        <w:spacing w:line="360" w:lineRule="auto"/>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（本格式条款供采购人和</w:t>
      </w:r>
      <w:r>
        <w:rPr>
          <w:rFonts w:hint="eastAsia" w:ascii="宋体" w:hAnsi="宋体" w:cs="宋体"/>
          <w:color w:val="auto"/>
          <w:sz w:val="21"/>
          <w:szCs w:val="21"/>
          <w:highlight w:val="none"/>
          <w:lang w:val="en-US" w:eastAsia="zh-CN"/>
        </w:rPr>
        <w:t>成交</w:t>
      </w:r>
      <w:r>
        <w:rPr>
          <w:rFonts w:hint="eastAsia" w:ascii="宋体" w:hAnsi="宋体" w:eastAsia="宋体" w:cs="宋体"/>
          <w:color w:val="auto"/>
          <w:sz w:val="21"/>
          <w:szCs w:val="21"/>
          <w:highlight w:val="none"/>
        </w:rPr>
        <w:t>人双方签订合同参考，最终以采购人提供的合同为准）</w:t>
      </w:r>
    </w:p>
    <w:p w14:paraId="31D857DA">
      <w:pPr>
        <w:jc w:val="center"/>
        <w:rPr>
          <w:rFonts w:hint="eastAsia" w:ascii="宋体" w:hAnsi="宋体" w:eastAsia="宋体" w:cs="宋体"/>
          <w:b/>
          <w:bCs/>
          <w:color w:val="auto"/>
          <w:spacing w:val="20"/>
          <w:sz w:val="44"/>
          <w:szCs w:val="22"/>
          <w:highlight w:val="none"/>
          <w:u w:val="single"/>
          <w:lang w:val="en-US" w:eastAsia="zh-CN"/>
        </w:rPr>
      </w:pPr>
    </w:p>
    <w:p w14:paraId="4A215DB3">
      <w:pPr>
        <w:jc w:val="center"/>
        <w:rPr>
          <w:rFonts w:hint="eastAsia" w:ascii="宋体" w:hAnsi="宋体" w:eastAsia="宋体" w:cs="宋体"/>
          <w:b/>
          <w:bCs/>
          <w:color w:val="auto"/>
          <w:spacing w:val="20"/>
          <w:sz w:val="44"/>
          <w:szCs w:val="22"/>
          <w:highlight w:val="none"/>
          <w:u w:val="single"/>
          <w:lang w:val="en-US" w:eastAsia="zh-CN"/>
        </w:rPr>
      </w:pPr>
    </w:p>
    <w:p w14:paraId="787CF0B3">
      <w:pPr>
        <w:jc w:val="center"/>
        <w:rPr>
          <w:rFonts w:hint="eastAsia" w:ascii="宋体" w:hAnsi="宋体" w:eastAsia="宋体" w:cs="宋体"/>
          <w:b/>
          <w:color w:val="auto"/>
          <w:kern w:val="0"/>
          <w:sz w:val="52"/>
          <w:szCs w:val="52"/>
          <w:highlight w:val="none"/>
        </w:rPr>
      </w:pPr>
      <w:r>
        <w:rPr>
          <w:rFonts w:hint="eastAsia" w:ascii="宋体" w:hAnsi="宋体" w:eastAsia="宋体" w:cs="宋体"/>
          <w:b/>
          <w:bCs/>
          <w:color w:val="auto"/>
          <w:spacing w:val="20"/>
          <w:sz w:val="44"/>
          <w:szCs w:val="22"/>
          <w:highlight w:val="none"/>
          <w:u w:val="single"/>
          <w:lang w:val="en-US" w:eastAsia="zh-CN"/>
        </w:rPr>
        <w:t xml:space="preserve">                 </w:t>
      </w:r>
      <w:r>
        <w:rPr>
          <w:rFonts w:hint="eastAsia" w:ascii="宋体" w:hAnsi="宋体" w:eastAsia="宋体" w:cs="宋体"/>
          <w:b/>
          <w:bCs/>
          <w:color w:val="auto"/>
          <w:spacing w:val="20"/>
          <w:sz w:val="44"/>
          <w:szCs w:val="22"/>
          <w:highlight w:val="none"/>
          <w:lang w:eastAsia="zh-CN"/>
        </w:rPr>
        <w:t>项目</w:t>
      </w:r>
      <w:r>
        <w:rPr>
          <w:rFonts w:hint="eastAsia" w:ascii="宋体" w:hAnsi="宋体" w:eastAsia="宋体" w:cs="宋体"/>
          <w:b/>
          <w:bCs/>
          <w:color w:val="auto"/>
          <w:spacing w:val="20"/>
          <w:sz w:val="44"/>
          <w:szCs w:val="22"/>
          <w:highlight w:val="none"/>
          <w:lang w:val="en-US" w:eastAsia="zh-CN"/>
        </w:rPr>
        <w:t>服务</w:t>
      </w:r>
      <w:r>
        <w:rPr>
          <w:rFonts w:hint="eastAsia" w:ascii="宋体" w:hAnsi="宋体" w:eastAsia="宋体" w:cs="宋体"/>
          <w:b/>
          <w:bCs/>
          <w:color w:val="auto"/>
          <w:spacing w:val="20"/>
          <w:sz w:val="44"/>
          <w:szCs w:val="22"/>
          <w:highlight w:val="none"/>
          <w:lang w:eastAsia="zh-CN"/>
        </w:rPr>
        <w:t>合同</w:t>
      </w:r>
    </w:p>
    <w:p w14:paraId="7F106715">
      <w:pPr>
        <w:snapToGrid w:val="0"/>
        <w:spacing w:line="532" w:lineRule="atLeast"/>
        <w:textAlignment w:val="baseline"/>
        <w:rPr>
          <w:rFonts w:hint="eastAsia" w:ascii="宋体" w:hAnsi="宋体" w:eastAsia="宋体" w:cs="宋体"/>
          <w:color w:val="auto"/>
          <w:kern w:val="0"/>
          <w:szCs w:val="21"/>
          <w:highlight w:val="none"/>
        </w:rPr>
      </w:pPr>
    </w:p>
    <w:p w14:paraId="4B3621DE">
      <w:pPr>
        <w:snapToGrid w:val="0"/>
        <w:spacing w:line="532" w:lineRule="atLeast"/>
        <w:textAlignment w:val="baseline"/>
        <w:rPr>
          <w:rFonts w:hint="eastAsia" w:ascii="宋体" w:hAnsi="宋体" w:eastAsia="宋体" w:cs="宋体"/>
          <w:color w:val="auto"/>
          <w:kern w:val="0"/>
          <w:szCs w:val="21"/>
          <w:highlight w:val="none"/>
        </w:rPr>
      </w:pPr>
    </w:p>
    <w:p w14:paraId="396E0FB8">
      <w:pPr>
        <w:snapToGrid w:val="0"/>
        <w:spacing w:line="532" w:lineRule="atLeast"/>
        <w:textAlignment w:val="baseline"/>
        <w:rPr>
          <w:rFonts w:hint="eastAsia" w:ascii="宋体" w:hAnsi="宋体" w:eastAsia="宋体" w:cs="宋体"/>
          <w:color w:val="auto"/>
          <w:kern w:val="0"/>
          <w:szCs w:val="21"/>
          <w:highlight w:val="none"/>
        </w:rPr>
      </w:pPr>
    </w:p>
    <w:p w14:paraId="60BB0795">
      <w:pPr>
        <w:snapToGrid w:val="0"/>
        <w:spacing w:line="532" w:lineRule="atLeast"/>
        <w:textAlignment w:val="baseline"/>
        <w:rPr>
          <w:rFonts w:hint="eastAsia" w:ascii="宋体" w:hAnsi="宋体" w:eastAsia="宋体" w:cs="宋体"/>
          <w:color w:val="auto"/>
          <w:kern w:val="0"/>
          <w:szCs w:val="21"/>
          <w:highlight w:val="none"/>
        </w:rPr>
      </w:pPr>
    </w:p>
    <w:p w14:paraId="57FFE008">
      <w:pPr>
        <w:snapToGrid w:val="0"/>
        <w:spacing w:line="532" w:lineRule="atLeast"/>
        <w:textAlignment w:val="baseline"/>
        <w:rPr>
          <w:rFonts w:hint="eastAsia" w:ascii="宋体" w:hAnsi="宋体" w:eastAsia="宋体" w:cs="宋体"/>
          <w:color w:val="auto"/>
          <w:kern w:val="0"/>
          <w:szCs w:val="21"/>
          <w:highlight w:val="none"/>
        </w:rPr>
      </w:pPr>
    </w:p>
    <w:p w14:paraId="081FC2C7">
      <w:pPr>
        <w:snapToGrid w:val="0"/>
        <w:spacing w:line="532" w:lineRule="atLeast"/>
        <w:textAlignment w:val="baseline"/>
        <w:rPr>
          <w:rFonts w:hint="eastAsia" w:ascii="宋体" w:hAnsi="宋体" w:eastAsia="宋体" w:cs="宋体"/>
          <w:color w:val="auto"/>
          <w:kern w:val="0"/>
          <w:szCs w:val="21"/>
          <w:highlight w:val="none"/>
        </w:rPr>
      </w:pPr>
    </w:p>
    <w:p w14:paraId="254619FA">
      <w:pPr>
        <w:snapToGrid w:val="0"/>
        <w:spacing w:line="532" w:lineRule="atLeast"/>
        <w:textAlignment w:val="baseline"/>
        <w:rPr>
          <w:rFonts w:hint="eastAsia" w:ascii="宋体" w:hAnsi="宋体" w:eastAsia="宋体" w:cs="宋体"/>
          <w:color w:val="auto"/>
          <w:kern w:val="0"/>
          <w:szCs w:val="21"/>
          <w:highlight w:val="none"/>
        </w:rPr>
      </w:pPr>
    </w:p>
    <w:p w14:paraId="646A9223">
      <w:pPr>
        <w:pStyle w:val="2"/>
        <w:rPr>
          <w:rFonts w:hint="eastAsia" w:ascii="宋体" w:hAnsi="宋体" w:eastAsia="宋体" w:cs="宋体"/>
          <w:color w:val="auto"/>
          <w:kern w:val="0"/>
          <w:szCs w:val="21"/>
          <w:highlight w:val="none"/>
        </w:rPr>
      </w:pPr>
    </w:p>
    <w:p w14:paraId="097F144A">
      <w:pPr>
        <w:rPr>
          <w:rFonts w:hint="eastAsia" w:ascii="宋体" w:hAnsi="宋体" w:eastAsia="宋体" w:cs="宋体"/>
          <w:color w:val="auto"/>
          <w:kern w:val="0"/>
          <w:szCs w:val="21"/>
          <w:highlight w:val="none"/>
        </w:rPr>
      </w:pPr>
    </w:p>
    <w:p w14:paraId="1FC47F12">
      <w:pPr>
        <w:pStyle w:val="2"/>
        <w:rPr>
          <w:rFonts w:hint="eastAsia" w:ascii="宋体" w:hAnsi="宋体" w:eastAsia="宋体" w:cs="宋体"/>
          <w:color w:val="auto"/>
          <w:kern w:val="0"/>
          <w:szCs w:val="21"/>
          <w:highlight w:val="none"/>
        </w:rPr>
      </w:pPr>
    </w:p>
    <w:p w14:paraId="32EEF562">
      <w:pPr>
        <w:rPr>
          <w:rFonts w:hint="eastAsia" w:ascii="宋体" w:hAnsi="宋体" w:eastAsia="宋体" w:cs="宋体"/>
          <w:color w:val="auto"/>
          <w:kern w:val="0"/>
          <w:szCs w:val="21"/>
          <w:highlight w:val="none"/>
        </w:rPr>
      </w:pPr>
    </w:p>
    <w:p w14:paraId="45AED6AB">
      <w:pPr>
        <w:pStyle w:val="2"/>
        <w:rPr>
          <w:rFonts w:hint="eastAsia" w:ascii="宋体" w:hAnsi="宋体" w:eastAsia="宋体" w:cs="宋体"/>
          <w:color w:val="auto"/>
          <w:kern w:val="0"/>
          <w:szCs w:val="21"/>
          <w:highlight w:val="none"/>
        </w:rPr>
      </w:pPr>
    </w:p>
    <w:p w14:paraId="293F3C30">
      <w:pPr>
        <w:rPr>
          <w:rFonts w:hint="eastAsia"/>
          <w:color w:val="auto"/>
        </w:rPr>
      </w:pPr>
    </w:p>
    <w:p w14:paraId="45EFF113">
      <w:pPr>
        <w:snapToGrid w:val="0"/>
        <w:spacing w:line="532" w:lineRule="atLeast"/>
        <w:ind w:firstLine="960" w:firstLineChars="400"/>
        <w:textAlignment w:val="baseline"/>
        <w:rPr>
          <w:rFonts w:hint="eastAsia" w:ascii="宋体" w:hAnsi="宋体" w:eastAsia="宋体" w:cs="宋体"/>
          <w:b/>
          <w:bCs/>
          <w:color w:val="auto"/>
          <w:kern w:val="0"/>
          <w:sz w:val="24"/>
          <w:szCs w:val="24"/>
          <w:highlight w:val="none"/>
          <w:u w:val="single" w:color="000000"/>
        </w:rPr>
      </w:pPr>
      <w:r>
        <w:rPr>
          <w:rFonts w:hint="eastAsia" w:ascii="宋体" w:hAnsi="宋体" w:eastAsia="宋体" w:cs="宋体"/>
          <w:color w:val="auto"/>
          <w:kern w:val="0"/>
          <w:sz w:val="24"/>
          <w:szCs w:val="24"/>
          <w:highlight w:val="none"/>
        </w:rPr>
        <w:t>项 目 名 称 ：</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bCs/>
          <w:color w:val="auto"/>
          <w:kern w:val="0"/>
          <w:sz w:val="24"/>
          <w:szCs w:val="24"/>
          <w:highlight w:val="none"/>
          <w:u w:val="single" w:color="000000"/>
        </w:rPr>
        <w:t xml:space="preserve">       </w:t>
      </w:r>
    </w:p>
    <w:p w14:paraId="61367C39">
      <w:pPr>
        <w:snapToGrid w:val="0"/>
        <w:spacing w:line="532" w:lineRule="atLeast"/>
        <w:ind w:firstLine="960" w:firstLineChars="400"/>
        <w:textAlignment w:val="baseline"/>
        <w:rPr>
          <w:rFonts w:hint="eastAsia" w:ascii="宋体" w:hAnsi="宋体" w:eastAsia="宋体" w:cs="宋体"/>
          <w:color w:val="auto"/>
          <w:kern w:val="0"/>
          <w:sz w:val="24"/>
          <w:szCs w:val="24"/>
          <w:highlight w:val="none"/>
          <w:u w:val="single" w:color="000000"/>
        </w:rPr>
      </w:pPr>
      <w:r>
        <w:rPr>
          <w:rFonts w:hint="eastAsia" w:ascii="宋体" w:hAnsi="宋体" w:eastAsia="宋体" w:cs="宋体"/>
          <w:color w:val="auto"/>
          <w:kern w:val="0"/>
          <w:sz w:val="24"/>
          <w:szCs w:val="24"/>
          <w:highlight w:val="none"/>
        </w:rPr>
        <w:t>项 目 地 点 ：</w:t>
      </w:r>
      <w:r>
        <w:rPr>
          <w:rFonts w:hint="eastAsia" w:ascii="宋体" w:hAnsi="宋体" w:eastAsia="宋体" w:cs="宋体"/>
          <w:color w:val="auto"/>
          <w:kern w:val="0"/>
          <w:sz w:val="24"/>
          <w:szCs w:val="24"/>
          <w:highlight w:val="none"/>
          <w:u w:val="single" w:color="000000"/>
        </w:rPr>
        <w:t xml:space="preserve">                                           </w:t>
      </w:r>
    </w:p>
    <w:p w14:paraId="498548BF">
      <w:pPr>
        <w:snapToGrid w:val="0"/>
        <w:spacing w:line="532" w:lineRule="atLeast"/>
        <w:ind w:firstLine="960" w:firstLineChars="400"/>
        <w:textAlignment w:val="baseline"/>
        <w:rPr>
          <w:rFonts w:hint="eastAsia" w:ascii="宋体" w:hAnsi="宋体" w:eastAsia="宋体" w:cs="宋体"/>
          <w:color w:val="auto"/>
          <w:kern w:val="0"/>
          <w:sz w:val="24"/>
          <w:szCs w:val="24"/>
          <w:highlight w:val="none"/>
          <w:u w:val="single" w:color="000000"/>
        </w:rPr>
      </w:pPr>
      <w:r>
        <w:rPr>
          <w:rFonts w:hint="eastAsia" w:ascii="宋体" w:hAnsi="宋体" w:eastAsia="宋体" w:cs="宋体"/>
          <w:color w:val="auto"/>
          <w:kern w:val="0"/>
          <w:sz w:val="24"/>
          <w:szCs w:val="24"/>
          <w:highlight w:val="none"/>
        </w:rPr>
        <w:t>合 同 编 号 ：</w:t>
      </w:r>
      <w:r>
        <w:rPr>
          <w:rFonts w:hint="eastAsia" w:ascii="宋体" w:hAnsi="宋体" w:eastAsia="宋体" w:cs="宋体"/>
          <w:color w:val="auto"/>
          <w:kern w:val="0"/>
          <w:sz w:val="24"/>
          <w:szCs w:val="24"/>
          <w:highlight w:val="none"/>
          <w:u w:val="single" w:color="000000"/>
        </w:rPr>
        <w:t xml:space="preserve">                                           </w:t>
      </w:r>
    </w:p>
    <w:p w14:paraId="36275FA6">
      <w:pPr>
        <w:snapToGrid w:val="0"/>
        <w:spacing w:line="532" w:lineRule="atLeast"/>
        <w:ind w:firstLine="960" w:firstLineChars="4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   包  人 ：</w:t>
      </w:r>
      <w:r>
        <w:rPr>
          <w:rFonts w:hint="eastAsia" w:ascii="宋体" w:hAnsi="宋体" w:eastAsia="宋体" w:cs="宋体"/>
          <w:color w:val="auto"/>
          <w:kern w:val="0"/>
          <w:sz w:val="24"/>
          <w:szCs w:val="24"/>
          <w:highlight w:val="none"/>
          <w:u w:val="single" w:color="000000"/>
        </w:rPr>
        <w:t xml:space="preserve">                                           </w:t>
      </w:r>
    </w:p>
    <w:p w14:paraId="0565A613">
      <w:pPr>
        <w:snapToGrid w:val="0"/>
        <w:spacing w:line="532" w:lineRule="atLeast"/>
        <w:ind w:firstLine="960" w:firstLineChars="400"/>
        <w:textAlignment w:val="baseline"/>
        <w:rPr>
          <w:rFonts w:hint="eastAsia" w:ascii="宋体" w:hAnsi="宋体" w:eastAsia="宋体" w:cs="宋体"/>
          <w:color w:val="auto"/>
          <w:kern w:val="0"/>
          <w:sz w:val="24"/>
          <w:szCs w:val="24"/>
          <w:highlight w:val="none"/>
          <w:u w:val="single" w:color="000000"/>
        </w:rPr>
      </w:pPr>
      <w:r>
        <w:rPr>
          <w:rFonts w:hint="eastAsia" w:ascii="宋体" w:hAnsi="宋体" w:eastAsia="宋体" w:cs="宋体"/>
          <w:color w:val="auto"/>
          <w:kern w:val="0"/>
          <w:sz w:val="24"/>
          <w:szCs w:val="24"/>
          <w:highlight w:val="none"/>
        </w:rPr>
        <w:t>承   包  人 ：</w:t>
      </w:r>
      <w:r>
        <w:rPr>
          <w:rFonts w:hint="eastAsia" w:ascii="宋体" w:hAnsi="宋体" w:eastAsia="宋体" w:cs="宋体"/>
          <w:color w:val="auto"/>
          <w:kern w:val="0"/>
          <w:sz w:val="24"/>
          <w:szCs w:val="24"/>
          <w:highlight w:val="none"/>
          <w:u w:val="single" w:color="000000"/>
        </w:rPr>
        <w:t xml:space="preserve">                                           </w:t>
      </w:r>
    </w:p>
    <w:p w14:paraId="173DAD8B">
      <w:pPr>
        <w:snapToGrid w:val="0"/>
        <w:spacing w:line="532" w:lineRule="atLeast"/>
        <w:ind w:firstLine="960" w:firstLineChars="400"/>
        <w:textAlignment w:val="baseline"/>
        <w:rPr>
          <w:rFonts w:hint="eastAsia" w:ascii="宋体" w:hAnsi="宋体" w:eastAsia="宋体" w:cs="宋体"/>
          <w:color w:val="auto"/>
          <w:kern w:val="0"/>
          <w:sz w:val="24"/>
          <w:szCs w:val="24"/>
          <w:highlight w:val="none"/>
          <w:u w:val="single" w:color="000000"/>
        </w:rPr>
      </w:pPr>
      <w:r>
        <w:rPr>
          <w:rFonts w:hint="eastAsia" w:ascii="宋体" w:hAnsi="宋体" w:eastAsia="宋体" w:cs="宋体"/>
          <w:color w:val="auto"/>
          <w:kern w:val="0"/>
          <w:sz w:val="24"/>
          <w:szCs w:val="24"/>
          <w:highlight w:val="none"/>
        </w:rPr>
        <w:t>签 订 日 期 ：</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w:t>
      </w:r>
    </w:p>
    <w:p w14:paraId="62A0D7B1">
      <w:pPr>
        <w:snapToGrid w:val="0"/>
        <w:spacing w:line="532" w:lineRule="atLeast"/>
        <w:textAlignment w:val="baseline"/>
        <w:rPr>
          <w:rFonts w:hint="eastAsia" w:ascii="宋体" w:hAnsi="宋体" w:eastAsia="宋体" w:cs="宋体"/>
          <w:b/>
          <w:bCs/>
          <w:color w:val="auto"/>
          <w:sz w:val="24"/>
          <w:szCs w:val="24"/>
          <w:highlight w:val="none"/>
        </w:rPr>
      </w:pPr>
    </w:p>
    <w:p w14:paraId="418A34A7">
      <w:pPr>
        <w:snapToGrid w:val="0"/>
        <w:spacing w:line="532" w:lineRule="atLeast"/>
        <w:textAlignment w:val="baseline"/>
        <w:rPr>
          <w:rFonts w:hint="eastAsia" w:ascii="宋体" w:hAnsi="宋体" w:eastAsia="宋体" w:cs="宋体"/>
          <w:b/>
          <w:bCs/>
          <w:color w:val="auto"/>
          <w:kern w:val="0"/>
          <w:szCs w:val="21"/>
          <w:highlight w:val="none"/>
        </w:rPr>
      </w:pPr>
    </w:p>
    <w:p w14:paraId="2D824628">
      <w:pPr>
        <w:keepNext w:val="0"/>
        <w:keepLines w:val="0"/>
        <w:pageBreakBefore w:val="0"/>
        <w:widowControl w:val="0"/>
        <w:kinsoku/>
        <w:wordWrap/>
        <w:overflowPunct/>
        <w:topLinePunct w:val="0"/>
        <w:bidi w:val="0"/>
        <w:snapToGrid w:val="0"/>
        <w:spacing w:line="470" w:lineRule="exact"/>
        <w:textAlignment w:val="baseline"/>
        <w:rPr>
          <w:rFonts w:hint="eastAsia" w:ascii="宋体" w:hAnsi="宋体" w:eastAsia="宋体" w:cs="宋体"/>
          <w:b/>
          <w:bCs/>
          <w:color w:val="auto"/>
          <w:kern w:val="0"/>
          <w:sz w:val="21"/>
          <w:szCs w:val="21"/>
          <w:highlight w:val="none"/>
        </w:rPr>
      </w:pPr>
      <w:r>
        <w:rPr>
          <w:rFonts w:hint="eastAsia" w:ascii="宋体" w:hAnsi="宋体" w:eastAsia="宋体" w:cs="宋体"/>
          <w:bCs/>
          <w:color w:val="auto"/>
          <w:szCs w:val="21"/>
          <w:highlight w:val="none"/>
        </w:rPr>
        <w:br w:type="page"/>
      </w:r>
      <w:bookmarkStart w:id="1" w:name="_GoBack"/>
      <w:r>
        <w:rPr>
          <w:rFonts w:hint="eastAsia" w:ascii="宋体" w:hAnsi="宋体" w:eastAsia="宋体" w:cs="宋体"/>
          <w:b/>
          <w:bCs/>
          <w:color w:val="auto"/>
          <w:kern w:val="0"/>
          <w:sz w:val="21"/>
          <w:szCs w:val="21"/>
          <w:highlight w:val="none"/>
        </w:rPr>
        <w:t>一、采购合同格式（服务）</w:t>
      </w:r>
    </w:p>
    <w:bookmarkEnd w:id="1"/>
    <w:p w14:paraId="6D6DAF8D">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cs="宋体"/>
          <w:b w:val="0"/>
          <w:bCs/>
          <w:color w:val="auto"/>
          <w:kern w:val="0"/>
          <w:sz w:val="21"/>
          <w:szCs w:val="21"/>
          <w:highlight w:val="none"/>
          <w:shd w:val="clear" w:color="auto" w:fill="FFFFFF"/>
          <w:lang w:val="en-US" w:eastAsia="zh-CN" w:bidi="ar-SA"/>
        </w:rPr>
        <w:t>西安市生态环境局雁塔分局</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none"/>
        </w:rPr>
        <w:t>项目</w:t>
      </w:r>
      <w:r>
        <w:rPr>
          <w:rFonts w:hint="eastAsia" w:ascii="宋体" w:hAnsi="宋体" w:eastAsia="宋体" w:cs="宋体"/>
          <w:color w:val="auto"/>
          <w:kern w:val="0"/>
          <w:sz w:val="21"/>
          <w:szCs w:val="21"/>
          <w:highlight w:val="none"/>
        </w:rPr>
        <w:t>，在</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的监督管理下，由</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组织</w:t>
      </w:r>
      <w:r>
        <w:rPr>
          <w:rFonts w:hint="eastAsia" w:ascii="宋体" w:hAnsi="宋体" w:eastAsia="宋体" w:cs="宋体"/>
          <w:color w:val="auto"/>
          <w:kern w:val="0"/>
          <w:sz w:val="21"/>
          <w:szCs w:val="21"/>
          <w:highlight w:val="none"/>
          <w:lang w:val="en-US" w:eastAsia="zh-CN"/>
        </w:rPr>
        <w:t>竞争性磋商会议</w:t>
      </w:r>
      <w:r>
        <w:rPr>
          <w:rFonts w:hint="eastAsia" w:ascii="宋体" w:hAnsi="宋体" w:eastAsia="宋体" w:cs="宋体"/>
          <w:color w:val="auto"/>
          <w:kern w:val="0"/>
          <w:sz w:val="21"/>
          <w:szCs w:val="21"/>
          <w:highlight w:val="none"/>
        </w:rPr>
        <w:t>。</w:t>
      </w:r>
      <w:r>
        <w:rPr>
          <w:rFonts w:hint="eastAsia" w:ascii="宋体" w:hAnsi="宋体" w:cs="宋体"/>
          <w:b w:val="0"/>
          <w:bCs/>
          <w:color w:val="auto"/>
          <w:kern w:val="0"/>
          <w:sz w:val="21"/>
          <w:szCs w:val="21"/>
          <w:highlight w:val="none"/>
          <w:shd w:val="clear" w:color="auto" w:fill="FFFFFF"/>
          <w:lang w:val="en-US" w:eastAsia="zh-CN" w:bidi="ar-SA"/>
        </w:rPr>
        <w:t>西安市生态环境局雁塔分局</w:t>
      </w:r>
      <w:r>
        <w:rPr>
          <w:rFonts w:hint="eastAsia" w:ascii="宋体" w:hAnsi="宋体" w:eastAsia="宋体" w:cs="宋体"/>
          <w:color w:val="auto"/>
          <w:kern w:val="0"/>
          <w:sz w:val="21"/>
          <w:szCs w:val="21"/>
          <w:highlight w:val="none"/>
        </w:rPr>
        <w:t>(以下简称“甲方”)确定</w:t>
      </w:r>
      <w:r>
        <w:rPr>
          <w:rFonts w:hint="eastAsia" w:ascii="宋体" w:hAnsi="宋体" w:eastAsia="宋体" w:cs="宋体"/>
          <w:color w:val="auto"/>
          <w:kern w:val="0"/>
          <w:sz w:val="21"/>
          <w:szCs w:val="21"/>
          <w:highlight w:val="none"/>
          <w:u w:val="single"/>
        </w:rPr>
        <w:t xml:space="preserve">    (成交单位名称)  </w:t>
      </w:r>
      <w:r>
        <w:rPr>
          <w:rFonts w:hint="eastAsia" w:ascii="宋体" w:hAnsi="宋体" w:eastAsia="宋体" w:cs="宋体"/>
          <w:color w:val="auto"/>
          <w:kern w:val="0"/>
          <w:sz w:val="21"/>
          <w:szCs w:val="21"/>
          <w:highlight w:val="none"/>
        </w:rPr>
        <w:t>（以下简称“乙方”）为成交单位。</w:t>
      </w:r>
    </w:p>
    <w:p w14:paraId="73A5C4EE">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依据《中华人民共和国</w:t>
      </w:r>
      <w:r>
        <w:rPr>
          <w:rFonts w:hint="eastAsia" w:ascii="宋体" w:hAnsi="宋体" w:eastAsia="宋体" w:cs="宋体"/>
          <w:color w:val="auto"/>
          <w:kern w:val="0"/>
          <w:sz w:val="21"/>
          <w:szCs w:val="21"/>
          <w:highlight w:val="none"/>
          <w:lang w:eastAsia="zh-CN"/>
        </w:rPr>
        <w:t>民法典</w:t>
      </w:r>
      <w:r>
        <w:rPr>
          <w:rFonts w:hint="eastAsia" w:ascii="宋体" w:hAnsi="宋体" w:eastAsia="宋体" w:cs="宋体"/>
          <w:color w:val="auto"/>
          <w:kern w:val="0"/>
          <w:sz w:val="21"/>
          <w:szCs w:val="21"/>
          <w:highlight w:val="none"/>
        </w:rPr>
        <w:t>》和《中华人民共和国政府采购法》</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《中华人民共和国政府采购法实施条例》，甲方通过</w:t>
      </w:r>
      <w:r>
        <w:rPr>
          <w:rFonts w:hint="eastAsia" w:ascii="宋体" w:hAnsi="宋体" w:eastAsia="宋体" w:cs="宋体"/>
          <w:color w:val="auto"/>
          <w:kern w:val="0"/>
          <w:sz w:val="21"/>
          <w:szCs w:val="21"/>
          <w:highlight w:val="none"/>
          <w:lang w:val="en-US" w:eastAsia="zh-CN"/>
        </w:rPr>
        <w:t>竞争性磋商</w:t>
      </w:r>
      <w:r>
        <w:rPr>
          <w:rFonts w:hint="eastAsia" w:ascii="宋体" w:hAnsi="宋体" w:eastAsia="宋体" w:cs="宋体"/>
          <w:color w:val="auto"/>
          <w:kern w:val="0"/>
          <w:sz w:val="21"/>
          <w:szCs w:val="21"/>
          <w:highlight w:val="none"/>
          <w:u w:val="single"/>
        </w:rPr>
        <w:t xml:space="preserve">        （服务内容）        </w:t>
      </w:r>
      <w:r>
        <w:rPr>
          <w:rFonts w:hint="eastAsia" w:ascii="宋体" w:hAnsi="宋体" w:eastAsia="宋体" w:cs="宋体"/>
          <w:color w:val="auto"/>
          <w:kern w:val="0"/>
          <w:sz w:val="21"/>
          <w:szCs w:val="21"/>
          <w:highlight w:val="none"/>
        </w:rPr>
        <w:t>，并接受了乙方以价格</w:t>
      </w:r>
      <w:r>
        <w:rPr>
          <w:rFonts w:hint="eastAsia" w:ascii="宋体" w:hAnsi="宋体" w:eastAsia="宋体" w:cs="宋体"/>
          <w:color w:val="auto"/>
          <w:kern w:val="0"/>
          <w:sz w:val="21"/>
          <w:szCs w:val="21"/>
          <w:highlight w:val="none"/>
          <w:u w:val="single"/>
        </w:rPr>
        <w:t xml:space="preserve">    （成交金额大写)   </w:t>
      </w:r>
      <w:r>
        <w:rPr>
          <w:rFonts w:hint="eastAsia" w:ascii="宋体" w:hAnsi="宋体" w:eastAsia="宋体" w:cs="宋体"/>
          <w:color w:val="auto"/>
          <w:kern w:val="0"/>
          <w:sz w:val="21"/>
          <w:szCs w:val="21"/>
          <w:highlight w:val="none"/>
          <w:u w:val="none"/>
          <w:lang w:eastAsia="zh-CN"/>
        </w:rPr>
        <w:t>（</w:t>
      </w:r>
      <w:r>
        <w:rPr>
          <w:rFonts w:hint="eastAsia" w:ascii="宋体" w:hAnsi="宋体" w:eastAsia="宋体" w:cs="宋体"/>
          <w:color w:val="auto"/>
          <w:kern w:val="0"/>
          <w:sz w:val="21"/>
          <w:szCs w:val="21"/>
          <w:highlight w:val="none"/>
        </w:rPr>
        <w:t>以下简称“合同价”)提供的产品及服务。</w:t>
      </w:r>
    </w:p>
    <w:p w14:paraId="40ECD26F">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本合同在此声明如下：</w:t>
      </w:r>
    </w:p>
    <w:p w14:paraId="1651259E">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1、本合同中的词语和术语的含义与合同条款中定义的相同。</w:t>
      </w:r>
    </w:p>
    <w:p w14:paraId="7091F41B">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2、下述文件是本合同的一部分，并与本合同一起阅读和解释：</w:t>
      </w:r>
    </w:p>
    <w:p w14:paraId="620B7993">
      <w:pPr>
        <w:keepNext w:val="0"/>
        <w:keepLines w:val="0"/>
        <w:pageBreakBefore w:val="0"/>
        <w:widowControl w:val="0"/>
        <w:kinsoku/>
        <w:wordWrap/>
        <w:overflowPunct/>
        <w:topLinePunct w:val="0"/>
        <w:bidi w:val="0"/>
        <w:snapToGrid w:val="0"/>
        <w:spacing w:line="470" w:lineRule="exact"/>
        <w:ind w:firstLine="630" w:firstLineChars="3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1）合同条款</w:t>
      </w:r>
    </w:p>
    <w:p w14:paraId="1BF4F8C7">
      <w:pPr>
        <w:keepNext w:val="0"/>
        <w:keepLines w:val="0"/>
        <w:pageBreakBefore w:val="0"/>
        <w:widowControl w:val="0"/>
        <w:kinsoku/>
        <w:wordWrap/>
        <w:overflowPunct/>
        <w:topLinePunct w:val="0"/>
        <w:bidi w:val="0"/>
        <w:snapToGrid w:val="0"/>
        <w:spacing w:line="470" w:lineRule="exact"/>
        <w:ind w:firstLine="630" w:firstLineChars="3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2）合同条款附件</w:t>
      </w:r>
    </w:p>
    <w:p w14:paraId="3C8CC245">
      <w:pPr>
        <w:keepNext w:val="0"/>
        <w:keepLines w:val="0"/>
        <w:pageBreakBefore w:val="0"/>
        <w:widowControl w:val="0"/>
        <w:kinsoku/>
        <w:wordWrap/>
        <w:overflowPunct/>
        <w:topLinePunct w:val="0"/>
        <w:bidi w:val="0"/>
        <w:snapToGrid w:val="0"/>
        <w:spacing w:line="470" w:lineRule="exact"/>
        <w:ind w:firstLine="840" w:firstLineChars="4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附件1—服务承诺</w:t>
      </w:r>
    </w:p>
    <w:p w14:paraId="1A71123E">
      <w:pPr>
        <w:keepNext w:val="0"/>
        <w:keepLines w:val="0"/>
        <w:pageBreakBefore w:val="0"/>
        <w:widowControl w:val="0"/>
        <w:kinsoku/>
        <w:wordWrap/>
        <w:overflowPunct/>
        <w:topLinePunct w:val="0"/>
        <w:bidi w:val="0"/>
        <w:snapToGrid w:val="0"/>
        <w:spacing w:line="470" w:lineRule="exact"/>
        <w:ind w:firstLine="630" w:firstLineChars="3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3）成交通知书</w:t>
      </w:r>
    </w:p>
    <w:p w14:paraId="054D9D39">
      <w:pPr>
        <w:keepNext w:val="0"/>
        <w:keepLines w:val="0"/>
        <w:pageBreakBefore w:val="0"/>
        <w:widowControl w:val="0"/>
        <w:kinsoku/>
        <w:wordWrap/>
        <w:overflowPunct/>
        <w:topLinePunct w:val="0"/>
        <w:bidi w:val="0"/>
        <w:snapToGrid w:val="0"/>
        <w:spacing w:line="470" w:lineRule="exact"/>
        <w:ind w:firstLine="630" w:firstLineChars="3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4）公开招标文件</w:t>
      </w:r>
    </w:p>
    <w:p w14:paraId="3A7F56EA">
      <w:pPr>
        <w:keepNext w:val="0"/>
        <w:keepLines w:val="0"/>
        <w:pageBreakBefore w:val="0"/>
        <w:widowControl w:val="0"/>
        <w:kinsoku/>
        <w:wordWrap/>
        <w:overflowPunct/>
        <w:topLinePunct w:val="0"/>
        <w:bidi w:val="0"/>
        <w:snapToGrid w:val="0"/>
        <w:spacing w:line="470" w:lineRule="exact"/>
        <w:ind w:firstLine="630" w:firstLineChars="3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5）投标文件</w:t>
      </w:r>
    </w:p>
    <w:p w14:paraId="6260F68E">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3、考虑到甲方将按照本合同向乙方支付货款，乙方在此保证全部按照合同的规定向甲方提供服务，并修补缺陷。</w:t>
      </w:r>
    </w:p>
    <w:p w14:paraId="4D45C272">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4、考虑到乙方提供的服务并修补缺陷，甲方在此保证按照合同规定的时间和方式向乙方支付合同价或其他按合同规定应支付的金额。</w:t>
      </w:r>
    </w:p>
    <w:p w14:paraId="6BAB7EBB">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5、付款方式</w:t>
      </w:r>
    </w:p>
    <w:p w14:paraId="423828EF">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合同签订时，双方自行商议确定。</w:t>
      </w:r>
    </w:p>
    <w:p w14:paraId="63C76CFC">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6、服务期限：合同签订之日起，按相关技术规范一年内完成。</w:t>
      </w:r>
    </w:p>
    <w:p w14:paraId="6C7C75BE">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7、</w:t>
      </w:r>
      <w:r>
        <w:rPr>
          <w:rFonts w:hint="eastAsia" w:ascii="宋体" w:hAnsi="宋体" w:eastAsia="宋体" w:cs="宋体"/>
          <w:color w:val="auto"/>
          <w:kern w:val="0"/>
          <w:sz w:val="21"/>
          <w:szCs w:val="21"/>
          <w:highlight w:val="none"/>
        </w:rPr>
        <w:t>地    点：</w:t>
      </w:r>
      <w:r>
        <w:rPr>
          <w:rFonts w:hint="eastAsia" w:ascii="宋体" w:hAnsi="宋体" w:cs="宋体"/>
          <w:color w:val="auto"/>
          <w:kern w:val="0"/>
          <w:sz w:val="21"/>
          <w:szCs w:val="21"/>
          <w:highlight w:val="none"/>
          <w:lang w:val="en-US" w:eastAsia="zh-CN"/>
        </w:rPr>
        <w:t>西安市生态环境局雁塔分局</w:t>
      </w:r>
      <w:r>
        <w:rPr>
          <w:rFonts w:hint="eastAsia" w:ascii="宋体" w:hAnsi="宋体" w:eastAsia="宋体" w:cs="宋体"/>
          <w:color w:val="auto"/>
          <w:kern w:val="0"/>
          <w:sz w:val="21"/>
          <w:szCs w:val="21"/>
          <w:highlight w:val="none"/>
        </w:rPr>
        <w:t>指定地点。</w:t>
      </w:r>
    </w:p>
    <w:p w14:paraId="6B39C2EA">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8</w:t>
      </w:r>
      <w:r>
        <w:rPr>
          <w:rFonts w:hint="eastAsia" w:ascii="宋体" w:hAnsi="宋体" w:eastAsia="宋体" w:cs="宋体"/>
          <w:color w:val="auto"/>
          <w:kern w:val="0"/>
          <w:sz w:val="21"/>
          <w:szCs w:val="21"/>
          <w:highlight w:val="none"/>
        </w:rPr>
        <w:t>、本合同一式</w:t>
      </w:r>
      <w:r>
        <w:rPr>
          <w:rFonts w:hint="eastAsia" w:ascii="宋体" w:hAnsi="宋体" w:eastAsia="宋体" w:cs="宋体"/>
          <w:color w:val="auto"/>
          <w:kern w:val="0"/>
          <w:sz w:val="21"/>
          <w:szCs w:val="21"/>
          <w:highlight w:val="none"/>
          <w:lang w:val="en-US" w:eastAsia="zh-CN"/>
        </w:rPr>
        <w:t>肆</w:t>
      </w:r>
      <w:r>
        <w:rPr>
          <w:rFonts w:hint="eastAsia" w:ascii="宋体" w:hAnsi="宋体" w:eastAsia="宋体" w:cs="宋体"/>
          <w:color w:val="auto"/>
          <w:kern w:val="0"/>
          <w:sz w:val="21"/>
          <w:szCs w:val="21"/>
          <w:highlight w:val="none"/>
        </w:rPr>
        <w:t>份，其中，甲方贰份，乙方贰份。</w:t>
      </w:r>
    </w:p>
    <w:p w14:paraId="595C5900">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9</w:t>
      </w:r>
      <w:r>
        <w:rPr>
          <w:rFonts w:hint="eastAsia" w:ascii="宋体" w:hAnsi="宋体" w:eastAsia="宋体" w:cs="宋体"/>
          <w:color w:val="auto"/>
          <w:kern w:val="0"/>
          <w:sz w:val="21"/>
          <w:szCs w:val="21"/>
          <w:highlight w:val="none"/>
        </w:rPr>
        <w:t>、本合同由甲乙双方共同签字盖章之日起生效。</w:t>
      </w:r>
    </w:p>
    <w:p w14:paraId="1D03C310">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sectPr>
          <w:pgSz w:w="11905" w:h="16838"/>
          <w:pgMar w:top="1417" w:right="1417" w:bottom="1417" w:left="1417" w:header="850" w:footer="1134" w:gutter="0"/>
          <w:cols w:space="0" w:num="1"/>
          <w:rtlGutter w:val="0"/>
          <w:docGrid w:linePitch="0" w:charSpace="0"/>
        </w:sectPr>
      </w:pPr>
    </w:p>
    <w:p w14:paraId="1DD61DCF">
      <w:pPr>
        <w:pStyle w:val="2"/>
        <w:rPr>
          <w:rFonts w:hint="eastAsia"/>
          <w:lang w:val="en-US" w:eastAsia="zh-CN"/>
        </w:rPr>
      </w:pPr>
      <w:r>
        <w:rPr>
          <w:rFonts w:hint="eastAsia"/>
          <w:lang w:val="en-US" w:eastAsia="zh-CN"/>
        </w:rPr>
        <w:t>以下无正文</w:t>
      </w:r>
    </w:p>
    <w:p w14:paraId="14DD0318">
      <w:pPr>
        <w:rPr>
          <w:rFonts w:hint="eastAsia"/>
          <w:lang w:val="en-US" w:eastAsia="zh-CN"/>
        </w:rPr>
      </w:pPr>
    </w:p>
    <w:p w14:paraId="5E108C2D">
      <w:pPr>
        <w:rPr>
          <w:rFonts w:hint="eastAsia"/>
        </w:rPr>
      </w:pPr>
    </w:p>
    <w:tbl>
      <w:tblPr>
        <w:tblStyle w:val="7"/>
        <w:tblW w:w="0" w:type="auto"/>
        <w:jc w:val="center"/>
        <w:tblLayout w:type="fixed"/>
        <w:tblCellMar>
          <w:top w:w="0" w:type="dxa"/>
          <w:left w:w="108" w:type="dxa"/>
          <w:bottom w:w="0" w:type="dxa"/>
          <w:right w:w="108" w:type="dxa"/>
        </w:tblCellMar>
      </w:tblPr>
      <w:tblGrid>
        <w:gridCol w:w="4139"/>
        <w:gridCol w:w="4139"/>
      </w:tblGrid>
      <w:tr w14:paraId="6CB62C45">
        <w:tblPrEx>
          <w:tblCellMar>
            <w:top w:w="0" w:type="dxa"/>
            <w:left w:w="108" w:type="dxa"/>
            <w:bottom w:w="0" w:type="dxa"/>
            <w:right w:w="108" w:type="dxa"/>
          </w:tblCellMar>
        </w:tblPrEx>
        <w:trPr>
          <w:trHeight w:val="680" w:hRule="exact"/>
          <w:jc w:val="center"/>
        </w:trPr>
        <w:tc>
          <w:tcPr>
            <w:tcW w:w="4139" w:type="dxa"/>
            <w:noWrap w:val="0"/>
            <w:vAlign w:val="center"/>
          </w:tcPr>
          <w:p w14:paraId="7CE5071D">
            <w:pPr>
              <w:keepNext w:val="0"/>
              <w:keepLines w:val="0"/>
              <w:pageBreakBefore w:val="0"/>
              <w:widowControl w:val="0"/>
              <w:kinsoku/>
              <w:wordWrap/>
              <w:overflowPunct/>
              <w:topLinePunct w:val="0"/>
              <w:autoSpaceDE w:val="0"/>
              <w:autoSpaceDN w:val="0"/>
              <w:bidi w:val="0"/>
              <w:adjustRightInd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  方：</w:t>
            </w:r>
          </w:p>
        </w:tc>
        <w:tc>
          <w:tcPr>
            <w:tcW w:w="4139" w:type="dxa"/>
            <w:noWrap w:val="0"/>
            <w:vAlign w:val="center"/>
          </w:tcPr>
          <w:p w14:paraId="77000086">
            <w:pPr>
              <w:keepNext w:val="0"/>
              <w:keepLines w:val="0"/>
              <w:pageBreakBefore w:val="0"/>
              <w:widowControl w:val="0"/>
              <w:kinsoku/>
              <w:wordWrap/>
              <w:overflowPunct/>
              <w:topLinePunct w:val="0"/>
              <w:autoSpaceDE w:val="0"/>
              <w:autoSpaceDN w:val="0"/>
              <w:bidi w:val="0"/>
              <w:adjustRightInd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  方：</w:t>
            </w:r>
          </w:p>
        </w:tc>
      </w:tr>
      <w:tr w14:paraId="6BDB1E28">
        <w:tblPrEx>
          <w:tblCellMar>
            <w:top w:w="0" w:type="dxa"/>
            <w:left w:w="108" w:type="dxa"/>
            <w:bottom w:w="0" w:type="dxa"/>
            <w:right w:w="108" w:type="dxa"/>
          </w:tblCellMar>
        </w:tblPrEx>
        <w:trPr>
          <w:trHeight w:val="590" w:hRule="exact"/>
          <w:jc w:val="center"/>
        </w:trPr>
        <w:tc>
          <w:tcPr>
            <w:tcW w:w="4139" w:type="dxa"/>
            <w:noWrap w:val="0"/>
            <w:vAlign w:val="center"/>
          </w:tcPr>
          <w:p w14:paraId="4D96C03C">
            <w:pPr>
              <w:keepNext w:val="0"/>
              <w:keepLines w:val="0"/>
              <w:pageBreakBefore w:val="0"/>
              <w:widowControl w:val="0"/>
              <w:kinsoku/>
              <w:wordWrap/>
              <w:overflowPunct/>
              <w:topLinePunct w:val="0"/>
              <w:autoSpaceDE w:val="0"/>
              <w:autoSpaceDN w:val="0"/>
              <w:bidi w:val="0"/>
              <w:adjustRightInd w:val="0"/>
              <w:spacing w:line="470" w:lineRule="exact"/>
              <w:ind w:firstLine="945" w:firstLineChars="4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（盖章）</w:t>
            </w:r>
          </w:p>
        </w:tc>
        <w:tc>
          <w:tcPr>
            <w:tcW w:w="4139" w:type="dxa"/>
            <w:noWrap w:val="0"/>
            <w:vAlign w:val="center"/>
          </w:tcPr>
          <w:p w14:paraId="6990D5EB">
            <w:pPr>
              <w:keepNext w:val="0"/>
              <w:keepLines w:val="0"/>
              <w:pageBreakBefore w:val="0"/>
              <w:widowControl w:val="0"/>
              <w:kinsoku/>
              <w:wordWrap/>
              <w:overflowPunct/>
              <w:topLinePunct w:val="0"/>
              <w:autoSpaceDE w:val="0"/>
              <w:autoSpaceDN w:val="0"/>
              <w:bidi w:val="0"/>
              <w:adjustRightInd w:val="0"/>
              <w:spacing w:line="470" w:lineRule="exact"/>
              <w:ind w:firstLine="735" w:firstLineChars="3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（盖章）</w:t>
            </w:r>
          </w:p>
        </w:tc>
      </w:tr>
      <w:tr w14:paraId="5FDF2F2B">
        <w:tblPrEx>
          <w:tblCellMar>
            <w:top w:w="0" w:type="dxa"/>
            <w:left w:w="108" w:type="dxa"/>
            <w:bottom w:w="0" w:type="dxa"/>
            <w:right w:w="108" w:type="dxa"/>
          </w:tblCellMar>
        </w:tblPrEx>
        <w:trPr>
          <w:trHeight w:val="620" w:hRule="exact"/>
          <w:jc w:val="center"/>
        </w:trPr>
        <w:tc>
          <w:tcPr>
            <w:tcW w:w="4139" w:type="dxa"/>
            <w:noWrap w:val="0"/>
            <w:vAlign w:val="center"/>
          </w:tcPr>
          <w:p w14:paraId="1071DBA9">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地址： </w:t>
            </w:r>
          </w:p>
        </w:tc>
        <w:tc>
          <w:tcPr>
            <w:tcW w:w="4139" w:type="dxa"/>
            <w:noWrap w:val="0"/>
            <w:vAlign w:val="center"/>
          </w:tcPr>
          <w:p w14:paraId="6791441B">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w:t>
            </w:r>
          </w:p>
        </w:tc>
      </w:tr>
      <w:tr w14:paraId="03A55F62">
        <w:tblPrEx>
          <w:tblCellMar>
            <w:top w:w="0" w:type="dxa"/>
            <w:left w:w="108" w:type="dxa"/>
            <w:bottom w:w="0" w:type="dxa"/>
            <w:right w:w="108" w:type="dxa"/>
          </w:tblCellMar>
        </w:tblPrEx>
        <w:trPr>
          <w:trHeight w:val="575" w:hRule="exact"/>
          <w:jc w:val="center"/>
        </w:trPr>
        <w:tc>
          <w:tcPr>
            <w:tcW w:w="4139" w:type="dxa"/>
            <w:noWrap w:val="0"/>
            <w:vAlign w:val="center"/>
          </w:tcPr>
          <w:p w14:paraId="3302FF51">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邮编：</w:t>
            </w:r>
          </w:p>
        </w:tc>
        <w:tc>
          <w:tcPr>
            <w:tcW w:w="4139" w:type="dxa"/>
            <w:noWrap w:val="0"/>
            <w:vAlign w:val="center"/>
          </w:tcPr>
          <w:p w14:paraId="12BA86AE">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邮编：</w:t>
            </w:r>
          </w:p>
        </w:tc>
      </w:tr>
      <w:tr w14:paraId="6CFC198D">
        <w:tblPrEx>
          <w:tblCellMar>
            <w:top w:w="0" w:type="dxa"/>
            <w:left w:w="108" w:type="dxa"/>
            <w:bottom w:w="0" w:type="dxa"/>
            <w:right w:w="108" w:type="dxa"/>
          </w:tblCellMar>
        </w:tblPrEx>
        <w:trPr>
          <w:trHeight w:val="620" w:hRule="exact"/>
          <w:jc w:val="center"/>
        </w:trPr>
        <w:tc>
          <w:tcPr>
            <w:tcW w:w="4139" w:type="dxa"/>
            <w:noWrap w:val="0"/>
            <w:vAlign w:val="center"/>
          </w:tcPr>
          <w:p w14:paraId="61E9DB56">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法定代表人： </w:t>
            </w:r>
          </w:p>
        </w:tc>
        <w:tc>
          <w:tcPr>
            <w:tcW w:w="4139" w:type="dxa"/>
            <w:noWrap w:val="0"/>
            <w:vAlign w:val="center"/>
          </w:tcPr>
          <w:p w14:paraId="486DD47A">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p>
        </w:tc>
      </w:tr>
      <w:tr w14:paraId="350AFA3A">
        <w:tblPrEx>
          <w:tblCellMar>
            <w:top w:w="0" w:type="dxa"/>
            <w:left w:w="108" w:type="dxa"/>
            <w:bottom w:w="0" w:type="dxa"/>
            <w:right w:w="108" w:type="dxa"/>
          </w:tblCellMar>
        </w:tblPrEx>
        <w:trPr>
          <w:trHeight w:val="650" w:hRule="exact"/>
          <w:jc w:val="center"/>
        </w:trPr>
        <w:tc>
          <w:tcPr>
            <w:tcW w:w="4139" w:type="dxa"/>
            <w:noWrap w:val="0"/>
            <w:vAlign w:val="center"/>
          </w:tcPr>
          <w:p w14:paraId="653D9321">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被授权代表：</w:t>
            </w:r>
          </w:p>
        </w:tc>
        <w:tc>
          <w:tcPr>
            <w:tcW w:w="4139" w:type="dxa"/>
            <w:noWrap w:val="0"/>
            <w:vAlign w:val="center"/>
          </w:tcPr>
          <w:p w14:paraId="2A8791BD">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被授权代表：</w:t>
            </w:r>
          </w:p>
        </w:tc>
      </w:tr>
      <w:tr w14:paraId="2A76D3CA">
        <w:tblPrEx>
          <w:tblCellMar>
            <w:top w:w="0" w:type="dxa"/>
            <w:left w:w="108" w:type="dxa"/>
            <w:bottom w:w="0" w:type="dxa"/>
            <w:right w:w="108" w:type="dxa"/>
          </w:tblCellMar>
        </w:tblPrEx>
        <w:trPr>
          <w:trHeight w:val="530" w:hRule="exact"/>
          <w:jc w:val="center"/>
        </w:trPr>
        <w:tc>
          <w:tcPr>
            <w:tcW w:w="4139" w:type="dxa"/>
            <w:noWrap w:val="0"/>
            <w:vAlign w:val="center"/>
          </w:tcPr>
          <w:p w14:paraId="2A13B3B2">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tc>
        <w:tc>
          <w:tcPr>
            <w:tcW w:w="4139" w:type="dxa"/>
            <w:noWrap w:val="0"/>
            <w:vAlign w:val="center"/>
          </w:tcPr>
          <w:p w14:paraId="053153CE">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tc>
      </w:tr>
      <w:tr w14:paraId="1A606249">
        <w:tblPrEx>
          <w:tblCellMar>
            <w:top w:w="0" w:type="dxa"/>
            <w:left w:w="108" w:type="dxa"/>
            <w:bottom w:w="0" w:type="dxa"/>
            <w:right w:w="108" w:type="dxa"/>
          </w:tblCellMar>
        </w:tblPrEx>
        <w:trPr>
          <w:trHeight w:val="530" w:hRule="exact"/>
          <w:jc w:val="center"/>
        </w:trPr>
        <w:tc>
          <w:tcPr>
            <w:tcW w:w="4139" w:type="dxa"/>
            <w:noWrap w:val="0"/>
            <w:vAlign w:val="center"/>
          </w:tcPr>
          <w:p w14:paraId="7CD0E34B">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传真：</w:t>
            </w:r>
          </w:p>
        </w:tc>
        <w:tc>
          <w:tcPr>
            <w:tcW w:w="4139" w:type="dxa"/>
            <w:noWrap w:val="0"/>
            <w:vAlign w:val="center"/>
          </w:tcPr>
          <w:p w14:paraId="67F0CB02">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传真：</w:t>
            </w:r>
          </w:p>
        </w:tc>
      </w:tr>
      <w:tr w14:paraId="32AE539A">
        <w:tblPrEx>
          <w:tblCellMar>
            <w:top w:w="0" w:type="dxa"/>
            <w:left w:w="108" w:type="dxa"/>
            <w:bottom w:w="0" w:type="dxa"/>
            <w:right w:w="108" w:type="dxa"/>
          </w:tblCellMar>
        </w:tblPrEx>
        <w:trPr>
          <w:trHeight w:val="665" w:hRule="exact"/>
          <w:jc w:val="center"/>
        </w:trPr>
        <w:tc>
          <w:tcPr>
            <w:tcW w:w="4139" w:type="dxa"/>
            <w:noWrap w:val="0"/>
            <w:vAlign w:val="center"/>
          </w:tcPr>
          <w:p w14:paraId="5BC243E8">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tc>
        <w:tc>
          <w:tcPr>
            <w:tcW w:w="4139" w:type="dxa"/>
            <w:noWrap w:val="0"/>
            <w:vAlign w:val="center"/>
          </w:tcPr>
          <w:p w14:paraId="65113A33">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tc>
      </w:tr>
      <w:tr w14:paraId="1295366D">
        <w:tblPrEx>
          <w:tblCellMar>
            <w:top w:w="0" w:type="dxa"/>
            <w:left w:w="108" w:type="dxa"/>
            <w:bottom w:w="0" w:type="dxa"/>
            <w:right w:w="108" w:type="dxa"/>
          </w:tblCellMar>
        </w:tblPrEx>
        <w:trPr>
          <w:trHeight w:val="680" w:hRule="exact"/>
          <w:jc w:val="center"/>
        </w:trPr>
        <w:tc>
          <w:tcPr>
            <w:tcW w:w="4139" w:type="dxa"/>
            <w:noWrap w:val="0"/>
            <w:vAlign w:val="center"/>
          </w:tcPr>
          <w:p w14:paraId="362F643D">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p>
        </w:tc>
        <w:tc>
          <w:tcPr>
            <w:tcW w:w="4139" w:type="dxa"/>
            <w:noWrap w:val="0"/>
            <w:vAlign w:val="center"/>
          </w:tcPr>
          <w:p w14:paraId="0A91BD66">
            <w:pPr>
              <w:keepNext w:val="0"/>
              <w:keepLines w:val="0"/>
              <w:pageBreakBefore w:val="0"/>
              <w:widowControl w:val="0"/>
              <w:tabs>
                <w:tab w:val="left" w:pos="0"/>
              </w:tabs>
              <w:kinsoku/>
              <w:wordWrap/>
              <w:overflowPunct/>
              <w:topLinePunct w:val="0"/>
              <w:bidi w:val="0"/>
              <w:spacing w:line="47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p>
        </w:tc>
      </w:tr>
    </w:tbl>
    <w:p w14:paraId="33F694A4">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p w14:paraId="4BD59256">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p w14:paraId="01EA2A5B">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p w14:paraId="3C9CB0A3">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p w14:paraId="6FA4FE7F">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p w14:paraId="4A3A10AB">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p w14:paraId="18DD1E7E">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p w14:paraId="19072861">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p w14:paraId="7B2BFF51">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p w14:paraId="7FEF7CD8">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p w14:paraId="4271BD3D">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p w14:paraId="3151CD76">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p w14:paraId="5CDA5BD2">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p w14:paraId="042C50B7">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p>
    <w:p w14:paraId="0CEC9EDA">
      <w:pPr>
        <w:keepNext w:val="0"/>
        <w:keepLines w:val="0"/>
        <w:pageBreakBefore w:val="0"/>
        <w:widowControl w:val="0"/>
        <w:kinsoku/>
        <w:wordWrap/>
        <w:overflowPunct/>
        <w:topLinePunct w:val="0"/>
        <w:bidi w:val="0"/>
        <w:snapToGrid w:val="0"/>
        <w:spacing w:line="470" w:lineRule="exact"/>
        <w:textAlignment w:val="baseline"/>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二、合同条款</w:t>
      </w:r>
    </w:p>
    <w:p w14:paraId="50BDED35">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1、定义</w:t>
      </w:r>
    </w:p>
    <w:p w14:paraId="496F1FD0">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本合同下列术语应解释为：</w:t>
      </w:r>
    </w:p>
    <w:p w14:paraId="452B2CE0">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1-1、“合同”系指买卖双方签署的、合同格式中载明的甲乙双方所达成的协议，包括所有的附件、附录和</w:t>
      </w:r>
      <w:r>
        <w:rPr>
          <w:rFonts w:hint="eastAsia" w:ascii="宋体" w:hAnsi="宋体" w:eastAsia="宋体" w:cs="宋体"/>
          <w:color w:val="auto"/>
          <w:kern w:val="0"/>
          <w:sz w:val="21"/>
          <w:szCs w:val="21"/>
          <w:highlight w:val="none"/>
          <w:lang w:val="en-US" w:eastAsia="zh-CN"/>
        </w:rPr>
        <w:t>竞争性磋商</w:t>
      </w:r>
      <w:r>
        <w:rPr>
          <w:rFonts w:hint="eastAsia" w:ascii="宋体" w:hAnsi="宋体" w:eastAsia="宋体" w:cs="宋体"/>
          <w:color w:val="auto"/>
          <w:kern w:val="0"/>
          <w:sz w:val="21"/>
          <w:szCs w:val="21"/>
          <w:highlight w:val="none"/>
        </w:rPr>
        <w:t>文件所提到的构成合同的所有文件。</w:t>
      </w:r>
    </w:p>
    <w:p w14:paraId="1DC339F0">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1-2、“合同价”系指根据本合同规定乙方在正确地完全履行合同义务后甲方应支付给乙方的价款。</w:t>
      </w:r>
    </w:p>
    <w:p w14:paraId="3F4C64BC">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 “服务”系指根据甲方需要，乙方为甲方提供该项目的服务等业务。</w:t>
      </w:r>
    </w:p>
    <w:p w14:paraId="1107575A">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1-4、“合同条款”系指本合同条款。</w:t>
      </w:r>
    </w:p>
    <w:p w14:paraId="0A0CB774">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1-5、“甲方”是指购买服务的单位即</w:t>
      </w:r>
      <w:r>
        <w:rPr>
          <w:rFonts w:hint="eastAsia" w:ascii="宋体" w:hAnsi="宋体" w:cs="宋体"/>
          <w:color w:val="auto"/>
          <w:kern w:val="0"/>
          <w:sz w:val="21"/>
          <w:szCs w:val="21"/>
          <w:highlight w:val="none"/>
          <w:lang w:val="en-US" w:eastAsia="zh-CN"/>
        </w:rPr>
        <w:t>西安市生态环境局雁塔分局</w:t>
      </w:r>
      <w:r>
        <w:rPr>
          <w:rFonts w:hint="eastAsia" w:ascii="宋体" w:hAnsi="宋体" w:eastAsia="宋体" w:cs="宋体"/>
          <w:color w:val="auto"/>
          <w:kern w:val="0"/>
          <w:sz w:val="21"/>
          <w:szCs w:val="21"/>
          <w:highlight w:val="none"/>
        </w:rPr>
        <w:t>。</w:t>
      </w:r>
    </w:p>
    <w:p w14:paraId="20D7CC57">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1-6、“乙方”是指提供本合同内的服务的公司或其它实体即成交人。</w:t>
      </w:r>
    </w:p>
    <w:p w14:paraId="7C42D084">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1-7、“天”指日历天数。</w:t>
      </w:r>
    </w:p>
    <w:p w14:paraId="1ED44D3B">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2、适用性</w:t>
      </w:r>
    </w:p>
    <w:p w14:paraId="2417A5E1">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本合同条款适用于没有被本项目</w:t>
      </w:r>
      <w:r>
        <w:rPr>
          <w:rFonts w:hint="eastAsia" w:ascii="宋体" w:hAnsi="宋体" w:eastAsia="宋体" w:cs="宋体"/>
          <w:color w:val="auto"/>
          <w:kern w:val="0"/>
          <w:sz w:val="21"/>
          <w:szCs w:val="21"/>
          <w:highlight w:val="none"/>
          <w:lang w:val="en-US" w:eastAsia="zh-CN"/>
        </w:rPr>
        <w:t>竞争性磋商</w:t>
      </w:r>
      <w:r>
        <w:rPr>
          <w:rFonts w:hint="eastAsia" w:ascii="宋体" w:hAnsi="宋体" w:eastAsia="宋体" w:cs="宋体"/>
          <w:color w:val="auto"/>
          <w:kern w:val="0"/>
          <w:sz w:val="21"/>
          <w:szCs w:val="21"/>
          <w:highlight w:val="none"/>
        </w:rPr>
        <w:t>文件规定条款、乙方的</w:t>
      </w:r>
      <w:r>
        <w:rPr>
          <w:rFonts w:hint="eastAsia" w:ascii="宋体" w:hAnsi="宋体" w:eastAsia="宋体" w:cs="宋体"/>
          <w:color w:val="auto"/>
          <w:kern w:val="0"/>
          <w:sz w:val="21"/>
          <w:szCs w:val="21"/>
          <w:highlight w:val="none"/>
          <w:lang w:val="en-US" w:eastAsia="zh-CN"/>
        </w:rPr>
        <w:t>竞争性磋商响应</w:t>
      </w:r>
      <w:r>
        <w:rPr>
          <w:rFonts w:hint="eastAsia" w:ascii="宋体" w:hAnsi="宋体" w:eastAsia="宋体" w:cs="宋体"/>
          <w:color w:val="auto"/>
          <w:kern w:val="0"/>
          <w:sz w:val="21"/>
          <w:szCs w:val="21"/>
          <w:highlight w:val="none"/>
        </w:rPr>
        <w:t>文件承诺条款所取代的范围。</w:t>
      </w:r>
    </w:p>
    <w:p w14:paraId="37360B00">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3、甲方的权利及义务</w:t>
      </w:r>
    </w:p>
    <w:p w14:paraId="249B716F">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1）、甲方有权享有乙方按照上述约定提供的服务。</w:t>
      </w:r>
    </w:p>
    <w:p w14:paraId="34FEE0DC">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52837878">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3）、甲方有权根据服务要求和标准考评乙方服务质量，如乙方提供的服务不合格或不符合约定的，甲方有权按照一定比例减少支付服务费用，具体减付比例结合乙方提供服务未达到约定的范围，严重程度、给甲方造成的损失情况等确定。          </w:t>
      </w:r>
    </w:p>
    <w:p w14:paraId="3E6E4A1F">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4）、除本合同约定的服务费用外，乙方不得向甲方及其甲方人员收取其他任何费用，如甲方发现乙方有此类行为，甲方有权要求乙方清退所收费用，退还利息并支付违约金；</w:t>
      </w:r>
    </w:p>
    <w:p w14:paraId="50E4FC33">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5）、在服务实施过程中，甲方应为乙方提供必要的工作便利与指导，配合乙方履行职责。</w:t>
      </w:r>
    </w:p>
    <w:p w14:paraId="037D638E">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6）、甲方不得将本合同的内容向甲乙双方以外的、与签订和履行本合同无关的任何第三方透露，不得泄露乙方的商业秘密（包括本合同及其附件和合同签订前的各项方案）。</w:t>
      </w:r>
    </w:p>
    <w:p w14:paraId="51961892">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4、乙方的责任和义务</w:t>
      </w:r>
    </w:p>
    <w:p w14:paraId="53DF6E5C">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1）、乙方有义务按照</w:t>
      </w:r>
      <w:r>
        <w:rPr>
          <w:rFonts w:hint="eastAsia" w:ascii="宋体" w:hAnsi="宋体" w:eastAsia="宋体" w:cs="宋体"/>
          <w:color w:val="auto"/>
          <w:kern w:val="0"/>
          <w:sz w:val="21"/>
          <w:szCs w:val="21"/>
          <w:highlight w:val="none"/>
          <w:lang w:val="en-US" w:eastAsia="zh-CN"/>
        </w:rPr>
        <w:t>竞争性磋商</w:t>
      </w:r>
      <w:r>
        <w:rPr>
          <w:rFonts w:hint="eastAsia" w:ascii="宋体" w:hAnsi="宋体" w:eastAsia="宋体" w:cs="宋体"/>
          <w:color w:val="auto"/>
          <w:kern w:val="0"/>
          <w:sz w:val="21"/>
          <w:szCs w:val="21"/>
          <w:highlight w:val="none"/>
        </w:rPr>
        <w:t>文件约定的内容提供服务。</w:t>
      </w:r>
    </w:p>
    <w:p w14:paraId="7B3C01B8">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竞争性磋商响应</w:t>
      </w:r>
      <w:r>
        <w:rPr>
          <w:rFonts w:hint="eastAsia" w:ascii="宋体" w:hAnsi="宋体" w:eastAsia="宋体" w:cs="宋体"/>
          <w:color w:val="auto"/>
          <w:kern w:val="0"/>
          <w:sz w:val="21"/>
          <w:szCs w:val="21"/>
          <w:highlight w:val="none"/>
        </w:rPr>
        <w:t>文件的项目参与人员在实际施工过程中不得随意更换，如有特殊情况，需报请采购单位同意后方可更换人员，更换人员应与原有人员具有相同资质。</w:t>
      </w:r>
    </w:p>
    <w:p w14:paraId="7FED5404">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3）、乙方须按照甲方要求完成服务。</w:t>
      </w:r>
    </w:p>
    <w:p w14:paraId="362C1532">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4）、遵守国家及相关部门的规定，以及本文件的规定与要求，按规定作业，如有违反责任由</w:t>
      </w:r>
      <w:r>
        <w:rPr>
          <w:rFonts w:hint="eastAsia" w:ascii="宋体" w:hAnsi="宋体" w:eastAsia="宋体" w:cs="宋体"/>
          <w:color w:val="auto"/>
          <w:kern w:val="0"/>
          <w:sz w:val="21"/>
          <w:szCs w:val="21"/>
          <w:highlight w:val="none"/>
          <w:lang w:val="en-US" w:eastAsia="zh-CN"/>
        </w:rPr>
        <w:t>成交</w:t>
      </w:r>
      <w:r>
        <w:rPr>
          <w:rFonts w:hint="eastAsia" w:ascii="宋体" w:hAnsi="宋体" w:eastAsia="宋体" w:cs="宋体"/>
          <w:color w:val="auto"/>
          <w:kern w:val="0"/>
          <w:sz w:val="21"/>
          <w:szCs w:val="21"/>
          <w:highlight w:val="none"/>
        </w:rPr>
        <w:t>单位承担。</w:t>
      </w:r>
    </w:p>
    <w:p w14:paraId="170808B5">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6）、合同执行完毕后，经过甲方与监理方共同验收，通过验收后，才能支付剩余款项。</w:t>
      </w:r>
    </w:p>
    <w:p w14:paraId="562C93E7">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5、违约责任</w:t>
      </w:r>
    </w:p>
    <w:p w14:paraId="78D314E7">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（一）甲方：由于甲方的原因或因不可抗力的自然因素影响，则服务周期顺延。 </w:t>
      </w:r>
    </w:p>
    <w:p w14:paraId="4A0067D4">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（二）乙方</w:t>
      </w:r>
    </w:p>
    <w:p w14:paraId="7E739872">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1、合同签订后，如乙方擅自中途停止或解除合同，乙方应向甲方双倍返还定金。没有约定定金的，乙方向甲方赔偿服务价款的。</w:t>
      </w:r>
    </w:p>
    <w:p w14:paraId="5AEAB762">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2、在甲方提供了必要的工作、生活条件，并且保证了项目款按时到位，乙方未能按合同规定的日期完成服务时，应向甲方赔偿拖期损失费，每天的拖期损失费按合同约定的项目总造价款的。</w:t>
      </w:r>
    </w:p>
    <w:p w14:paraId="397E312D">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3、因天气、交通、政府行为、甲方提供的资料不准确等客观原因造成的周期拖期，乙方不承担赔偿责任。 </w:t>
      </w:r>
    </w:p>
    <w:p w14:paraId="4719C58D">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服务实施过程中，乙方未按投标书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27BA5B0B">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乙方有责任按甲方要求分期提交项目阶段性成果。如乙方未能按规定的周期交付成果，每延误一天，应付逾期违约金人民币（但由于受天气等不可抗力的自然因素影响，则工期顺延），逾期10天以上的，甲方除有权终止履行合同外，乙方应承担因延期造成的损失。同时，甲方有权根据乙方所承担服务的质量和进度是否符合要求而对服务的内容进行调整。</w:t>
      </w:r>
    </w:p>
    <w:p w14:paraId="0FA0493A">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乙方提供的服务成果不合格的，乙方应负责无偿予以改正或采取补救措施，以达到质量要求。因服务成果最终不符合合同要求（而又非甲方提供的资料原因所致）造成后果时，乙方应对因此造成的直接损失负赔偿责任，并承担相应的法律责任（由于甲方原因产生的责任由甲方自己负责）。</w:t>
      </w:r>
    </w:p>
    <w:p w14:paraId="1E073078">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在合同期内和合同终止后，乙方应负责所有成果、资料的保密，非经甲方书面认可，不得向任何人以任何方式提供任何资料。严格按甲方要求程序传递各种资料，否则甲方有权单方解除合同，并追回所付项目款。</w:t>
      </w:r>
    </w:p>
    <w:p w14:paraId="4EA43D6F">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8、乙方不得将本项目的任何部分转包或分包给其他任何单位和个人。若擅自转包或分包本合同标的，甲方有权解除合同，并可要求乙方偿付预算服务费30%的违约金，同时追究其法律责任。</w:t>
      </w:r>
    </w:p>
    <w:p w14:paraId="679AD304">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（三）任何一方违反或擅自变更本合同的约定，应当承担由此给对方造成的经济损失和相关责任。 </w:t>
      </w:r>
    </w:p>
    <w:p w14:paraId="763C8257">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甲乙任何一方按照本合同约定收取违约金或赔偿金时，应提前书面通知违约方并说明违约金数额或赔偿金额；违约方应在收到对方发出的书面索赔通知的十个工作日内按索赔要求支付违约金或赔偿金；如违约方对违约金或赔偿金额有异议，应在收到通知后七个工作日内通知对方，双方应在收到对方的通知或答复后尽快协商明确违约责任。</w:t>
      </w:r>
    </w:p>
    <w:p w14:paraId="7CA3DDE4">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2、 因执行本合同发生的一切争议，双方应首先友好协商解决。经协商不能解决，应向甲方所在地人民法院提起诉讼。在诉讼期间，除必须在诉讼过程中进行解决的问题外，合同其余部分应继续履行。 </w:t>
      </w:r>
    </w:p>
    <w:p w14:paraId="58DF2DF8">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3、 甲、乙双方有一方有正当理由要求变更本合同，须提前一个月以书面形式通知对方并协商解决，协商通过后再行变更合同。 </w:t>
      </w:r>
    </w:p>
    <w:p w14:paraId="6CAB0AD9">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4、合同期满双方不再续约或者因一方违约导致本合同无法履行，则本合同终止。但合同的终止不得损害第三方的利益，双方应为此做出合理安排。 </w:t>
      </w:r>
    </w:p>
    <w:p w14:paraId="52E691D2">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5、甲乙双方未经对方同意，任何一方不得将本合同部分或全部权利和义务转让给第三方。</w:t>
      </w:r>
    </w:p>
    <w:p w14:paraId="2269150E">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6、本合同中涉及的所有“通知”、“同意”、“确认” 等事项均应以书面形式做出，并作为依据。</w:t>
      </w:r>
    </w:p>
    <w:p w14:paraId="425EABEF">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7、本合同有关附件及补充合同是本合同不可分割的组成部分，与本合同具有同等法律效力；本合同未尽事宜，双方另行协商并签署补充合同，作为本合同的附件，具有同等法律效力。</w:t>
      </w:r>
    </w:p>
    <w:p w14:paraId="3A1BFAA2">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8、合同生效</w:t>
      </w:r>
    </w:p>
    <w:p w14:paraId="4213C01C">
      <w:pPr>
        <w:keepNext w:val="0"/>
        <w:keepLines w:val="0"/>
        <w:pageBreakBefore w:val="0"/>
        <w:widowControl w:val="0"/>
        <w:kinsoku/>
        <w:wordWrap/>
        <w:overflowPunct/>
        <w:topLinePunct w:val="0"/>
        <w:bidi w:val="0"/>
        <w:snapToGrid w:val="0"/>
        <w:spacing w:line="470" w:lineRule="exact"/>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本合同由甲乙双方共同签字盖章之日起生效。</w:t>
      </w:r>
    </w:p>
    <w:p w14:paraId="406BD857">
      <w:pPr>
        <w:shd w:val="clear" w:color="auto" w:fill="auto"/>
        <w:adjustRightInd w:val="0"/>
        <w:snapToGrid w:val="0"/>
        <w:spacing w:line="360" w:lineRule="auto"/>
        <w:rPr>
          <w:rFonts w:hint="eastAsia" w:ascii="宋体" w:hAnsi="宋体" w:eastAsia="宋体" w:cs="宋体"/>
          <w:b/>
          <w:color w:val="auto"/>
          <w:sz w:val="21"/>
          <w:szCs w:val="21"/>
        </w:rPr>
      </w:pPr>
    </w:p>
    <w:p w14:paraId="122178D7">
      <w:pPr>
        <w:spacing w:line="360" w:lineRule="auto"/>
      </w:pPr>
    </w:p>
    <w:sectPr>
      <w:pgSz w:w="11905" w:h="16838"/>
      <w:pgMar w:top="1417" w:right="1417" w:bottom="1417" w:left="1417" w:header="850" w:footer="1134" w:gutter="0"/>
      <w:cols w:space="0"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jZjRiMDcwN2Q1M2Q3ZGE5YjQ4OTNiZTRhNTE1NjYifQ=="/>
  </w:docVars>
  <w:rsids>
    <w:rsidRoot w:val="4A9545A4"/>
    <w:rsid w:val="05C475A6"/>
    <w:rsid w:val="0E7B540B"/>
    <w:rsid w:val="0EFE331F"/>
    <w:rsid w:val="4A9545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0"/>
    <w:pPr>
      <w:keepNext/>
      <w:keepLines/>
      <w:spacing w:before="340" w:after="330" w:line="578" w:lineRule="auto"/>
      <w:outlineLvl w:val="0"/>
    </w:pPr>
    <w:rPr>
      <w:b/>
      <w:bCs/>
      <w:kern w:val="44"/>
      <w:sz w:val="44"/>
      <w:szCs w:val="44"/>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pPr>
  </w:style>
  <w:style w:type="paragraph" w:styleId="4">
    <w:name w:val="footer"/>
    <w:basedOn w:val="1"/>
    <w:autoRedefine/>
    <w:qFormat/>
    <w:uiPriority w:val="0"/>
    <w:pPr>
      <w:tabs>
        <w:tab w:val="center" w:pos="4153"/>
        <w:tab w:val="right" w:pos="8306"/>
      </w:tabs>
      <w:snapToGrid w:val="0"/>
      <w:jc w:val="left"/>
    </w:pPr>
    <w:rPr>
      <w:sz w:val="18"/>
      <w:szCs w:val="20"/>
    </w:rPr>
  </w:style>
  <w:style w:type="paragraph" w:styleId="5">
    <w:name w:val="Normal (Web)"/>
    <w:basedOn w:val="1"/>
    <w:next w:val="4"/>
    <w:autoRedefine/>
    <w:qFormat/>
    <w:uiPriority w:val="0"/>
    <w:pPr>
      <w:widowControl/>
      <w:spacing w:before="100" w:beforeAutospacing="1" w:after="100" w:afterAutospacing="1"/>
      <w:jc w:val="left"/>
    </w:pPr>
    <w:rPr>
      <w:rFonts w:ascii="宋体" w:hAnsi="宋体"/>
      <w:kern w:val="0"/>
      <w:sz w:val="18"/>
      <w:szCs w:val="18"/>
    </w:rPr>
  </w:style>
  <w:style w:type="paragraph" w:styleId="6">
    <w:name w:val="Body Text First Indent"/>
    <w:basedOn w:val="2"/>
    <w:autoRedefine/>
    <w:unhideWhenUsed/>
    <w:qFormat/>
    <w:uiPriority w:val="99"/>
    <w:pPr>
      <w:spacing w:after="120" w:line="240" w:lineRule="auto"/>
      <w:ind w:firstLine="420" w:firstLineChars="100"/>
    </w:pPr>
    <w:rPr>
      <w:rFonts w:ascii="Times New Roman" w:hAnsi="Times New Roman"/>
      <w:color w:val="auto"/>
      <w:sz w:val="18"/>
      <w:szCs w:val="18"/>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3083</Words>
  <Characters>3101</Characters>
  <Lines>0</Lines>
  <Paragraphs>0</Paragraphs>
  <TotalTime>1</TotalTime>
  <ScaleCrop>false</ScaleCrop>
  <LinksUpToDate>false</LinksUpToDate>
  <CharactersWithSpaces>3499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2024-08-15T08:16:00Z</dcterms:created>
  <dc:creator>WPS_1617088470</dc:creator>
  <cp:lastModifiedBy>小楚</cp:lastModifiedBy>
  <dcterms:modified xsi:type="dcterms:W3CDTF">2025-06-12T05:36:20Z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1AEA2DFDB41743D78DCDF9F05CEA894B_13</vt:lpwstr>
  </property>
  <property fmtid="{D5CDD505-2E9C-101B-9397-08002B2CF9AE}" pid="4" name="KSOTemplateDocerSaveRecord">
    <vt:lpwstr>eyJoZGlkIjoiMWY1ODBjODE3MGYxNGZkZDhjODRlNTc3ZDcwZGNmNjciLCJ1c2VySWQiOiI4NzY2NzE2MzkifQ==</vt:lpwstr>
  </property>
</Properties>
</file>