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版本号：YZZB-2025012420250612001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省控空气站比对监测技术服务项目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YZZB-20250124</w:t>
      </w:r>
      <w:r>
        <w:br/>
      </w:r>
      <w:r>
        <w:br/>
      </w:r>
      <w:r>
        <w:br/>
      </w:r>
    </w:p>
    <w:p>
      <w:pPr>
        <w:pStyle w:val="null3"/>
        <w:jc w:val="center"/>
        <w:outlineLvl w:val="2"/>
      </w:pPr>
      <w:r>
        <w:rPr>
          <w:rFonts w:ascii="仿宋_GB2312" w:hAnsi="仿宋_GB2312" w:cs="仿宋_GB2312" w:eastAsia="仿宋_GB2312"/>
          <w:sz w:val="28"/>
          <w:b/>
        </w:rPr>
        <w:t>西安市生态环境局雁塔分局</w:t>
      </w:r>
    </w:p>
    <w:p>
      <w:pPr>
        <w:pStyle w:val="null3"/>
        <w:jc w:val="center"/>
        <w:outlineLvl w:val="2"/>
      </w:pPr>
      <w:r>
        <w:rPr>
          <w:rFonts w:ascii="仿宋_GB2312" w:hAnsi="仿宋_GB2312" w:cs="仿宋_GB2312" w:eastAsia="仿宋_GB2312"/>
          <w:sz w:val="28"/>
          <w:b/>
        </w:rPr>
        <w:t>陕西银正项目管理有限公司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陕西银正项目管理有限公司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西安市生态环境局雁塔分局</w:t>
      </w:r>
      <w:r>
        <w:rPr>
          <w:rFonts w:ascii="仿宋_GB2312" w:hAnsi="仿宋_GB2312" w:cs="仿宋_GB2312" w:eastAsia="仿宋_GB2312"/>
        </w:rPr>
        <w:t>委托，拟对</w:t>
      </w:r>
      <w:r>
        <w:rPr>
          <w:rFonts w:ascii="仿宋_GB2312" w:hAnsi="仿宋_GB2312" w:cs="仿宋_GB2312" w:eastAsia="仿宋_GB2312"/>
        </w:rPr>
        <w:t>省控空气站比对监测技术服务项目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YZZB-20250124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省控空气站比对监测技术服务项目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经过前期多方论证和现场查勘，充分考虑现有欧亚学院省控空气点位周边整体区域空气质量特征污染物的监测和评价，建议在雁塔区内海拔较高处选择2个待测站点进行为期1年（4个季度）的国标 6参数空气站实时比对监测。每季度选取其中一个月连续监测15天，其余两个月各连续监测7天，全年累计约125天，服务内容包括专用站房建设、租赁国标空气自动站在线设备软件、数据分析、运行维护服务等（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采购包1（省控空气站比对监测技术服务项目）：属于专门面向小微企业采购。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5、设备和专业能力声明函：提供具有履行合同所必需的设备和专业技术能力的书面声明；</w:t>
      </w:r>
    </w:p>
    <w:p>
      <w:pPr>
        <w:pStyle w:val="null3"/>
      </w:pPr>
      <w:r>
        <w:rPr>
          <w:rFonts w:ascii="仿宋_GB2312" w:hAnsi="仿宋_GB2312" w:cs="仿宋_GB2312" w:eastAsia="仿宋_GB2312"/>
        </w:rPr>
        <w:t>6、法定代表人身份证明书或授权委托书：法定代表人直接参加投标的，须出具法定代表人身份证明书；法定代表人授权代表参加投标的，须出具法定代表人授权委托书；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7、无重大违法记录声明：参加政府采购活动前3年内在经营活动中没有重大违法记录的书面声明；</w:t>
      </w:r>
    </w:p>
    <w:p>
      <w:pPr>
        <w:pStyle w:val="null3"/>
      </w:pPr>
      <w:r>
        <w:rPr>
          <w:rFonts w:ascii="仿宋_GB2312" w:hAnsi="仿宋_GB2312" w:cs="仿宋_GB2312" w:eastAsia="仿宋_GB2312"/>
        </w:rPr>
        <w:t>8、信用查询截图：供应商不得列为“信用中国”(http://www.creditchina.gov.cn)重大税收违法失信主体名单、严重失信主体名单；“中国执行信息公开网”（https://zxgk.court.gov.cn）失信被执行人名单（被执行人包括供应商和法定代表人），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10、本项目不接受联合体投标：本项目不接受联合体投标，提供非联合体投标声明。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西安市雁塔区健康东路50号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西安市环境保护局雁塔分局经办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029-85458853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陕西银正项目管理有限公司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西安市雁塔区西影路5号朗郡水木兰亭1号楼3单元501</w:t>
      </w:r>
    </w:p>
    <w:p>
      <w:pPr>
        <w:pStyle w:val="null3"/>
      </w:pPr>
      <w:r>
        <w:rPr>
          <w:rFonts w:ascii="仿宋_GB2312" w:hAnsi="仿宋_GB2312" w:cs="仿宋_GB2312" w:eastAsia="仿宋_GB2312"/>
        </w:rPr>
        <w:t xml:space="preserve"> 邮编： </w:t>
      </w:r>
      <w:r>
        <w:rPr>
          <w:rFonts w:ascii="仿宋_GB2312" w:hAnsi="仿宋_GB2312" w:cs="仿宋_GB2312" w:eastAsia="仿宋_GB2312"/>
        </w:rPr>
        <w:t>sxyinzheng@163.com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李白茹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18302989305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改革委员会办公厅颁发的《关于招标代理服务收费有关问题的通知》（发改价格[2011]534号）文件规定执行。由成交人一次性支付给招标代理有限公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西安市生态环境局雁塔分局</w:t>
      </w:r>
      <w:r>
        <w:rPr>
          <w:rFonts w:ascii="仿宋_GB2312" w:hAnsi="仿宋_GB2312" w:cs="仿宋_GB2312" w:eastAsia="仿宋_GB2312"/>
        </w:rPr>
        <w:t>和</w:t>
      </w:r>
      <w:r>
        <w:rPr>
          <w:rFonts w:ascii="仿宋_GB2312" w:hAnsi="仿宋_GB2312" w:cs="仿宋_GB2312" w:eastAsia="仿宋_GB2312"/>
        </w:rPr>
        <w:t>陕西银正项目管理有限公司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陕西银正项目管理有限公司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陕西银正项目管理有限公司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陕西银正项目管理有限公司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陕西银正项目管理有限公司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陕西银正项目管理有限公司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联系人：李白茹</w:t>
      </w:r>
    </w:p>
    <w:p>
      <w:pPr>
        <w:pStyle w:val="null3"/>
      </w:pPr>
      <w:r>
        <w:rPr>
          <w:rFonts w:ascii="仿宋_GB2312" w:hAnsi="仿宋_GB2312" w:cs="仿宋_GB2312" w:eastAsia="仿宋_GB2312"/>
        </w:rPr>
        <w:t>联系电话：18302989305</w:t>
      </w:r>
    </w:p>
    <w:p>
      <w:pPr>
        <w:pStyle w:val="null3"/>
      </w:pPr>
      <w:r>
        <w:rPr>
          <w:rFonts w:ascii="仿宋_GB2312" w:hAnsi="仿宋_GB2312" w:cs="仿宋_GB2312" w:eastAsia="仿宋_GB2312"/>
        </w:rPr>
        <w:t>地址：西安市雁塔区西影路5号朗郡水木兰亭1号楼3单元501</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经过前期多方论证和现场查勘，充分考虑现有欧亚学院省控空气点位周边整体区域空气质量特征污染物的监测和评价，建议在雁塔区内海拔较高处选择2个待测站点进行为期1年（4个季度）的国标 6参数空气站实时比对监测。每季度选取其中一个月连续监测15天，其余两个月各连续监测7天，全年累计约125天，服务内容包括专用站房建设、租赁国标空气自动站在线设备软件、数据分析、运行维护服务等。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1,659,000.00</w:t>
      </w:r>
    </w:p>
    <w:p>
      <w:pPr>
        <w:pStyle w:val="null3"/>
      </w:pPr>
      <w:r>
        <w:rPr>
          <w:rFonts w:ascii="仿宋_GB2312" w:hAnsi="仿宋_GB2312" w:cs="仿宋_GB2312" w:eastAsia="仿宋_GB2312"/>
        </w:rPr>
        <w:t>采购包最高限价（元）: 1,659,000.00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标的名称：监测技术服务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采购</w:t>
            </w:r>
            <w:r>
              <w:rPr>
                <w:rFonts w:ascii="仿宋_GB2312" w:hAnsi="仿宋_GB2312" w:cs="仿宋_GB2312" w:eastAsia="仿宋_GB2312"/>
                <w:sz w:val="24"/>
              </w:rPr>
              <w:t>服务</w:t>
            </w:r>
            <w:r>
              <w:rPr>
                <w:rFonts w:ascii="仿宋_GB2312" w:hAnsi="仿宋_GB2312" w:cs="仿宋_GB2312" w:eastAsia="仿宋_GB2312"/>
                <w:sz w:val="24"/>
              </w:rPr>
              <w:t>标的数量、规格</w:t>
            </w:r>
          </w:p>
          <w:p>
            <w:pPr>
              <w:pStyle w:val="null3"/>
              <w:ind w:firstLine="480"/>
              <w:jc w:val="both"/>
            </w:pPr>
            <w:r>
              <w:rPr>
                <w:rFonts w:ascii="仿宋_GB2312" w:hAnsi="仿宋_GB2312" w:cs="仿宋_GB2312" w:eastAsia="仿宋_GB2312"/>
                <w:sz w:val="24"/>
              </w:rPr>
              <w:t>经过前期多方论证</w:t>
            </w:r>
            <w:r>
              <w:rPr>
                <w:rFonts w:ascii="仿宋_GB2312" w:hAnsi="仿宋_GB2312" w:cs="仿宋_GB2312" w:eastAsia="仿宋_GB2312"/>
                <w:sz w:val="24"/>
              </w:rPr>
              <w:t>和</w:t>
            </w:r>
            <w:r>
              <w:rPr>
                <w:rFonts w:ascii="仿宋_GB2312" w:hAnsi="仿宋_GB2312" w:cs="仿宋_GB2312" w:eastAsia="仿宋_GB2312"/>
                <w:sz w:val="24"/>
              </w:rPr>
              <w:t>现场查勘，</w:t>
            </w:r>
            <w:r>
              <w:rPr>
                <w:rFonts w:ascii="仿宋_GB2312" w:hAnsi="仿宋_GB2312" w:cs="仿宋_GB2312" w:eastAsia="仿宋_GB2312"/>
                <w:sz w:val="24"/>
              </w:rPr>
              <w:t>充分考虑现有欧亚学院省控空气点位周边整体区域空气质量特征污染物的监测和评价，</w:t>
            </w:r>
            <w:r>
              <w:rPr>
                <w:rFonts w:ascii="仿宋_GB2312" w:hAnsi="仿宋_GB2312" w:cs="仿宋_GB2312" w:eastAsia="仿宋_GB2312"/>
                <w:sz w:val="24"/>
              </w:rPr>
              <w:t>建议在</w:t>
            </w:r>
            <w:r>
              <w:rPr>
                <w:rFonts w:ascii="仿宋_GB2312" w:hAnsi="仿宋_GB2312" w:cs="仿宋_GB2312" w:eastAsia="仿宋_GB2312"/>
                <w:sz w:val="24"/>
              </w:rPr>
              <w:t>雁塔区内</w:t>
            </w:r>
            <w:r>
              <w:rPr>
                <w:rFonts w:ascii="仿宋_GB2312" w:hAnsi="仿宋_GB2312" w:cs="仿宋_GB2312" w:eastAsia="仿宋_GB2312"/>
                <w:sz w:val="24"/>
              </w:rPr>
              <w:t>海拔较高处选择2个</w:t>
            </w:r>
            <w:r>
              <w:rPr>
                <w:rFonts w:ascii="仿宋_GB2312" w:hAnsi="仿宋_GB2312" w:cs="仿宋_GB2312" w:eastAsia="仿宋_GB2312"/>
                <w:sz w:val="24"/>
              </w:rPr>
              <w:t>待测</w:t>
            </w:r>
            <w:r>
              <w:rPr>
                <w:rFonts w:ascii="仿宋_GB2312" w:hAnsi="仿宋_GB2312" w:cs="仿宋_GB2312" w:eastAsia="仿宋_GB2312"/>
                <w:sz w:val="24"/>
              </w:rPr>
              <w:t>站点进行</w:t>
            </w:r>
            <w:r>
              <w:rPr>
                <w:rFonts w:ascii="仿宋_GB2312" w:hAnsi="仿宋_GB2312" w:cs="仿宋_GB2312" w:eastAsia="仿宋_GB2312"/>
                <w:sz w:val="24"/>
              </w:rPr>
              <w:t>为期1年（4个季度）的国标 6参数空气站实时比对</w:t>
            </w:r>
            <w:r>
              <w:rPr>
                <w:rFonts w:ascii="仿宋_GB2312" w:hAnsi="仿宋_GB2312" w:cs="仿宋_GB2312" w:eastAsia="仿宋_GB2312"/>
                <w:sz w:val="24"/>
              </w:rPr>
              <w:t>监测</w:t>
            </w:r>
            <w:r>
              <w:rPr>
                <w:rFonts w:ascii="仿宋_GB2312" w:hAnsi="仿宋_GB2312" w:cs="仿宋_GB2312" w:eastAsia="仿宋_GB2312"/>
                <w:sz w:val="24"/>
              </w:rPr>
              <w:t>。</w:t>
            </w:r>
            <w:r>
              <w:rPr>
                <w:rFonts w:ascii="仿宋_GB2312" w:hAnsi="仿宋_GB2312" w:cs="仿宋_GB2312" w:eastAsia="仿宋_GB2312"/>
                <w:sz w:val="24"/>
                <w:color w:val="000000"/>
              </w:rPr>
              <w:t>每季度选取其中一个月连续监测15天，其余两个月各连续监测7天，全年累计约125天</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服务内容包括专用站房建设、</w:t>
            </w:r>
            <w:r>
              <w:rPr>
                <w:rFonts w:ascii="仿宋_GB2312" w:hAnsi="仿宋_GB2312" w:cs="仿宋_GB2312" w:eastAsia="仿宋_GB2312"/>
                <w:sz w:val="24"/>
                <w:color w:val="000000"/>
              </w:rPr>
              <w:t>租赁国标空气自动站在线设备软件</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数据分析、运行维护服务等。具体内容为：</w:t>
            </w:r>
          </w:p>
          <w:tbl>
            <w:tblPr>
              <w:tblBorders>
                <w:top w:val="none" w:color="000000" w:sz="4"/>
                <w:left w:val="none" w:color="000000" w:sz="4"/>
                <w:bottom w:val="none" w:color="000000" w:sz="4"/>
                <w:right w:val="none" w:color="000000" w:sz="4"/>
                <w:insideH w:val="none"/>
                <w:insideV w:val="none"/>
              </w:tblBorders>
            </w:tblPr>
            <w:tblGrid>
              <w:gridCol w:w="218"/>
              <w:gridCol w:w="507"/>
              <w:gridCol w:w="551"/>
              <w:gridCol w:w="319"/>
              <w:gridCol w:w="218"/>
              <w:gridCol w:w="726"/>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品目</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数量/套</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天数</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技术要求</w:t>
                  </w:r>
                </w:p>
              </w:tc>
            </w:tr>
            <w:tr>
              <w:tc>
                <w:tcPr>
                  <w:tcW w:type="dxa" w:w="2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雁塔区省控空气站比对监测，2个备选点对比监测</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租赁</w:t>
                  </w:r>
                  <w:r>
                    <w:rPr>
                      <w:rFonts w:ascii="仿宋_GB2312" w:hAnsi="仿宋_GB2312" w:cs="仿宋_GB2312" w:eastAsia="仿宋_GB2312"/>
                      <w:sz w:val="24"/>
                      <w:color w:val="000000"/>
                    </w:rPr>
                    <w:t>专用站房建设</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包干，监测点位现场勘察、设计，土方电力施工、站房建设等。</w:t>
                  </w:r>
                </w:p>
              </w:tc>
            </w:tr>
            <w:tr>
              <w:tc>
                <w:tcPr>
                  <w:tcW w:type="dxa" w:w="218"/>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租赁国标空气自动站在线设备、质控设备及配套工控机、软件、采样系统、网络及相关安装辅材等</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监测指标包含</w:t>
                  </w:r>
                  <w:r>
                    <w:rPr>
                      <w:rFonts w:ascii="仿宋_GB2312" w:hAnsi="仿宋_GB2312" w:cs="仿宋_GB2312" w:eastAsia="仿宋_GB2312"/>
                      <w:sz w:val="24"/>
                      <w:color w:val="000000"/>
                    </w:rPr>
                    <w:t>SO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、NOx、CO、O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rPr>
                    <w:t>、PM</w:t>
                  </w:r>
                  <w:r>
                    <w:rPr>
                      <w:rFonts w:ascii="仿宋_GB2312" w:hAnsi="仿宋_GB2312" w:cs="仿宋_GB2312" w:eastAsia="仿宋_GB2312"/>
                      <w:sz w:val="24"/>
                      <w:color w:val="000000"/>
                      <w:vertAlign w:val="subscript"/>
                    </w:rPr>
                    <w:t>2.5</w:t>
                  </w:r>
                  <w:r>
                    <w:rPr>
                      <w:rFonts w:ascii="仿宋_GB2312" w:hAnsi="仿宋_GB2312" w:cs="仿宋_GB2312" w:eastAsia="仿宋_GB2312"/>
                      <w:sz w:val="24"/>
                      <w:color w:val="000000"/>
                    </w:rPr>
                    <w:t>、PM</w:t>
                  </w:r>
                  <w:r>
                    <w:rPr>
                      <w:rFonts w:ascii="仿宋_GB2312" w:hAnsi="仿宋_GB2312" w:cs="仿宋_GB2312" w:eastAsia="仿宋_GB2312"/>
                      <w:sz w:val="24"/>
                      <w:color w:val="000000"/>
                      <w:vertAlign w:val="subscript"/>
                    </w:rPr>
                    <w:t>10</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根据中华人民共和国生态环境部办公厅关于印发《“十五五”国家城市环境空气质量监测点位优化调整工作方案》的通知和陕西省生态环境厅相关文件要求，对拟选2待测点位进行为期1年4个季度的实时比对监测，全年累计125天。</w:t>
                  </w:r>
                </w:p>
              </w:tc>
            </w:tr>
            <w:tr>
              <w:tc>
                <w:tcPr>
                  <w:tcW w:type="dxa" w:w="218"/>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技术服务--租赁设备安装及拆除、监测系统运行维护，工程师差旅交通、人工工资等</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为确保监测系统的稳定运行和监测数据真实、准确，要求在监测周期内，供应商高质量运行维护、质控核查、数据分析等闭环技术服务，供应商持证上岗提供切实可行的运维技术方案和故障应急等处理方案。</w:t>
                  </w:r>
                </w:p>
              </w:tc>
            </w:tr>
            <w:tr>
              <w:tc>
                <w:tcPr>
                  <w:tcW w:type="dxa" w:w="218"/>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气象</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购置及土建安装、调试</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劳务服务</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吊装费用、设备搬运上楼费用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数据分析报告</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数据比对监测分析报告</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、成果交付形式：按需求提供相关报告、服务方案及数据成果，纸质版 3 份电子版 1 份。</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成果交付时间：按照合同约定服务期限</w:t>
            </w:r>
            <w:r>
              <w:rPr>
                <w:rFonts w:ascii="仿宋_GB2312" w:hAnsi="仿宋_GB2312" w:cs="仿宋_GB2312" w:eastAsia="仿宋_GB2312"/>
                <w:sz w:val="24"/>
              </w:rPr>
              <w:t>内完成相关技术服务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成果交付地点：甲方指定地点。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、服务标准、期限、效率等要求</w:t>
            </w:r>
          </w:p>
          <w:p>
            <w:pPr>
              <w:pStyle w:val="null3"/>
              <w:ind w:firstLine="480"/>
              <w:jc w:val="both"/>
            </w:pPr>
            <w:r>
              <w:rPr>
                <w:rFonts w:ascii="仿宋_GB2312" w:hAnsi="仿宋_GB2312" w:cs="仿宋_GB2312" w:eastAsia="仿宋_GB2312"/>
                <w:sz w:val="24"/>
              </w:rPr>
              <w:t>3.1租赁</w:t>
            </w:r>
            <w:r>
              <w:rPr>
                <w:rFonts w:ascii="仿宋_GB2312" w:hAnsi="仿宋_GB2312" w:cs="仿宋_GB2312" w:eastAsia="仿宋_GB2312"/>
                <w:sz w:val="24"/>
              </w:rPr>
              <w:t>专用站房建设</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供应商根据</w:t>
            </w:r>
            <w:r>
              <w:rPr>
                <w:rFonts w:ascii="仿宋_GB2312" w:hAnsi="仿宋_GB2312" w:cs="仿宋_GB2312" w:eastAsia="仿宋_GB2312"/>
                <w:sz w:val="24"/>
              </w:rPr>
              <w:t>《环境空气质量监测点位布设技术规范（试行）(HJ664-2013)</w:t>
            </w:r>
            <w:r>
              <w:rPr>
                <w:rFonts w:ascii="仿宋_GB2312" w:hAnsi="仿宋_GB2312" w:cs="仿宋_GB2312" w:eastAsia="仿宋_GB2312"/>
                <w:sz w:val="24"/>
              </w:rPr>
              <w:t>、</w:t>
            </w:r>
            <w:r>
              <w:rPr>
                <w:rFonts w:ascii="仿宋_GB2312" w:hAnsi="仿宋_GB2312" w:cs="仿宋_GB2312" w:eastAsia="仿宋_GB2312"/>
                <w:sz w:val="24"/>
              </w:rPr>
              <w:t>中华人民共和国生态环境部办公厅关于印发《“十五五”国家城市环境空气质量监测点位优化调整工作方案》的通知(环办监测函[2024]344号）</w:t>
            </w:r>
            <w:r>
              <w:rPr>
                <w:rFonts w:ascii="仿宋_GB2312" w:hAnsi="仿宋_GB2312" w:cs="仿宋_GB2312" w:eastAsia="仿宋_GB2312"/>
                <w:sz w:val="24"/>
              </w:rPr>
              <w:t>等相关要求，自行勘察备测点位现场，根据自身实际，提供现场专用监测站房设计图、土方电力施工图，监测周期内外围保障承诺等。</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保证所有</w:t>
            </w:r>
            <w:r>
              <w:rPr>
                <w:rFonts w:ascii="仿宋_GB2312" w:hAnsi="仿宋_GB2312" w:cs="仿宋_GB2312" w:eastAsia="仿宋_GB2312"/>
                <w:sz w:val="24"/>
              </w:rPr>
              <w:t>设备</w:t>
            </w:r>
            <w:r>
              <w:rPr>
                <w:rFonts w:ascii="仿宋_GB2312" w:hAnsi="仿宋_GB2312" w:cs="仿宋_GB2312" w:eastAsia="仿宋_GB2312"/>
                <w:sz w:val="24"/>
              </w:rPr>
              <w:t>质量必须符合国家有关规范和相关政策</w:t>
            </w:r>
            <w:r>
              <w:rPr>
                <w:rFonts w:ascii="仿宋_GB2312" w:hAnsi="仿宋_GB2312" w:cs="仿宋_GB2312" w:eastAsia="仿宋_GB2312"/>
                <w:sz w:val="24"/>
              </w:rPr>
              <w:t>，</w:t>
            </w:r>
            <w:r>
              <w:rPr>
                <w:rFonts w:ascii="仿宋_GB2312" w:hAnsi="仿宋_GB2312" w:cs="仿宋_GB2312" w:eastAsia="仿宋_GB2312"/>
                <w:sz w:val="24"/>
              </w:rPr>
              <w:t>所有</w:t>
            </w:r>
            <w:r>
              <w:rPr>
                <w:rFonts w:ascii="仿宋_GB2312" w:hAnsi="仿宋_GB2312" w:cs="仿宋_GB2312" w:eastAsia="仿宋_GB2312"/>
                <w:sz w:val="24"/>
              </w:rPr>
              <w:t>设备</w:t>
            </w:r>
            <w:r>
              <w:rPr>
                <w:rFonts w:ascii="仿宋_GB2312" w:hAnsi="仿宋_GB2312" w:cs="仿宋_GB2312" w:eastAsia="仿宋_GB2312"/>
                <w:sz w:val="24"/>
              </w:rPr>
              <w:t>及辅材必须是质量优良、配置合理。</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租赁国标空气自动站在线设备、质控设备及配套工控机、软件、采样系统、网络及相关安装辅材等</w:t>
            </w:r>
          </w:p>
          <w:p>
            <w:pPr>
              <w:pStyle w:val="null3"/>
              <w:ind w:firstLine="480"/>
              <w:jc w:val="both"/>
            </w:pPr>
            <w:r>
              <w:rPr>
                <w:rFonts w:ascii="仿宋_GB2312" w:hAnsi="仿宋_GB2312" w:cs="仿宋_GB2312" w:eastAsia="仿宋_GB2312"/>
                <w:sz w:val="24"/>
              </w:rPr>
              <w:t>为</w:t>
            </w:r>
            <w:r>
              <w:rPr>
                <w:rFonts w:ascii="仿宋_GB2312" w:hAnsi="仿宋_GB2312" w:cs="仿宋_GB2312" w:eastAsia="仿宋_GB2312"/>
                <w:sz w:val="24"/>
              </w:rPr>
              <w:t>确保2个待测点位监测数据的一致性、匹配性、兼容性，</w:t>
            </w:r>
            <w:r>
              <w:rPr>
                <w:rFonts w:ascii="仿宋_GB2312" w:hAnsi="仿宋_GB2312" w:cs="仿宋_GB2312" w:eastAsia="仿宋_GB2312"/>
                <w:sz w:val="24"/>
              </w:rPr>
              <w:t>供应商针对</w:t>
            </w:r>
            <w:r>
              <w:rPr>
                <w:rFonts w:ascii="仿宋_GB2312" w:hAnsi="仿宋_GB2312" w:cs="仿宋_GB2312" w:eastAsia="仿宋_GB2312"/>
                <w:sz w:val="24"/>
              </w:rPr>
              <w:t>本次待测点位监测系统</w:t>
            </w:r>
            <w:r>
              <w:rPr>
                <w:rFonts w:ascii="仿宋_GB2312" w:hAnsi="仿宋_GB2312" w:cs="仿宋_GB2312" w:eastAsia="仿宋_GB2312"/>
                <w:sz w:val="24"/>
              </w:rPr>
              <w:t>设备必须选用</w:t>
            </w:r>
            <w:r>
              <w:rPr>
                <w:rFonts w:ascii="仿宋_GB2312" w:hAnsi="仿宋_GB2312" w:cs="仿宋_GB2312" w:eastAsia="仿宋_GB2312"/>
                <w:sz w:val="24"/>
              </w:rPr>
              <w:t>同品牌</w:t>
            </w:r>
            <w:r>
              <w:rPr>
                <w:rFonts w:ascii="仿宋_GB2312" w:hAnsi="仿宋_GB2312" w:cs="仿宋_GB2312" w:eastAsia="仿宋_GB2312"/>
                <w:sz w:val="24"/>
              </w:rPr>
              <w:t>国标</w:t>
            </w:r>
            <w:r>
              <w:rPr>
                <w:rFonts w:ascii="仿宋_GB2312" w:hAnsi="仿宋_GB2312" w:cs="仿宋_GB2312" w:eastAsia="仿宋_GB2312"/>
                <w:sz w:val="24"/>
              </w:rPr>
              <w:t>6参数设备</w:t>
            </w:r>
            <w:r>
              <w:rPr>
                <w:rFonts w:ascii="仿宋_GB2312" w:hAnsi="仿宋_GB2312" w:cs="仿宋_GB2312" w:eastAsia="仿宋_GB2312"/>
                <w:sz w:val="24"/>
              </w:rPr>
              <w:t>。</w:t>
            </w:r>
            <w:r>
              <w:rPr>
                <w:rFonts w:ascii="仿宋_GB2312" w:hAnsi="仿宋_GB2312" w:cs="仿宋_GB2312" w:eastAsia="仿宋_GB2312"/>
                <w:sz w:val="24"/>
              </w:rPr>
              <w:t>供应商自行提供本次监测服务所选用的设备服务方案，包括但不限于产品介绍、产品说明书、软件介绍及其它专业服务等。</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运维及数据分析服务</w:t>
            </w:r>
          </w:p>
          <w:p>
            <w:pPr>
              <w:pStyle w:val="null3"/>
              <w:jc w:val="both"/>
              <w:outlineLvl w:val="2"/>
            </w:pPr>
            <w:r>
              <w:rPr>
                <w:rFonts w:ascii="仿宋_GB2312" w:hAnsi="仿宋_GB2312" w:cs="仿宋_GB2312" w:eastAsia="仿宋_GB2312"/>
                <w:sz w:val="24"/>
                <w:b/>
              </w:rPr>
              <w:t>（1）服务</w:t>
            </w:r>
            <w:r>
              <w:rPr>
                <w:rFonts w:ascii="仿宋_GB2312" w:hAnsi="仿宋_GB2312" w:cs="仿宋_GB2312" w:eastAsia="仿宋_GB2312"/>
                <w:sz w:val="24"/>
                <w:b/>
              </w:rPr>
              <w:t>运维要求</w:t>
            </w:r>
          </w:p>
          <w:p>
            <w:pPr>
              <w:pStyle w:val="null3"/>
              <w:ind w:firstLine="480"/>
              <w:jc w:val="both"/>
            </w:pPr>
            <w:r>
              <w:rPr>
                <w:rFonts w:ascii="仿宋_GB2312" w:hAnsi="仿宋_GB2312" w:cs="仿宋_GB2312" w:eastAsia="仿宋_GB2312"/>
                <w:sz w:val="24"/>
              </w:rPr>
              <w:t>为确保监测系统的稳定运行和监测数据真实、准确，要求在监测周期内，供应商高质量运行维护、质控核查、数据分析等闭环技术服务，供应商人员持证上岗，运维人员必须持有环境监测相关合格证书，提供切实可行的运维技术方案和故障应急等处理方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须对运维目标、运维内容（包括但不限于远程监控，巡检、维护的内容与频次，</w:t>
            </w:r>
            <w:r>
              <w:rPr>
                <w:rFonts w:ascii="仿宋_GB2312" w:hAnsi="仿宋_GB2312" w:cs="仿宋_GB2312" w:eastAsia="仿宋_GB2312"/>
                <w:sz w:val="24"/>
              </w:rPr>
              <w:t>耗材备品备件</w:t>
            </w:r>
            <w:r>
              <w:rPr>
                <w:rFonts w:ascii="仿宋_GB2312" w:hAnsi="仿宋_GB2312" w:cs="仿宋_GB2312" w:eastAsia="仿宋_GB2312"/>
                <w:sz w:val="24"/>
              </w:rPr>
              <w:t>的清洁与更换，校准等）</w:t>
            </w:r>
            <w:r>
              <w:rPr>
                <w:rFonts w:ascii="仿宋_GB2312" w:hAnsi="仿宋_GB2312" w:cs="仿宋_GB2312" w:eastAsia="仿宋_GB2312"/>
                <w:sz w:val="24"/>
              </w:rPr>
              <w:t>、仪器故障解决方案、记录表格的填写、数据分析报告服务等方面提供详细运维计划。</w:t>
            </w:r>
            <w:r>
              <w:rPr>
                <w:rFonts w:ascii="仿宋_GB2312" w:hAnsi="仿宋_GB2312" w:cs="仿宋_GB2312" w:eastAsia="仿宋_GB2312"/>
                <w:sz w:val="24"/>
              </w:rPr>
              <w:t>供应商自行提供专业运维方案、</w:t>
            </w:r>
            <w:r>
              <w:rPr>
                <w:rFonts w:ascii="仿宋_GB2312" w:hAnsi="仿宋_GB2312" w:cs="仿宋_GB2312" w:eastAsia="仿宋_GB2312"/>
                <w:sz w:val="24"/>
              </w:rPr>
              <w:t>日常运维与质量控制</w:t>
            </w:r>
            <w:r>
              <w:rPr>
                <w:rFonts w:ascii="仿宋_GB2312" w:hAnsi="仿宋_GB2312" w:cs="仿宋_GB2312" w:eastAsia="仿宋_GB2312"/>
                <w:sz w:val="24"/>
              </w:rPr>
              <w:t>方案。</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数据分析服务要求</w:t>
            </w:r>
          </w:p>
          <w:p>
            <w:pPr>
              <w:pStyle w:val="null3"/>
              <w:ind w:firstLine="456"/>
              <w:jc w:val="both"/>
            </w:pPr>
            <w:r>
              <w:rPr>
                <w:rFonts w:ascii="仿宋_GB2312" w:hAnsi="仿宋_GB2312" w:cs="仿宋_GB2312" w:eastAsia="仿宋_GB2312"/>
                <w:sz w:val="24"/>
                <w:shd w:fill="FFFFFF" w:val="clear"/>
              </w:rPr>
              <w:t>提供</w:t>
            </w:r>
            <w:r>
              <w:rPr>
                <w:rFonts w:ascii="仿宋_GB2312" w:hAnsi="仿宋_GB2312" w:cs="仿宋_GB2312" w:eastAsia="仿宋_GB2312"/>
                <w:sz w:val="24"/>
                <w:shd w:fill="FFFFFF" w:val="clear"/>
              </w:rPr>
              <w:t>监测周期内的</w:t>
            </w:r>
            <w:r>
              <w:rPr>
                <w:rFonts w:ascii="仿宋_GB2312" w:hAnsi="仿宋_GB2312" w:cs="仿宋_GB2312" w:eastAsia="仿宋_GB2312"/>
                <w:sz w:val="24"/>
                <w:shd w:fill="FFFFFF" w:val="clear"/>
              </w:rPr>
              <w:t>数据分析服务</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①</w:t>
            </w:r>
            <w:r>
              <w:rPr>
                <w:rFonts w:ascii="仿宋_GB2312" w:hAnsi="仿宋_GB2312" w:cs="仿宋_GB2312" w:eastAsia="仿宋_GB2312"/>
                <w:sz w:val="24"/>
                <w:shd w:fill="FFFFFF" w:val="clear"/>
              </w:rPr>
              <w:t>分析报告形式</w:t>
            </w:r>
            <w:r>
              <w:rPr>
                <w:rFonts w:ascii="仿宋_GB2312" w:hAnsi="仿宋_GB2312" w:cs="仿宋_GB2312" w:eastAsia="仿宋_GB2312"/>
                <w:sz w:val="24"/>
                <w:shd w:fill="FFFFFF" w:val="clear"/>
              </w:rPr>
              <w:t>包括分析</w:t>
            </w:r>
            <w:r>
              <w:rPr>
                <w:rFonts w:ascii="仿宋_GB2312" w:hAnsi="仿宋_GB2312" w:cs="仿宋_GB2312" w:eastAsia="仿宋_GB2312"/>
                <w:sz w:val="24"/>
                <w:shd w:fill="FFFFFF" w:val="clear"/>
              </w:rPr>
              <w:t>周报</w:t>
            </w:r>
            <w:r>
              <w:rPr>
                <w:rFonts w:ascii="仿宋_GB2312" w:hAnsi="仿宋_GB2312" w:cs="仿宋_GB2312" w:eastAsia="仿宋_GB2312"/>
                <w:sz w:val="24"/>
                <w:shd w:fill="FFFFFF" w:val="clear"/>
              </w:rPr>
              <w:t>、月报以及应急分析报告等</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②</w:t>
            </w:r>
            <w:r>
              <w:rPr>
                <w:rFonts w:ascii="仿宋_GB2312" w:hAnsi="仿宋_GB2312" w:cs="仿宋_GB2312" w:eastAsia="仿宋_GB2312"/>
                <w:sz w:val="24"/>
              </w:rPr>
              <w:t>按需求提供相关报告、服务方案及数据成果</w:t>
            </w:r>
            <w:r>
              <w:rPr>
                <w:rFonts w:ascii="仿宋_GB2312" w:hAnsi="仿宋_GB2312" w:cs="仿宋_GB2312" w:eastAsia="仿宋_GB2312"/>
                <w:sz w:val="24"/>
                <w:shd w:fill="FFFFFF" w:val="clear"/>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、付款方式</w:t>
            </w:r>
          </w:p>
          <w:p>
            <w:pPr>
              <w:pStyle w:val="null3"/>
              <w:ind w:firstLine="480"/>
              <w:jc w:val="both"/>
            </w:pPr>
            <w:r>
              <w:rPr>
                <w:rFonts w:ascii="仿宋_GB2312" w:hAnsi="仿宋_GB2312" w:cs="仿宋_GB2312" w:eastAsia="仿宋_GB2312"/>
                <w:sz w:val="24"/>
              </w:rPr>
              <w:t>4.1项目总</w:t>
            </w:r>
            <w:r>
              <w:rPr>
                <w:rFonts w:ascii="仿宋_GB2312" w:hAnsi="仿宋_GB2312" w:cs="仿宋_GB2312" w:eastAsia="仿宋_GB2312"/>
                <w:sz w:val="24"/>
              </w:rPr>
              <w:t>投资</w:t>
            </w:r>
            <w:r>
              <w:rPr>
                <w:rFonts w:ascii="仿宋_GB2312" w:hAnsi="仿宋_GB2312" w:cs="仿宋_GB2312" w:eastAsia="仿宋_GB2312"/>
                <w:sz w:val="24"/>
              </w:rPr>
              <w:t>预算</w:t>
            </w:r>
            <w:r>
              <w:rPr>
                <w:rFonts w:ascii="仿宋_GB2312" w:hAnsi="仿宋_GB2312" w:cs="仿宋_GB2312" w:eastAsia="仿宋_GB2312"/>
                <w:sz w:val="24"/>
              </w:rPr>
              <w:t>165.9万元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项目</w:t>
            </w:r>
            <w:r>
              <w:rPr>
                <w:rFonts w:ascii="仿宋_GB2312" w:hAnsi="仿宋_GB2312" w:cs="仿宋_GB2312" w:eastAsia="仿宋_GB2312"/>
                <w:sz w:val="24"/>
              </w:rPr>
              <w:t>成交</w:t>
            </w:r>
            <w:r>
              <w:rPr>
                <w:rFonts w:ascii="仿宋_GB2312" w:hAnsi="仿宋_GB2312" w:cs="仿宋_GB2312" w:eastAsia="仿宋_GB2312"/>
                <w:sz w:val="24"/>
              </w:rPr>
              <w:t>签订合同后</w:t>
            </w:r>
            <w:r>
              <w:rPr>
                <w:rFonts w:ascii="仿宋_GB2312" w:hAnsi="仿宋_GB2312" w:cs="仿宋_GB2312" w:eastAsia="仿宋_GB2312"/>
                <w:sz w:val="24"/>
              </w:rPr>
              <w:t>支付</w:t>
            </w:r>
            <w:r>
              <w:rPr>
                <w:rFonts w:ascii="仿宋_GB2312" w:hAnsi="仿宋_GB2312" w:cs="仿宋_GB2312" w:eastAsia="仿宋_GB2312"/>
                <w:sz w:val="24"/>
              </w:rPr>
              <w:t>40%，</w:t>
            </w:r>
            <w:r>
              <w:rPr>
                <w:rFonts w:ascii="仿宋_GB2312" w:hAnsi="仿宋_GB2312" w:cs="仿宋_GB2312" w:eastAsia="仿宋_GB2312"/>
                <w:sz w:val="24"/>
              </w:rPr>
              <w:t>监测</w:t>
            </w:r>
            <w:r>
              <w:rPr>
                <w:rFonts w:ascii="仿宋_GB2312" w:hAnsi="仿宋_GB2312" w:cs="仿宋_GB2312" w:eastAsia="仿宋_GB2312"/>
                <w:sz w:val="24"/>
              </w:rPr>
              <w:t>设备到货安装</w:t>
            </w:r>
            <w:r>
              <w:rPr>
                <w:rFonts w:ascii="仿宋_GB2312" w:hAnsi="仿宋_GB2312" w:cs="仿宋_GB2312" w:eastAsia="仿宋_GB2312"/>
                <w:sz w:val="24"/>
              </w:rPr>
              <w:t>开始监测支付</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服务结束提交相关成果后支付</w:t>
            </w:r>
            <w:r>
              <w:rPr>
                <w:rFonts w:ascii="仿宋_GB2312" w:hAnsi="仿宋_GB2312" w:cs="仿宋_GB2312" w:eastAsia="仿宋_GB2312"/>
                <w:sz w:val="24"/>
              </w:rPr>
              <w:t>20%。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自合同签订之日起，按相关技术规范一年内完成。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监测设备到货安装且开始监测服务后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完成全部采购内容并提交成果文件，通过验收后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磋商响应文件，确定成交后，成交供应商需交纸质版磋商响应文件，正本壹份、副本贰份、电子版贰份（U盘标明供应商名称，随正本密封）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商务应答表 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商务应答表 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商务应答表 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商务应答表 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设备和专业能力声明函</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商务应答表 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商务应答表 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商务应答表 陕西省政府采购投标人拒绝政府采购领域商业贿赂承诺书.pdf 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列为“信用中国”(http://www.creditchina.gov.cn)重大税收违法失信主体名单、严重失信主体名单；“中国执行信息公开网”（https://zxgk.court.gov.cn）失信被执行人名单（被执行人包括供应商和法定代表人），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商务应答表 陕西省政府采购投标人拒绝政府采购领域商业贿赂承诺书.pdf 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商务应答表 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商务应答表 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按磋商文件要求进行报价，不得提交选择性报价，且每轮报价不超过采购预算金额或最高限价。</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响应文件份数</w:t>
            </w:r>
          </w:p>
        </w:tc>
        <w:tc>
          <w:tcPr>
            <w:tcW w:type="dxa" w:w="3322"/>
          </w:tcPr>
          <w:p>
            <w:pPr>
              <w:pStyle w:val="null3"/>
            </w:pPr>
            <w:r>
              <w:rPr>
                <w:rFonts w:ascii="仿宋_GB2312" w:hAnsi="仿宋_GB2312" w:cs="仿宋_GB2312" w:eastAsia="仿宋_GB2312"/>
              </w:rPr>
              <w:t>应符合“供应商须知前附表”规定的正本、副本、电子文件、报价一览表数量。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要求实质性条款全部响应，不能有招标人不能接受的附加条件。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应满足谈判文件中要求的服务期限。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应满足谈判文件中要求的服务地点。</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根据磋商文件内容及要求，列出对项目的理解、运维管理制度，维护、巡检的内容、措施和标准，故障监测与维修以及站点的维护和文化建设等内容。 项目理解准确、内容完整、方案详细、流程规范具体，各工作节点措施具体，针对性充足且完全符合项目需求的，计10-15分； 项目理解无误、内容基本完善、方案、流程规范、各工作节点措施明确，具有一定针对性且基本符合项目需求的，计5-10分； 项目理解有误、有基本的工作内容、方案、流程规范、各工作节点措施，但内容含糊或有实质性缺陷，无针对性且无法满足项目需求的，计0-5分；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供应商认为有必要提供的其它资料.pdf</w:t>
            </w:r>
          </w:p>
        </w:tc>
      </w:tr>
      <w:tr>
        <w:tc>
          <w:tcPr>
            <w:tcW w:type="dxa" w:w="831"/>
            <w:vMerge/>
          </w:tcPr>
          <w:p/>
        </w:tc>
        <w:tc>
          <w:tcPr>
            <w:tcW w:type="dxa" w:w="1661"/>
          </w:tcPr>
          <w:p>
            <w:pPr>
              <w:pStyle w:val="null3"/>
            </w:pPr>
            <w:r>
              <w:rPr>
                <w:rFonts w:ascii="仿宋_GB2312" w:hAnsi="仿宋_GB2312" w:cs="仿宋_GB2312" w:eastAsia="仿宋_GB2312"/>
              </w:rPr>
              <w:t>重点把握突出、难点分析</w:t>
            </w:r>
          </w:p>
        </w:tc>
        <w:tc>
          <w:tcPr>
            <w:tcW w:type="dxa" w:w="2492"/>
          </w:tcPr>
          <w:p>
            <w:pPr>
              <w:pStyle w:val="null3"/>
            </w:pPr>
            <w:r>
              <w:rPr>
                <w:rFonts w:ascii="仿宋_GB2312" w:hAnsi="仿宋_GB2312" w:cs="仿宋_GB2312" w:eastAsia="仿宋_GB2312"/>
              </w:rPr>
              <w:t>对本项目的重点把握突出、难点分析到位、提出针对性解决方案，解决方案合理，计6-10分； 分析不全面、解决方案粗略但具有一定合理性，计2-6分； 无重点、难点分析或解决方案不合理，无法保证项目正常进行，计0-2分。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数据审核</w:t>
            </w:r>
          </w:p>
        </w:tc>
        <w:tc>
          <w:tcPr>
            <w:tcW w:type="dxa" w:w="2492"/>
          </w:tcPr>
          <w:p>
            <w:pPr>
              <w:pStyle w:val="null3"/>
            </w:pPr>
            <w:r>
              <w:rPr>
                <w:rFonts w:ascii="仿宋_GB2312" w:hAnsi="仿宋_GB2312" w:cs="仿宋_GB2312" w:eastAsia="仿宋_GB2312"/>
              </w:rPr>
              <w:t>熟悉空气质量监控相关规范、政策和标准，数据分析方法严谨，有具体的纠错措施，分析报告编制内容完整、式样规范，计6-10分。 了解空气质量监控相关规范、政策和标准，数据分析方法严谨，有简单的纠错措施，分析报告编制内容明确、式样基本规范，计2-6分。 不了解空气质量监控相关规范、政策和标准，数据分析方法不严谨，无纠错措施，分析报告编制内容含糊、式样不规范，计0-2分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针对本项目制定完整详细的应急预案体系，包括但不限于应急保障措施和重大数据质量预防及处置办法等。 预案详细可行，计6-10分； 预案明确，计2-6分； 预案简单粗略，计0-2分；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每个站点至少配置2名运维专业技术人员（项目负责人除外），其中至少配备1名专业技术人员常驻现场，协助做好运维技术管理工作，计5 分，其余不计分。 注：①提供拟派技术人员有效的环境监测机构监测人员合格证书，且证书中的单位应与供应商一致，否则不计分。②提供人员身份证复印件、2025年1月至开标时间截止连续3个月已缴纳的社会保障资金凭据的复印件加盖公章；③未提供以上两项资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项目负责人具备有效的国家级环境监测机构监测人员合格证书，计5分，具备有效的省级环境监测机构监测人员合格证书，计3分。其余不计分。 注：①提供项目负责人有效的国家级或省级环境监测机构监测人员合格证书，且证书中的单位应与供应商一致，否则不予认定。②提供项目负责人身份证、2025年1月至开标时间截止连续3个月已缴纳的社会保障资金凭据的复印件加盖公章；③未提供以上两项资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运维设备</w:t>
            </w:r>
          </w:p>
        </w:tc>
        <w:tc>
          <w:tcPr>
            <w:tcW w:type="dxa" w:w="2492"/>
          </w:tcPr>
          <w:p>
            <w:pPr>
              <w:pStyle w:val="null3"/>
            </w:pPr>
            <w:r>
              <w:rPr>
                <w:rFonts w:ascii="仿宋_GB2312" w:hAnsi="仿宋_GB2312" w:cs="仿宋_GB2312" w:eastAsia="仿宋_GB2312"/>
              </w:rPr>
              <w:t>供应商需按磋商文件要求配备必要的运维设备、备件和耗材等，提供配置清单（包括但不限于设备品名、品牌、型号、数量、用途等），磋商小组根据响应情况计0-5分。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运维车辆</w:t>
            </w:r>
          </w:p>
        </w:tc>
        <w:tc>
          <w:tcPr>
            <w:tcW w:type="dxa" w:w="2492"/>
          </w:tcPr>
          <w:p>
            <w:pPr>
              <w:pStyle w:val="null3"/>
            </w:pPr>
            <w:r>
              <w:rPr>
                <w:rFonts w:ascii="仿宋_GB2312" w:hAnsi="仿宋_GB2312" w:cs="仿宋_GB2312" w:eastAsia="仿宋_GB2312"/>
              </w:rPr>
              <w:t>供应商提供至少须保证每个站点配置1 辆运维车，车辆不足或未提供车辆相关证明材料或提供资料不全不计分，满分6分。 注：提供有车辆行驶证、对应带车牌照片，购买或租赁协议等。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为更好的服务于本项目及采购人，供应商对项目做出详尽、全面、有效、合理的服务质量保障措施，包括但不限于建立完整的工作台帐、工作信息收集、反馈等客户质量保证措施等 服务质量管理体系健全完善、质量目标明确，保证措施内容详细全面，条理清晰，针对性充足且完全满足项目实施，计11-15分； 服务质量管理体系较完善、质量目标明确，保证措施详细、条理清晰，有针对性，计7-11分； 服务质量管理体系不完善，质量目标及保证措施明确，且保证措施内容明确但条理不清晰，有一定针对性，计3-7分； 服务质量管理体系不完善，质量目标含糊，保证措施内容含糊或有实质性缺陷，针对性不足计0-3分；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服务承诺（包括但不限于按时保质完成委托的工作，对检查结果的真实性负责、质量标准、违约责任及经济损失赔偿等）。磋商小组根据承诺内容以及对项目实施保障的响应情况计0-5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供应商提供2022年1月1日至今的类似项目业绩，每份计2分，满分4分。 注：以供应商响应文件中所附加盖公章的项目合同复印件复印件为准，业绩时间以合同签订时间为准，否则不计分。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满足磋商文件实质性要求且最终报价最低的供应商的价格为磋商基准价，其价格分为满分10分。 磋商报价得分=（磋商基准价/最终磋商报价）×10分的公式计算得分。 磋商报价不完整的，不进入评标标准价的计算，本项得0分。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详见附件：磋商方案说明书.pdf</w:t>
      </w:r>
    </w:p>
    <w:p>
      <w:pPr>
        <w:pStyle w:val="null3"/>
        <w:ind w:firstLine="960"/>
      </w:pPr>
      <w:r>
        <w:rPr>
          <w:rFonts w:ascii="仿宋_GB2312" w:hAnsi="仿宋_GB2312" w:cs="仿宋_GB2312" w:eastAsia="仿宋_GB2312"/>
        </w:rPr>
        <w:t>详见附件：陕西省政府采购投标人拒绝政府采购领域商业贿赂承诺书.pdf</w:t>
      </w:r>
    </w:p>
    <w:p>
      <w:pPr>
        <w:pStyle w:val="null3"/>
        <w:ind w:firstLine="960"/>
      </w:pPr>
      <w:r>
        <w:rPr>
          <w:rFonts w:ascii="仿宋_GB2312" w:hAnsi="仿宋_GB2312" w:cs="仿宋_GB2312" w:eastAsia="仿宋_GB2312"/>
        </w:rPr>
        <w:t>详见附件：供应商认为有必要提供的其它资料.pdf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