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版本号：YXZB-2025-061020250611001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2025年司法辅助事务外包项目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YXZB-2025-0610</w:t>
      </w:r>
      <w:r>
        <w:br/>
      </w:r>
      <w:r>
        <w:br/>
      </w:r>
      <w:r>
        <w:br/>
      </w:r>
    </w:p>
    <w:p>
      <w:pPr>
        <w:pStyle w:val="null3"/>
        <w:jc w:val="center"/>
        <w:outlineLvl w:val="2"/>
      </w:pPr>
      <w:r>
        <w:rPr>
          <w:rFonts w:ascii="仿宋_GB2312" w:hAnsi="仿宋_GB2312" w:cs="仿宋_GB2312" w:eastAsia="仿宋_GB2312"/>
          <w:sz w:val="28"/>
          <w:b/>
        </w:rPr>
        <w:t>西安市临潼区人民法院[161]</w:t>
      </w:r>
    </w:p>
    <w:p>
      <w:pPr>
        <w:pStyle w:val="null3"/>
        <w:jc w:val="center"/>
        <w:outlineLvl w:val="2"/>
      </w:pPr>
      <w:r>
        <w:rPr>
          <w:rFonts w:ascii="仿宋_GB2312" w:hAnsi="仿宋_GB2312" w:cs="仿宋_GB2312" w:eastAsia="仿宋_GB2312"/>
          <w:sz w:val="28"/>
          <w:b/>
        </w:rPr>
        <w:t>陕西玥鑫项目管理有限公司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2025年06月11日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陕西玥鑫项目管理有限公司</w:t>
      </w:r>
      <w:r>
        <w:rPr>
          <w:rFonts w:ascii="仿宋_GB2312" w:hAnsi="仿宋_GB2312" w:cs="仿宋_GB2312" w:eastAsia="仿宋_GB2312"/>
        </w:rPr>
        <w:t>（以下简称“代理机构”）受</w:t>
      </w:r>
      <w:r>
        <w:rPr>
          <w:rFonts w:ascii="仿宋_GB2312" w:hAnsi="仿宋_GB2312" w:cs="仿宋_GB2312" w:eastAsia="仿宋_GB2312"/>
        </w:rPr>
        <w:t>西安市临潼区人民法院[161]</w:t>
      </w:r>
      <w:r>
        <w:rPr>
          <w:rFonts w:ascii="仿宋_GB2312" w:hAnsi="仿宋_GB2312" w:cs="仿宋_GB2312" w:eastAsia="仿宋_GB2312"/>
        </w:rPr>
        <w:t>委托，拟对</w:t>
      </w:r>
      <w:r>
        <w:rPr>
          <w:rFonts w:ascii="仿宋_GB2312" w:hAnsi="仿宋_GB2312" w:cs="仿宋_GB2312" w:eastAsia="仿宋_GB2312"/>
        </w:rPr>
        <w:t>2025年司法辅助事务外包项目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YXZB-2025-0610</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2025年司法辅助事务外包项目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2025年司法辅助事务外包项目需满足临潼法院诉讼服务中心司法辅助事务外包服务工作.电子卷宗随案同步生成工作 等内容的采购需求。本项目采购预算1,700,000.00元。需满足的要求:符合国家相关政策，达到验收标准。</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采购包1（2025年司法辅助事务外包项目）：属于专门面向中小企业采购。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1、营业执照等主体资格证明文件：提供统一社会信用代码的营业执照或其他组织经营的合法凭证或自然人的提供身份证明文件。</w:t>
      </w:r>
    </w:p>
    <w:p>
      <w:pPr>
        <w:pStyle w:val="null3"/>
      </w:pPr>
      <w:r>
        <w:rPr>
          <w:rFonts w:ascii="仿宋_GB2312" w:hAnsi="仿宋_GB2312" w:cs="仿宋_GB2312" w:eastAsia="仿宋_GB2312"/>
        </w:rPr>
        <w:t>2、财务状况报告：供应商需提供具有财务审计资质单位出具的2023或2024年度财务报告或开标前六个月内其基 本账户银行出具的资信证明或财政部门认可的 政府采购专业担保机构出具的担保函，以上形 式的证明资料提供任何一种即可。</w:t>
      </w:r>
    </w:p>
    <w:p>
      <w:pPr>
        <w:pStyle w:val="null3"/>
      </w:pPr>
      <w:r>
        <w:rPr>
          <w:rFonts w:ascii="仿宋_GB2312" w:hAnsi="仿宋_GB2312" w:cs="仿宋_GB2312" w:eastAsia="仿宋_GB2312"/>
        </w:rPr>
        <w:t>3、税收缴纳证明：提供已缴纳的 2025年1月1日以来至少一个月 的纳税证明或完税证明，纳税证明或完税证明 上应有代 收机构或税务机关的公章或业务专用 章。依法免税的投标人应提供相关文件证明。</w:t>
      </w:r>
    </w:p>
    <w:p>
      <w:pPr>
        <w:pStyle w:val="null3"/>
      </w:pPr>
      <w:r>
        <w:rPr>
          <w:rFonts w:ascii="仿宋_GB2312" w:hAnsi="仿宋_GB2312" w:cs="仿宋_GB2312" w:eastAsia="仿宋_GB2312"/>
        </w:rPr>
        <w:t>4、社保缴纳证明：提供已缴纳的 2025年1月1日以来至少一个月 的社会保障资金缴存单据或社保机构开具的社 会保险参 保缴费情况证明。成立时间至提交投 标文件截止时间不足一个月或依法不需要缴纳 社会保障资金的投 标人应提供相关文件证明。</w:t>
      </w:r>
    </w:p>
    <w:p>
      <w:pPr>
        <w:pStyle w:val="null3"/>
      </w:pPr>
      <w:r>
        <w:rPr>
          <w:rFonts w:ascii="仿宋_GB2312" w:hAnsi="仿宋_GB2312" w:cs="仿宋_GB2312" w:eastAsia="仿宋_GB2312"/>
        </w:rPr>
        <w:t>5、书面声明：1.出具履行合同所必需的设备和专业技术能力的 书面声明； 2.出具参加本次政府采购活动的书 面声明。</w:t>
      </w:r>
    </w:p>
    <w:p>
      <w:pPr>
        <w:pStyle w:val="null3"/>
      </w:pPr>
      <w:r>
        <w:rPr>
          <w:rFonts w:ascii="仿宋_GB2312" w:hAnsi="仿宋_GB2312" w:cs="仿宋_GB2312" w:eastAsia="仿宋_GB2312"/>
        </w:rPr>
        <w:t>6、信用记录：投标供应商不得被“信用中国”（www.creditch ina.gov.cn）列入重大税收违法失信主体；不 得被“中国执行信息公开网”（http://zxgk.cour t.gov.cn/shixin/）列入失信被执行人名单；不 得被“中国政府采购网”（www.ccgp.gov.cn） 列入政府采购严重违法失信行为记录名单。</w:t>
      </w:r>
    </w:p>
    <w:p>
      <w:pPr>
        <w:pStyle w:val="null3"/>
      </w:pPr>
      <w:r>
        <w:rPr>
          <w:rFonts w:ascii="仿宋_GB2312" w:hAnsi="仿宋_GB2312" w:cs="仿宋_GB2312" w:eastAsia="仿宋_GB2312"/>
        </w:rPr>
        <w:t>7、法定代表人授权委托书：法定代表人直接参加投标的须出具法定代表人 身份证（须与营业执照上信息一致），法定代 表人授权 代表参加投标的须出具法定代表人授 权书及授权代表身份证。</w:t>
      </w:r>
    </w:p>
    <w:p>
      <w:pPr>
        <w:pStyle w:val="null3"/>
      </w:pPr>
      <w:r>
        <w:rPr>
          <w:rFonts w:ascii="仿宋_GB2312" w:hAnsi="仿宋_GB2312" w:cs="仿宋_GB2312" w:eastAsia="仿宋_GB2312"/>
        </w:rPr>
        <w:t>8、控股、管理关系：单位负责人为同一人或者存在控股、管理关系 的不同单位，不得同时参加同一项目的投标。</w:t>
      </w:r>
    </w:p>
    <w:p>
      <w:pPr>
        <w:pStyle w:val="null3"/>
      </w:pPr>
      <w:r>
        <w:rPr>
          <w:rFonts w:ascii="仿宋_GB2312" w:hAnsi="仿宋_GB2312" w:cs="仿宋_GB2312" w:eastAsia="仿宋_GB2312"/>
        </w:rPr>
        <w:t>9、联合体投标及分包：本项目不接受联合体投标，不允许分包。</w:t>
      </w:r>
    </w:p>
    <w:p>
      <w:pPr>
        <w:pStyle w:val="null3"/>
      </w:pPr>
      <w:r>
        <w:rPr>
          <w:rFonts w:ascii="仿宋_GB2312" w:hAnsi="仿宋_GB2312" w:cs="仿宋_GB2312" w:eastAsia="仿宋_GB2312"/>
        </w:rPr>
        <w:t>10、保密资质证书：具有国家保密局颁发的乙级及以上的涉密档案数字化加工的“国家秘密载体印制资质证书”，外省企业需在陕西省国家保密局备案（甲级资质无需备案）；</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西安市临潼区人民法院[161]</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西安市临潼区人民北路4号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710600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西安市临潼区人民法院[161]经办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15902956499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陕西玥鑫项目管理有限公司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西安市高新区泰维智链中心一期 B 座2层202室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陕西玥鑫项目管理有限公司经办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17389208679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采购包1：1,700,000.00元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代理服务费收费标准：1.招标代理服务费收取参考国家计委颁布的《招标代理服务收费管理暂行办法》（计价格[2002]1980号）和（发改办价格[2003]857号）文收费标准计取，2.单位名称：陕西玥鑫项目管理有限公司 开户银行：中国建设银行股份有限公司西安祥和居支行 银行账户：6105 0110 1948 00000615</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西安市临潼区人民法院[161]</w:t>
      </w:r>
      <w:r>
        <w:rPr>
          <w:rFonts w:ascii="仿宋_GB2312" w:hAnsi="仿宋_GB2312" w:cs="仿宋_GB2312" w:eastAsia="仿宋_GB2312"/>
        </w:rPr>
        <w:t>和</w:t>
      </w:r>
      <w:r>
        <w:rPr>
          <w:rFonts w:ascii="仿宋_GB2312" w:hAnsi="仿宋_GB2312" w:cs="仿宋_GB2312" w:eastAsia="仿宋_GB2312"/>
        </w:rPr>
        <w:t>陕西玥鑫项目管理有限公司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西安市临潼区人民法院[161]</w:t>
      </w:r>
      <w:r>
        <w:rPr>
          <w:rFonts w:ascii="仿宋_GB2312" w:hAnsi="仿宋_GB2312" w:cs="仿宋_GB2312" w:eastAsia="仿宋_GB2312"/>
        </w:rPr>
        <w:t>负责解释。除上述磋商文件内容，其他内容由</w:t>
      </w:r>
      <w:r>
        <w:rPr>
          <w:rFonts w:ascii="仿宋_GB2312" w:hAnsi="仿宋_GB2312" w:cs="仿宋_GB2312" w:eastAsia="仿宋_GB2312"/>
        </w:rPr>
        <w:t>陕西玥鑫项目管理有限公司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西安市临潼区人民法院[161]</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陕西玥鑫项目管理有限公司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以后续签定合同为准</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陕西玥鑫项目管理有限公司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陕西玥鑫项目管理有限公司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陕西玥鑫项目管理有限公司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联系人：玥鑫经办</w:t>
      </w:r>
    </w:p>
    <w:p>
      <w:pPr>
        <w:pStyle w:val="null3"/>
      </w:pPr>
      <w:r>
        <w:rPr>
          <w:rFonts w:ascii="仿宋_GB2312" w:hAnsi="仿宋_GB2312" w:cs="仿宋_GB2312" w:eastAsia="仿宋_GB2312"/>
        </w:rPr>
        <w:t>联系电话：17389208679</w:t>
      </w:r>
    </w:p>
    <w:p>
      <w:pPr>
        <w:pStyle w:val="null3"/>
      </w:pPr>
      <w:r>
        <w:rPr>
          <w:rFonts w:ascii="仿宋_GB2312" w:hAnsi="仿宋_GB2312" w:cs="仿宋_GB2312" w:eastAsia="仿宋_GB2312"/>
        </w:rPr>
        <w:t>地址：西安市高新区泰维智链中心一期 B 座2层202室</w:t>
      </w:r>
    </w:p>
    <w:p>
      <w:pPr>
        <w:pStyle w:val="null3"/>
      </w:pPr>
      <w:r>
        <w:rPr>
          <w:rFonts w:ascii="仿宋_GB2312" w:hAnsi="仿宋_GB2312" w:cs="仿宋_GB2312" w:eastAsia="仿宋_GB2312"/>
        </w:rPr>
        <w:t>邮编：710076</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2025年司法辅助事务外包项目需满足临潼法院诉讼服务中心司法辅助事务外包服务工作.电子卷宗随案同步生成工作等内容的采购需求。本项目采购预算1,700,000.00元。需满足的要求:符合国家相关政策，达到验收标准。</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1,700,000.00</w:t>
      </w:r>
    </w:p>
    <w:p>
      <w:pPr>
        <w:pStyle w:val="null3"/>
      </w:pPr>
      <w:r>
        <w:rPr>
          <w:rFonts w:ascii="仿宋_GB2312" w:hAnsi="仿宋_GB2312" w:cs="仿宋_GB2312" w:eastAsia="仿宋_GB2312"/>
        </w:rPr>
        <w:t>采购包最高限价（元）: 1,700,000.00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1700000</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1,700,000.00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标的名称：1700000</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before="255" w:after="255"/>
              <w:jc w:val="both"/>
              <w:outlineLvl w:val="1"/>
            </w:pPr>
            <w:r>
              <w:rPr>
                <w:rFonts w:ascii="仿宋_GB2312" w:hAnsi="仿宋_GB2312" w:cs="仿宋_GB2312" w:eastAsia="仿宋_GB2312"/>
                <w:sz w:val="30"/>
                <w:b/>
              </w:rPr>
              <w:t>1、项目概况及总体要求</w:t>
            </w:r>
          </w:p>
          <w:p>
            <w:pPr>
              <w:pStyle w:val="null3"/>
              <w:ind w:firstLine="420"/>
              <w:jc w:val="both"/>
            </w:pPr>
            <w:r>
              <w:rPr>
                <w:rFonts w:ascii="仿宋_GB2312" w:hAnsi="仿宋_GB2312" w:cs="仿宋_GB2312" w:eastAsia="仿宋_GB2312"/>
                <w:sz w:val="24"/>
              </w:rPr>
              <w:t>2025年司法辅助事务外包项目需满足临潼法院诉讼服务中心司法辅助事务外包服务工作.电子卷宗随案同步生成工作等内容的采购需求。本项目采购预算1,700,000.00元。需满足的要求:符合国家相关政策，达到验收标准。</w:t>
            </w:r>
          </w:p>
          <w:p>
            <w:pPr>
              <w:pStyle w:val="null3"/>
              <w:ind w:firstLine="420"/>
              <w:jc w:val="both"/>
            </w:pPr>
            <w:r>
              <w:rPr>
                <w:rFonts w:ascii="仿宋_GB2312" w:hAnsi="仿宋_GB2312" w:cs="仿宋_GB2312" w:eastAsia="仿宋_GB2312"/>
                <w:sz w:val="24"/>
                <w:b/>
              </w:rPr>
              <w:t>本项目所属行业为租赁和商务服务业</w:t>
            </w:r>
          </w:p>
          <w:p>
            <w:pPr>
              <w:pStyle w:val="null3"/>
              <w:spacing w:before="255" w:after="255"/>
              <w:jc w:val="both"/>
              <w:outlineLvl w:val="1"/>
            </w:pPr>
            <w:r>
              <w:rPr>
                <w:rFonts w:ascii="仿宋_GB2312" w:hAnsi="仿宋_GB2312" w:cs="仿宋_GB2312" w:eastAsia="仿宋_GB2312"/>
                <w:sz w:val="30"/>
                <w:b/>
              </w:rPr>
              <w:t>2、服务内容</w:t>
            </w:r>
          </w:p>
          <w:p>
            <w:pPr>
              <w:pStyle w:val="null3"/>
              <w:ind w:firstLine="480"/>
              <w:jc w:val="both"/>
            </w:pPr>
            <w:r>
              <w:rPr>
                <w:rFonts w:ascii="仿宋_GB2312" w:hAnsi="仿宋_GB2312" w:cs="仿宋_GB2312" w:eastAsia="仿宋_GB2312"/>
                <w:sz w:val="24"/>
                <w:color w:val="000000"/>
              </w:rPr>
              <w:t>包括</w:t>
            </w:r>
            <w:r>
              <w:rPr>
                <w:rFonts w:ascii="仿宋_GB2312" w:hAnsi="仿宋_GB2312" w:cs="仿宋_GB2312" w:eastAsia="仿宋_GB2312"/>
                <w:sz w:val="24"/>
                <w:color w:val="000000"/>
              </w:rPr>
              <w:t>但不限于</w:t>
            </w:r>
            <w:r>
              <w:rPr>
                <w:rFonts w:ascii="仿宋_GB2312" w:hAnsi="仿宋_GB2312" w:cs="仿宋_GB2312" w:eastAsia="仿宋_GB2312"/>
                <w:sz w:val="24"/>
                <w:color w:val="000000"/>
              </w:rPr>
              <w:t>：</w:t>
            </w:r>
            <w:r>
              <w:rPr>
                <w:rFonts w:ascii="仿宋_GB2312" w:hAnsi="仿宋_GB2312" w:cs="仿宋_GB2312" w:eastAsia="仿宋_GB2312"/>
                <w:sz w:val="24"/>
                <w:color w:val="000000"/>
              </w:rPr>
              <w:t>司法辅助事务外包服务人员招聘、工资支付、人员培训、</w:t>
            </w:r>
            <w:r>
              <w:rPr>
                <w:rFonts w:ascii="仿宋_GB2312" w:hAnsi="仿宋_GB2312" w:cs="仿宋_GB2312" w:eastAsia="仿宋_GB2312"/>
                <w:sz w:val="24"/>
                <w:color w:val="000000"/>
              </w:rPr>
              <w:t>档案借调、目录著录、档案扫描、图像质检、扫描数据备份、档案归还等工作</w:t>
            </w:r>
            <w:r>
              <w:rPr>
                <w:rFonts w:ascii="仿宋_GB2312" w:hAnsi="仿宋_GB2312" w:cs="仿宋_GB2312" w:eastAsia="仿宋_GB2312"/>
                <w:sz w:val="24"/>
                <w:color w:val="000000"/>
              </w:rPr>
              <w:t>，具体工作内容以甲方实际需求为准</w:t>
            </w:r>
            <w:r>
              <w:rPr>
                <w:rFonts w:ascii="仿宋_GB2312" w:hAnsi="仿宋_GB2312" w:cs="仿宋_GB2312" w:eastAsia="仿宋_GB2312"/>
                <w:sz w:val="21"/>
              </w:rPr>
              <w:t>。</w:t>
            </w:r>
          </w:p>
          <w:p>
            <w:pPr>
              <w:pStyle w:val="null3"/>
              <w:ind w:right="45" w:firstLine="147"/>
              <w:jc w:val="both"/>
            </w:pPr>
            <w:r>
              <w:rPr>
                <w:rFonts w:ascii="仿宋_GB2312" w:hAnsi="仿宋_GB2312" w:cs="仿宋_GB2312" w:eastAsia="仿宋_GB2312"/>
                <w:sz w:val="30"/>
                <w:b/>
              </w:rPr>
              <w:t>3</w:t>
            </w:r>
            <w:r>
              <w:rPr>
                <w:rFonts w:ascii="仿宋_GB2312" w:hAnsi="仿宋_GB2312" w:cs="仿宋_GB2312" w:eastAsia="仿宋_GB2312"/>
                <w:sz w:val="30"/>
                <w:b/>
              </w:rPr>
              <w:t>、商务要求</w:t>
            </w:r>
          </w:p>
          <w:p>
            <w:pPr>
              <w:pStyle w:val="null3"/>
              <w:ind w:firstLine="600"/>
              <w:jc w:val="both"/>
            </w:pPr>
            <w:r>
              <w:rPr>
                <w:rFonts w:ascii="仿宋_GB2312" w:hAnsi="仿宋_GB2312" w:cs="仿宋_GB2312" w:eastAsia="仿宋_GB2312"/>
                <w:sz w:val="24"/>
              </w:rPr>
              <w:t>1.</w:t>
            </w:r>
            <w:r>
              <w:rPr>
                <w:rFonts w:ascii="仿宋_GB2312" w:hAnsi="仿宋_GB2312" w:cs="仿宋_GB2312" w:eastAsia="仿宋_GB2312"/>
                <w:sz w:val="24"/>
              </w:rPr>
              <w:t>电子卷宗随案同步生成案件量需求：</w:t>
            </w:r>
            <w:r>
              <w:rPr>
                <w:rFonts w:ascii="仿宋_GB2312" w:hAnsi="仿宋_GB2312" w:cs="仿宋_GB2312" w:eastAsia="仿宋_GB2312"/>
                <w:sz w:val="24"/>
              </w:rPr>
              <w:t>约</w:t>
            </w:r>
            <w:r>
              <w:rPr>
                <w:rFonts w:ascii="仿宋_GB2312" w:hAnsi="仿宋_GB2312" w:cs="仿宋_GB2312" w:eastAsia="仿宋_GB2312"/>
                <w:sz w:val="24"/>
              </w:rPr>
              <w:t>170万页，每页最高限价0.48元。</w:t>
            </w:r>
          </w:p>
          <w:p>
            <w:pPr>
              <w:pStyle w:val="null3"/>
              <w:ind w:firstLine="600"/>
              <w:jc w:val="both"/>
            </w:pPr>
            <w:r>
              <w:rPr>
                <w:rFonts w:ascii="仿宋_GB2312" w:hAnsi="仿宋_GB2312" w:cs="仿宋_GB2312" w:eastAsia="仿宋_GB2312"/>
                <w:sz w:val="24"/>
              </w:rPr>
              <w:t>2.</w:t>
            </w:r>
            <w:r>
              <w:rPr>
                <w:rFonts w:ascii="仿宋_GB2312" w:hAnsi="仿宋_GB2312" w:cs="仿宋_GB2312" w:eastAsia="仿宋_GB2312"/>
                <w:sz w:val="24"/>
              </w:rPr>
              <w:t>窗口服务项目组人员配备要求：不少于</w:t>
            </w:r>
            <w:r>
              <w:rPr>
                <w:rFonts w:ascii="仿宋_GB2312" w:hAnsi="仿宋_GB2312" w:cs="仿宋_GB2312" w:eastAsia="仿宋_GB2312"/>
                <w:sz w:val="24"/>
              </w:rPr>
              <w:t>13</w:t>
            </w:r>
            <w:r>
              <w:rPr>
                <w:rFonts w:ascii="仿宋_GB2312" w:hAnsi="仿宋_GB2312" w:cs="仿宋_GB2312" w:eastAsia="仿宋_GB2312"/>
                <w:sz w:val="24"/>
              </w:rPr>
              <w:t>人</w:t>
            </w:r>
          </w:p>
          <w:p>
            <w:pPr>
              <w:pStyle w:val="null3"/>
              <w:ind w:firstLine="600"/>
              <w:jc w:val="both"/>
            </w:pPr>
            <w:r>
              <w:rPr>
                <w:rFonts w:ascii="仿宋_GB2312" w:hAnsi="仿宋_GB2312" w:cs="仿宋_GB2312" w:eastAsia="仿宋_GB2312"/>
                <w:sz w:val="24"/>
              </w:rPr>
              <w:t>3.</w:t>
            </w:r>
            <w:r>
              <w:rPr>
                <w:rFonts w:ascii="仿宋_GB2312" w:hAnsi="仿宋_GB2312" w:cs="仿宋_GB2312" w:eastAsia="仿宋_GB2312"/>
                <w:sz w:val="24"/>
              </w:rPr>
              <w:t>服务期限：合同签订之日起一年。</w:t>
            </w:r>
          </w:p>
          <w:p>
            <w:pPr>
              <w:pStyle w:val="null3"/>
              <w:ind w:firstLine="600"/>
              <w:jc w:val="both"/>
            </w:pPr>
            <w:r>
              <w:rPr>
                <w:rFonts w:ascii="仿宋_GB2312" w:hAnsi="仿宋_GB2312" w:cs="仿宋_GB2312" w:eastAsia="仿宋_GB2312"/>
                <w:sz w:val="24"/>
              </w:rPr>
              <w:t>4.</w:t>
            </w:r>
            <w:r>
              <w:rPr>
                <w:rFonts w:ascii="仿宋_GB2312" w:hAnsi="仿宋_GB2312" w:cs="仿宋_GB2312" w:eastAsia="仿宋_GB2312"/>
                <w:sz w:val="24"/>
              </w:rPr>
              <w:t>服务地点：采购人指定地点。</w:t>
            </w:r>
          </w:p>
          <w:p>
            <w:pPr>
              <w:pStyle w:val="null3"/>
              <w:ind w:firstLine="600"/>
              <w:jc w:val="both"/>
            </w:pPr>
            <w:r>
              <w:rPr>
                <w:rFonts w:ascii="仿宋_GB2312" w:hAnsi="仿宋_GB2312" w:cs="仿宋_GB2312" w:eastAsia="仿宋_GB2312"/>
                <w:sz w:val="24"/>
              </w:rPr>
              <w:t>5.</w:t>
            </w:r>
            <w:r>
              <w:rPr>
                <w:rFonts w:ascii="仿宋_GB2312" w:hAnsi="仿宋_GB2312" w:cs="仿宋_GB2312" w:eastAsia="仿宋_GB2312"/>
                <w:sz w:val="24"/>
              </w:rPr>
              <w:t>在服务期内发生人员离职的情况，供应商应在</w:t>
            </w:r>
            <w:r>
              <w:rPr>
                <w:rFonts w:ascii="仿宋_GB2312" w:hAnsi="仿宋_GB2312" w:cs="仿宋_GB2312" w:eastAsia="仿宋_GB2312"/>
                <w:sz w:val="24"/>
              </w:rPr>
              <w:t>7</w:t>
            </w:r>
            <w:r>
              <w:rPr>
                <w:rFonts w:ascii="仿宋_GB2312" w:hAnsi="仿宋_GB2312" w:cs="仿宋_GB2312" w:eastAsia="仿宋_GB2312"/>
                <w:sz w:val="24"/>
              </w:rPr>
              <w:t>天内补齐项目人员。</w:t>
            </w:r>
          </w:p>
          <w:p>
            <w:pPr>
              <w:pStyle w:val="null3"/>
              <w:ind w:right="45" w:firstLine="147"/>
              <w:jc w:val="both"/>
            </w:pPr>
            <w:r>
              <w:rPr>
                <w:rFonts w:ascii="仿宋_GB2312" w:hAnsi="仿宋_GB2312" w:cs="仿宋_GB2312" w:eastAsia="仿宋_GB2312"/>
                <w:sz w:val="30"/>
                <w:b/>
              </w:rPr>
              <w:t>4</w:t>
            </w:r>
            <w:r>
              <w:rPr>
                <w:rFonts w:ascii="仿宋_GB2312" w:hAnsi="仿宋_GB2312" w:cs="仿宋_GB2312" w:eastAsia="仿宋_GB2312"/>
                <w:sz w:val="30"/>
                <w:b/>
              </w:rPr>
              <w:t>、技术要求</w:t>
            </w:r>
          </w:p>
          <w:p>
            <w:pPr>
              <w:pStyle w:val="null3"/>
              <w:jc w:val="left"/>
            </w:pPr>
            <w:r>
              <w:rPr>
                <w:rFonts w:ascii="仿宋_GB2312" w:hAnsi="仿宋_GB2312" w:cs="仿宋_GB2312" w:eastAsia="仿宋_GB2312"/>
                <w:sz w:val="24"/>
                <w:b/>
                <w:color w:val="000000"/>
              </w:rPr>
              <w:t xml:space="preserve"> </w:t>
            </w:r>
            <w:r>
              <w:rPr>
                <w:rFonts w:ascii="仿宋_GB2312" w:hAnsi="仿宋_GB2312" w:cs="仿宋_GB2312" w:eastAsia="仿宋_GB2312"/>
                <w:sz w:val="24"/>
                <w:b/>
                <w:color w:val="000000"/>
              </w:rPr>
              <w:t>一、电子卷宗随案同步生成服务</w:t>
            </w:r>
            <w:r>
              <w:rPr>
                <w:rFonts w:ascii="仿宋_GB2312" w:hAnsi="仿宋_GB2312" w:cs="仿宋_GB2312" w:eastAsia="仿宋_GB2312"/>
                <w:sz w:val="24"/>
                <w:b/>
                <w:color w:val="000000"/>
              </w:rPr>
              <w:t>技术与质量要求</w:t>
            </w:r>
          </w:p>
          <w:p>
            <w:pPr>
              <w:pStyle w:val="null3"/>
              <w:ind w:firstLine="480"/>
              <w:jc w:val="both"/>
            </w:pPr>
            <w:r>
              <w:rPr>
                <w:rFonts w:ascii="仿宋_GB2312" w:hAnsi="仿宋_GB2312" w:cs="仿宋_GB2312" w:eastAsia="仿宋_GB2312"/>
                <w:sz w:val="24"/>
              </w:rPr>
              <w:t>本项目的质量要求按照陕西省高级人民法院对电子档案的建设要求来执行。依据或参照行业的有关标准规范进行项目实施，具体如下：</w:t>
            </w:r>
          </w:p>
          <w:p>
            <w:pPr>
              <w:pStyle w:val="null3"/>
              <w:ind w:firstLine="480"/>
              <w:jc w:val="both"/>
            </w:pPr>
            <w:r>
              <w:rPr>
                <w:rFonts w:ascii="仿宋_GB2312" w:hAnsi="仿宋_GB2312" w:cs="仿宋_GB2312" w:eastAsia="仿宋_GB2312"/>
                <w:sz w:val="24"/>
                <w:color w:val="000000"/>
              </w:rPr>
              <w:t>（一）</w:t>
            </w:r>
            <w:r>
              <w:rPr>
                <w:rFonts w:ascii="仿宋_GB2312" w:hAnsi="仿宋_GB2312" w:cs="仿宋_GB2312" w:eastAsia="仿宋_GB2312"/>
                <w:sz w:val="24"/>
                <w:color w:val="000000"/>
              </w:rPr>
              <w:t>DA/T 31-2017中华人民共和国档案行业标准《纸质档案数字化技术规范》；</w:t>
            </w:r>
          </w:p>
          <w:p>
            <w:pPr>
              <w:pStyle w:val="null3"/>
              <w:ind w:firstLine="480"/>
              <w:jc w:val="both"/>
            </w:pPr>
            <w:r>
              <w:rPr>
                <w:rFonts w:ascii="仿宋_GB2312" w:hAnsi="仿宋_GB2312" w:cs="仿宋_GB2312" w:eastAsia="仿宋_GB2312"/>
                <w:sz w:val="24"/>
                <w:color w:val="000000"/>
              </w:rPr>
              <w:t>（二）</w:t>
            </w:r>
            <w:r>
              <w:rPr>
                <w:rFonts w:ascii="仿宋_GB2312" w:hAnsi="仿宋_GB2312" w:cs="仿宋_GB2312" w:eastAsia="仿宋_GB2312"/>
                <w:sz w:val="24"/>
                <w:color w:val="000000"/>
              </w:rPr>
              <w:t>DA/T18-1999《档案著录规则》；</w:t>
            </w:r>
          </w:p>
          <w:p>
            <w:pPr>
              <w:pStyle w:val="null3"/>
              <w:ind w:firstLine="480"/>
              <w:jc w:val="both"/>
            </w:pPr>
            <w:r>
              <w:rPr>
                <w:rFonts w:ascii="仿宋_GB2312" w:hAnsi="仿宋_GB2312" w:cs="仿宋_GB2312" w:eastAsia="仿宋_GB2312"/>
                <w:sz w:val="24"/>
                <w:color w:val="000000"/>
              </w:rPr>
              <w:t>（三）</w:t>
            </w:r>
            <w:r>
              <w:rPr>
                <w:rFonts w:ascii="仿宋_GB2312" w:hAnsi="仿宋_GB2312" w:cs="仿宋_GB2312" w:eastAsia="仿宋_GB2312"/>
                <w:sz w:val="24"/>
                <w:color w:val="000000"/>
              </w:rPr>
              <w:t>GB/T 18894-2016《电子文档归档与管理规范》；</w:t>
            </w:r>
          </w:p>
          <w:p>
            <w:pPr>
              <w:pStyle w:val="null3"/>
              <w:ind w:firstLine="480"/>
              <w:jc w:val="both"/>
            </w:pPr>
            <w:r>
              <w:rPr>
                <w:rFonts w:ascii="仿宋_GB2312" w:hAnsi="仿宋_GB2312" w:cs="仿宋_GB2312" w:eastAsia="仿宋_GB2312"/>
                <w:sz w:val="24"/>
                <w:color w:val="000000"/>
              </w:rPr>
              <w:t>（四）《档案法》；</w:t>
            </w:r>
          </w:p>
          <w:p>
            <w:pPr>
              <w:pStyle w:val="null3"/>
              <w:ind w:firstLine="480"/>
              <w:jc w:val="both"/>
            </w:pPr>
            <w:r>
              <w:rPr>
                <w:rFonts w:ascii="仿宋_GB2312" w:hAnsi="仿宋_GB2312" w:cs="仿宋_GB2312" w:eastAsia="仿宋_GB2312"/>
                <w:sz w:val="24"/>
                <w:color w:val="000000"/>
              </w:rPr>
              <w:t>（五）</w:t>
            </w:r>
            <w:r>
              <w:rPr>
                <w:rFonts w:ascii="仿宋_GB2312" w:hAnsi="仿宋_GB2312" w:cs="仿宋_GB2312" w:eastAsia="仿宋_GB2312"/>
                <w:sz w:val="24"/>
                <w:color w:val="000000"/>
              </w:rPr>
              <w:t>GB/T7156-2016《文献保密等级代码》；</w:t>
            </w:r>
          </w:p>
          <w:p>
            <w:pPr>
              <w:pStyle w:val="null3"/>
              <w:ind w:firstLine="480"/>
              <w:jc w:val="both"/>
            </w:pPr>
            <w:r>
              <w:rPr>
                <w:rFonts w:ascii="仿宋_GB2312" w:hAnsi="仿宋_GB2312" w:cs="仿宋_GB2312" w:eastAsia="仿宋_GB2312"/>
                <w:sz w:val="24"/>
                <w:color w:val="000000"/>
              </w:rPr>
              <w:t>（六）《信息技术连续色调静态图像的数字压缩及编码第</w:t>
            </w:r>
            <w:r>
              <w:rPr>
                <w:rFonts w:ascii="仿宋_GB2312" w:hAnsi="仿宋_GB2312" w:cs="仿宋_GB2312" w:eastAsia="仿宋_GB2312"/>
                <w:sz w:val="24"/>
                <w:color w:val="000000"/>
              </w:rPr>
              <w:t>1部分：要求和指南》GB/T 17235.1-1998;</w:t>
            </w:r>
          </w:p>
          <w:p>
            <w:pPr>
              <w:pStyle w:val="null3"/>
              <w:ind w:firstLine="480"/>
              <w:jc w:val="both"/>
            </w:pPr>
            <w:r>
              <w:rPr>
                <w:rFonts w:ascii="仿宋_GB2312" w:hAnsi="仿宋_GB2312" w:cs="仿宋_GB2312" w:eastAsia="仿宋_GB2312"/>
                <w:sz w:val="24"/>
                <w:color w:val="000000"/>
              </w:rPr>
              <w:t>（七）《信息技术连续色调静态图像的数字压缩及编码第</w:t>
            </w:r>
            <w:r>
              <w:rPr>
                <w:rFonts w:ascii="仿宋_GB2312" w:hAnsi="仿宋_GB2312" w:cs="仿宋_GB2312" w:eastAsia="仿宋_GB2312"/>
                <w:sz w:val="24"/>
                <w:color w:val="000000"/>
              </w:rPr>
              <w:t>2部分：一致性测试》GB/T17235.2-1998;</w:t>
            </w:r>
          </w:p>
          <w:p>
            <w:pPr>
              <w:pStyle w:val="null3"/>
              <w:jc w:val="both"/>
            </w:pPr>
            <w:r>
              <w:rPr>
                <w:rFonts w:ascii="仿宋_GB2312" w:hAnsi="仿宋_GB2312" w:cs="仿宋_GB2312" w:eastAsia="仿宋_GB2312"/>
                <w:sz w:val="24"/>
                <w:b/>
                <w:color w:val="000000"/>
              </w:rPr>
              <w:t>1、电子卷宗随案同步生成工作流程：</w:t>
            </w:r>
          </w:p>
          <w:p>
            <w:pPr>
              <w:pStyle w:val="null3"/>
              <w:ind w:firstLine="482"/>
            </w:pPr>
            <w:r>
              <w:rPr>
                <w:rFonts w:ascii="仿宋_GB2312" w:hAnsi="仿宋_GB2312" w:cs="仿宋_GB2312" w:eastAsia="仿宋_GB2312"/>
                <w:sz w:val="24"/>
                <w:b/>
              </w:rPr>
              <w:t>1-1立案阶段</w:t>
            </w:r>
          </w:p>
          <w:p>
            <w:pPr>
              <w:pStyle w:val="null3"/>
              <w:ind w:firstLine="480"/>
            </w:pPr>
            <w:r>
              <w:rPr>
                <w:rFonts w:ascii="仿宋_GB2312" w:hAnsi="仿宋_GB2312" w:cs="仿宋_GB2312" w:eastAsia="仿宋_GB2312"/>
                <w:sz w:val="24"/>
              </w:rPr>
              <w:t>创建电子卷宗：在立案窗口增配专业扫描人员和扫描设备，对当事人提交的立案审查表、当事人身份证明、受理案件通知书、起诉书等案件材料，进行集中快速扫描上传。</w:t>
            </w:r>
          </w:p>
          <w:p>
            <w:pPr>
              <w:pStyle w:val="null3"/>
              <w:ind w:firstLine="480"/>
            </w:pPr>
            <w:r>
              <w:rPr>
                <w:rFonts w:ascii="仿宋_GB2312" w:hAnsi="仿宋_GB2312" w:cs="仿宋_GB2312" w:eastAsia="仿宋_GB2312"/>
                <w:sz w:val="24"/>
              </w:rPr>
              <w:t>分拣材料：扫描人员收到扫描任务后分拣材料，先按照材料所属人分类，再将材料所属人下的证据类和非证据类分开，即进行两次分拣，其中重复材料分拣出来单独存放等相关工作。</w:t>
            </w:r>
          </w:p>
          <w:p>
            <w:pPr>
              <w:pStyle w:val="null3"/>
              <w:ind w:firstLine="480"/>
            </w:pPr>
            <w:r>
              <w:rPr>
                <w:rFonts w:ascii="仿宋_GB2312" w:hAnsi="仿宋_GB2312" w:cs="仿宋_GB2312" w:eastAsia="仿宋_GB2312"/>
                <w:sz w:val="24"/>
              </w:rPr>
              <w:t>扫描上传：利用专业扫描仪进行诉讼材料扫描上传，上传后的图像和目录一一对应。</w:t>
            </w:r>
          </w:p>
          <w:p>
            <w:pPr>
              <w:pStyle w:val="null3"/>
              <w:ind w:firstLine="480"/>
            </w:pPr>
            <w:r>
              <w:rPr>
                <w:rFonts w:ascii="仿宋_GB2312" w:hAnsi="仿宋_GB2312" w:cs="仿宋_GB2312" w:eastAsia="仿宋_GB2312"/>
                <w:sz w:val="24"/>
              </w:rPr>
              <w:t>智能编目：通过图文识别、自然语言处理等技术，将所有电子文件自动区分为一份一份的独立文件，并根据文本、图像判断文本的类型及标题，将每一份文件命名为如应诉通知书、传票等文件名。</w:t>
            </w:r>
          </w:p>
          <w:p>
            <w:pPr>
              <w:pStyle w:val="null3"/>
              <w:ind w:firstLine="480"/>
            </w:pPr>
            <w:r>
              <w:rPr>
                <w:rFonts w:ascii="仿宋_GB2312" w:hAnsi="仿宋_GB2312" w:cs="仿宋_GB2312" w:eastAsia="仿宋_GB2312"/>
                <w:sz w:val="24"/>
              </w:rPr>
              <w:t>智能关联匹配：系统可以自动根据当前案件的当事人信息和案件类型自动进入办案平台数据库进行关联案件信息匹配，用户确认后，即可一键快速上传到办案平台中。</w:t>
            </w:r>
          </w:p>
          <w:p>
            <w:pPr>
              <w:pStyle w:val="null3"/>
              <w:ind w:firstLine="482"/>
            </w:pPr>
            <w:r>
              <w:rPr>
                <w:rFonts w:ascii="仿宋_GB2312" w:hAnsi="仿宋_GB2312" w:cs="仿宋_GB2312" w:eastAsia="仿宋_GB2312"/>
                <w:sz w:val="24"/>
                <w:b/>
              </w:rPr>
              <w:t>1-2庭审阶段</w:t>
            </w:r>
          </w:p>
          <w:p>
            <w:pPr>
              <w:pStyle w:val="null3"/>
              <w:ind w:firstLine="480"/>
            </w:pPr>
            <w:r>
              <w:rPr>
                <w:rFonts w:ascii="仿宋_GB2312" w:hAnsi="仿宋_GB2312" w:cs="仿宋_GB2312" w:eastAsia="仿宋_GB2312"/>
                <w:sz w:val="24"/>
              </w:rPr>
              <w:t>补充材料扫描：案件审理过程中新补充的材料需按分拣流程中的方式分类扫描并归类到相应案件。</w:t>
            </w:r>
          </w:p>
          <w:p>
            <w:pPr>
              <w:pStyle w:val="null3"/>
              <w:ind w:firstLine="482"/>
            </w:pPr>
            <w:r>
              <w:rPr>
                <w:rFonts w:ascii="仿宋_GB2312" w:hAnsi="仿宋_GB2312" w:cs="仿宋_GB2312" w:eastAsia="仿宋_GB2312"/>
                <w:sz w:val="24"/>
                <w:b/>
              </w:rPr>
              <w:t>1-3结案阶段</w:t>
            </w:r>
          </w:p>
          <w:p>
            <w:pPr>
              <w:pStyle w:val="null3"/>
              <w:ind w:firstLine="480"/>
              <w:jc w:val="both"/>
            </w:pPr>
            <w:r>
              <w:rPr>
                <w:rFonts w:ascii="仿宋_GB2312" w:hAnsi="仿宋_GB2312" w:cs="仿宋_GB2312" w:eastAsia="仿宋_GB2312"/>
                <w:sz w:val="24"/>
              </w:rPr>
              <w:t>归目：系统会将编目后的电子文书归类到电子卷宗相应目录，归目人员需逐个检查目录下的电子文书是否归目正确，有偏差的需归目人员手动归到电子卷宗相应目录下，部分文书需人为判断归到哪一类相应目录下等相关工作。</w:t>
            </w:r>
          </w:p>
          <w:p>
            <w:pPr>
              <w:pStyle w:val="null3"/>
              <w:ind w:firstLine="480"/>
              <w:jc w:val="both"/>
            </w:pPr>
            <w:r>
              <w:rPr>
                <w:rFonts w:ascii="仿宋_GB2312" w:hAnsi="仿宋_GB2312" w:cs="仿宋_GB2312" w:eastAsia="仿宋_GB2312"/>
                <w:sz w:val="24"/>
              </w:rPr>
              <w:t>电子卷宗自动归档：生成电子页码、生成归档目录、自动生成必要的归档信息。</w:t>
            </w:r>
          </w:p>
          <w:p>
            <w:pPr>
              <w:pStyle w:val="null3"/>
              <w:ind w:firstLine="480"/>
              <w:jc w:val="both"/>
            </w:pPr>
            <w:r>
              <w:rPr>
                <w:rFonts w:ascii="仿宋_GB2312" w:hAnsi="仿宋_GB2312" w:cs="仿宋_GB2312" w:eastAsia="仿宋_GB2312"/>
                <w:sz w:val="24"/>
              </w:rPr>
              <w:t>送装订：待质检员检查后送装订等相关工作。按照纸质档案有关规定，进行三孔一线手动装订，生成完整的纸质诉讼档案。</w:t>
            </w:r>
          </w:p>
          <w:p>
            <w:pPr>
              <w:pStyle w:val="null3"/>
              <w:ind w:firstLine="480"/>
              <w:jc w:val="both"/>
            </w:pPr>
            <w:r>
              <w:rPr>
                <w:rFonts w:ascii="仿宋_GB2312" w:hAnsi="仿宋_GB2312" w:cs="仿宋_GB2312" w:eastAsia="仿宋_GB2312"/>
                <w:sz w:val="24"/>
              </w:rPr>
              <w:t>案卷归档：将装订后的纸质诉讼档案报送档案室归档。</w:t>
            </w:r>
          </w:p>
          <w:p>
            <w:pPr>
              <w:pStyle w:val="null3"/>
              <w:spacing w:before="315"/>
              <w:ind w:left="30"/>
              <w:jc w:val="both"/>
            </w:pPr>
            <w:r>
              <w:rPr>
                <w:rFonts w:ascii="仿宋_GB2312" w:hAnsi="仿宋_GB2312" w:cs="仿宋_GB2312" w:eastAsia="仿宋_GB2312"/>
                <w:sz w:val="24"/>
              </w:rPr>
              <w:t>二、窗口服务人员要求</w:t>
            </w:r>
          </w:p>
          <w:p>
            <w:pPr>
              <w:pStyle w:val="null3"/>
              <w:spacing w:before="240"/>
              <w:ind w:left="45"/>
              <w:jc w:val="both"/>
            </w:pPr>
            <w:r>
              <w:rPr>
                <w:rFonts w:ascii="仿宋_GB2312" w:hAnsi="仿宋_GB2312" w:cs="仿宋_GB2312" w:eastAsia="仿宋_GB2312"/>
                <w:sz w:val="24"/>
              </w:rPr>
              <w:t>1、引导分流</w:t>
            </w:r>
          </w:p>
          <w:p>
            <w:pPr>
              <w:pStyle w:val="null3"/>
              <w:ind w:firstLine="480"/>
              <w:jc w:val="both"/>
            </w:pPr>
            <w:r>
              <w:rPr>
                <w:rFonts w:ascii="仿宋_GB2312" w:hAnsi="仿宋_GB2312" w:cs="仿宋_GB2312" w:eastAsia="仿宋_GB2312"/>
                <w:sz w:val="24"/>
              </w:rPr>
              <w:t>结合临潼区人民法院诉服中心设置情况，该岗位主要负责对当事人的材料进行初步审查，并根据材料标准要求指引当事人进行材料补充，</w:t>
            </w:r>
            <w:r>
              <w:rPr>
                <w:rFonts w:ascii="仿宋_GB2312" w:hAnsi="仿宋_GB2312" w:cs="仿宋_GB2312" w:eastAsia="仿宋_GB2312"/>
                <w:sz w:val="24"/>
              </w:rPr>
              <w:t>如当事人需办理具体窗口业务，应根据业务需求将当事人分流到各接待窗口。同时引导并协助当事人使用现场自助设备，使当事人能够通过自助设备办理所需业务。</w:t>
            </w:r>
          </w:p>
          <w:p>
            <w:pPr>
              <w:pStyle w:val="null3"/>
              <w:spacing w:before="105"/>
              <w:ind w:left="30"/>
              <w:jc w:val="both"/>
            </w:pPr>
            <w:r>
              <w:rPr>
                <w:rFonts w:ascii="仿宋_GB2312" w:hAnsi="仿宋_GB2312" w:cs="仿宋_GB2312" w:eastAsia="仿宋_GB2312"/>
                <w:sz w:val="24"/>
              </w:rPr>
              <w:t>2、</w:t>
            </w:r>
            <w:r>
              <w:rPr>
                <w:rFonts w:ascii="仿宋_GB2312" w:hAnsi="仿宋_GB2312" w:cs="仿宋_GB2312" w:eastAsia="仿宋_GB2312"/>
                <w:sz w:val="21"/>
              </w:rPr>
              <w:t xml:space="preserve"> </w:t>
            </w:r>
            <w:r>
              <w:rPr>
                <w:rFonts w:ascii="仿宋_GB2312" w:hAnsi="仿宋_GB2312" w:cs="仿宋_GB2312" w:eastAsia="仿宋_GB2312"/>
                <w:sz w:val="24"/>
              </w:rPr>
              <w:t>网上立案材料审核</w:t>
            </w:r>
          </w:p>
          <w:p>
            <w:pPr>
              <w:pStyle w:val="null3"/>
              <w:ind w:firstLine="480"/>
              <w:jc w:val="both"/>
            </w:pPr>
            <w:r>
              <w:rPr>
                <w:rFonts w:ascii="仿宋_GB2312" w:hAnsi="仿宋_GB2312" w:cs="仿宋_GB2312" w:eastAsia="仿宋_GB2312"/>
                <w:sz w:val="24"/>
              </w:rPr>
              <w:t>结合网上立案的业务流程，该岗位主要负责立案材料审核辅助，由网上立案审查组的法官或法官助理完成网上立案信息的审查工作后，由辅助人员负责接收网上材料、现场网上立案和非现场网上立案材料的审查校对工作。</w:t>
            </w:r>
          </w:p>
          <w:p>
            <w:pPr>
              <w:pStyle w:val="null3"/>
              <w:spacing w:before="105"/>
              <w:ind w:left="30"/>
              <w:jc w:val="both"/>
            </w:pPr>
            <w:r>
              <w:rPr>
                <w:rFonts w:ascii="仿宋_GB2312" w:hAnsi="仿宋_GB2312" w:cs="仿宋_GB2312" w:eastAsia="仿宋_GB2312"/>
                <w:sz w:val="24"/>
              </w:rPr>
              <w:t>3、诉调对接</w:t>
            </w:r>
          </w:p>
          <w:p>
            <w:pPr>
              <w:pStyle w:val="null3"/>
              <w:ind w:firstLine="480"/>
              <w:jc w:val="both"/>
            </w:pPr>
            <w:r>
              <w:rPr>
                <w:rFonts w:ascii="仿宋_GB2312" w:hAnsi="仿宋_GB2312" w:cs="仿宋_GB2312" w:eastAsia="仿宋_GB2312"/>
                <w:sz w:val="24"/>
              </w:rPr>
              <w:t>该岗位主要负责接收分流到诉讼服务组的诉前调解案件，根据诉前调解服务组的分案原则把所收案件分配至各个调解员，同时将调解成功和调解失败的案件进行整理，移送给立案庭。</w:t>
            </w:r>
          </w:p>
          <w:p>
            <w:pPr>
              <w:pStyle w:val="null3"/>
              <w:spacing w:before="105"/>
              <w:ind w:left="30"/>
              <w:jc w:val="both"/>
            </w:pPr>
            <w:r>
              <w:rPr>
                <w:rFonts w:ascii="仿宋_GB2312" w:hAnsi="仿宋_GB2312" w:cs="仿宋_GB2312" w:eastAsia="仿宋_GB2312"/>
                <w:sz w:val="24"/>
              </w:rPr>
              <w:t>4、材料收转及移送</w:t>
            </w:r>
          </w:p>
          <w:p>
            <w:pPr>
              <w:pStyle w:val="null3"/>
              <w:ind w:firstLine="480"/>
              <w:jc w:val="both"/>
            </w:pPr>
            <w:r>
              <w:rPr>
                <w:rFonts w:ascii="仿宋_GB2312" w:hAnsi="仿宋_GB2312" w:cs="仿宋_GB2312" w:eastAsia="仿宋_GB2312"/>
                <w:sz w:val="24"/>
              </w:rPr>
              <w:t>该岗位主要负责为了更好完成当事人提交材料的收转和退回工作，结合临潼区人民法院情况，材料收转岗位（兼案件查询岗和上诉登记岗）。</w:t>
            </w:r>
          </w:p>
          <w:p>
            <w:pPr>
              <w:pStyle w:val="null3"/>
              <w:jc w:val="both"/>
            </w:pPr>
            <w:r>
              <w:rPr>
                <w:rFonts w:ascii="仿宋_GB2312" w:hAnsi="仿宋_GB2312" w:cs="仿宋_GB2312" w:eastAsia="仿宋_GB2312"/>
                <w:sz w:val="24"/>
              </w:rPr>
              <w:t>材料收转岗指引当事人填写《材料收转清单》，并核对确认收转材料的真实</w:t>
            </w:r>
            <w:r>
              <w:rPr>
                <w:rFonts w:ascii="仿宋_GB2312" w:hAnsi="仿宋_GB2312" w:cs="仿宋_GB2312" w:eastAsia="仿宋_GB2312"/>
                <w:sz w:val="24"/>
              </w:rPr>
              <w:t>性和份数，再由材料收转岗每天移送给各法官团队。法官团队认为需要退回给当事人的材料，将材料移交给该岗位，并说明退回情况。由该岗位联系当事人，并告知当事人退回原因。</w:t>
            </w:r>
          </w:p>
          <w:p>
            <w:pPr>
              <w:pStyle w:val="null3"/>
              <w:spacing w:before="135"/>
              <w:ind w:left="30"/>
              <w:jc w:val="both"/>
            </w:pPr>
            <w:r>
              <w:rPr>
                <w:rFonts w:ascii="仿宋_GB2312" w:hAnsi="仿宋_GB2312" w:cs="仿宋_GB2312" w:eastAsia="仿宋_GB2312"/>
                <w:sz w:val="24"/>
              </w:rPr>
              <w:t>5、上诉案件接收、登记及移送</w:t>
            </w:r>
          </w:p>
          <w:p>
            <w:pPr>
              <w:pStyle w:val="null3"/>
              <w:spacing w:before="225"/>
              <w:ind w:left="30" w:right="180" w:firstLine="489"/>
              <w:jc w:val="both"/>
            </w:pPr>
            <w:r>
              <w:rPr>
                <w:rFonts w:ascii="仿宋_GB2312" w:hAnsi="仿宋_GB2312" w:cs="仿宋_GB2312" w:eastAsia="仿宋_GB2312"/>
                <w:sz w:val="24"/>
              </w:rPr>
              <w:t>该岗位主要负责</w:t>
            </w:r>
            <w:r>
              <w:rPr>
                <w:rFonts w:ascii="仿宋_GB2312" w:hAnsi="仿宋_GB2312" w:cs="仿宋_GB2312" w:eastAsia="仿宋_GB2312"/>
                <w:sz w:val="24"/>
              </w:rPr>
              <w:t>审查上诉材料是否符合接收条件，接收符合接收条件的上诉材料，并出具收</w:t>
            </w:r>
            <w:r>
              <w:rPr>
                <w:rFonts w:ascii="仿宋_GB2312" w:hAnsi="仿宋_GB2312" w:cs="仿宋_GB2312" w:eastAsia="仿宋_GB2312"/>
                <w:sz w:val="21"/>
              </w:rPr>
              <w:t xml:space="preserve"> </w:t>
            </w:r>
            <w:r>
              <w:rPr>
                <w:rFonts w:ascii="仿宋_GB2312" w:hAnsi="仿宋_GB2312" w:cs="仿宋_GB2312" w:eastAsia="仿宋_GB2312"/>
                <w:sz w:val="24"/>
              </w:rPr>
              <w:t>取单；拒收不符合接收条件的上诉材料，并说明原因，同时将上诉状移送法</w:t>
            </w:r>
            <w:r>
              <w:rPr>
                <w:rFonts w:ascii="仿宋_GB2312" w:hAnsi="仿宋_GB2312" w:cs="仿宋_GB2312" w:eastAsia="仿宋_GB2312"/>
                <w:sz w:val="24"/>
              </w:rPr>
              <w:t>官团</w:t>
            </w:r>
            <w:r>
              <w:rPr>
                <w:rFonts w:ascii="仿宋_GB2312" w:hAnsi="仿宋_GB2312" w:cs="仿宋_GB2312" w:eastAsia="仿宋_GB2312"/>
                <w:sz w:val="24"/>
              </w:rPr>
              <w:t>队。上诉状扫描至系统进行登记</w:t>
            </w:r>
          </w:p>
          <w:p>
            <w:pPr>
              <w:pStyle w:val="null3"/>
              <w:spacing w:before="135"/>
              <w:ind w:left="30"/>
              <w:jc w:val="both"/>
            </w:pPr>
            <w:r>
              <w:rPr>
                <w:rFonts w:ascii="仿宋_GB2312" w:hAnsi="仿宋_GB2312" w:cs="仿宋_GB2312" w:eastAsia="仿宋_GB2312"/>
                <w:sz w:val="24"/>
              </w:rPr>
              <w:t>6、</w:t>
            </w:r>
            <w:r>
              <w:rPr>
                <w:rFonts w:ascii="仿宋_GB2312" w:hAnsi="仿宋_GB2312" w:cs="仿宋_GB2312" w:eastAsia="仿宋_GB2312"/>
                <w:sz w:val="21"/>
              </w:rPr>
              <w:t xml:space="preserve"> </w:t>
            </w:r>
            <w:r>
              <w:rPr>
                <w:rFonts w:ascii="仿宋_GB2312" w:hAnsi="仿宋_GB2312" w:cs="仿宋_GB2312" w:eastAsia="仿宋_GB2312"/>
                <w:sz w:val="24"/>
              </w:rPr>
              <w:t>案件信息查询</w:t>
            </w:r>
          </w:p>
          <w:p>
            <w:pPr>
              <w:pStyle w:val="null3"/>
              <w:spacing w:before="225"/>
              <w:ind w:firstLine="480"/>
              <w:jc w:val="both"/>
            </w:pPr>
            <w:r>
              <w:rPr>
                <w:rFonts w:ascii="仿宋_GB2312" w:hAnsi="仿宋_GB2312" w:cs="仿宋_GB2312" w:eastAsia="仿宋_GB2312"/>
                <w:sz w:val="24"/>
              </w:rPr>
              <w:t>该岗位主要负责</w:t>
            </w:r>
            <w:r>
              <w:rPr>
                <w:rFonts w:ascii="仿宋_GB2312" w:hAnsi="仿宋_GB2312" w:cs="仿宋_GB2312" w:eastAsia="仿宋_GB2312"/>
                <w:sz w:val="24"/>
              </w:rPr>
              <w:t>接收当事人提出的案件查询申请，登记并核实当事人及查询案件的相关信息，</w:t>
            </w:r>
            <w:r>
              <w:rPr>
                <w:rFonts w:ascii="仿宋_GB2312" w:hAnsi="仿宋_GB2312" w:cs="仿宋_GB2312" w:eastAsia="仿宋_GB2312"/>
                <w:sz w:val="24"/>
              </w:rPr>
              <w:t>协助当事人办理案件查询事宜。</w:t>
            </w:r>
          </w:p>
          <w:p>
            <w:pPr>
              <w:pStyle w:val="null3"/>
              <w:spacing w:before="105"/>
              <w:ind w:left="30"/>
              <w:jc w:val="both"/>
            </w:pPr>
            <w:r>
              <w:rPr>
                <w:rFonts w:ascii="仿宋_GB2312" w:hAnsi="仿宋_GB2312" w:cs="仿宋_GB2312" w:eastAsia="仿宋_GB2312"/>
                <w:sz w:val="24"/>
              </w:rPr>
              <w:t>7、案卷信息录入及扫描上传</w:t>
            </w:r>
          </w:p>
          <w:p>
            <w:pPr>
              <w:pStyle w:val="null3"/>
              <w:spacing w:before="225"/>
              <w:ind w:firstLine="464"/>
              <w:jc w:val="both"/>
            </w:pPr>
            <w:r>
              <w:rPr>
                <w:rFonts w:ascii="仿宋_GB2312" w:hAnsi="仿宋_GB2312" w:cs="仿宋_GB2312" w:eastAsia="仿宋_GB2312"/>
                <w:sz w:val="24"/>
              </w:rPr>
              <w:t>根据临潼法院现行业务现状，结合法院上年新收案件</w:t>
            </w:r>
            <w:r>
              <w:rPr>
                <w:rFonts w:ascii="仿宋_GB2312" w:hAnsi="仿宋_GB2312" w:cs="仿宋_GB2312" w:eastAsia="仿宋_GB2312"/>
                <w:sz w:val="24"/>
              </w:rPr>
              <w:t>的工作量，</w:t>
            </w:r>
            <w:r>
              <w:rPr>
                <w:rFonts w:ascii="仿宋_GB2312" w:hAnsi="仿宋_GB2312" w:cs="仿宋_GB2312" w:eastAsia="仿宋_GB2312"/>
                <w:sz w:val="24"/>
              </w:rPr>
              <w:t>该岗位主要负责</w:t>
            </w:r>
            <w:r>
              <w:rPr>
                <w:rFonts w:ascii="仿宋_GB2312" w:hAnsi="仿宋_GB2312" w:cs="仿宋_GB2312" w:eastAsia="仿宋_GB2312"/>
                <w:sz w:val="24"/>
              </w:rPr>
              <w:t>由立案庭的法官或法官助理完成案件的立案审查工作</w:t>
            </w:r>
            <w:r>
              <w:rPr>
                <w:rFonts w:ascii="仿宋_GB2312" w:hAnsi="仿宋_GB2312" w:cs="仿宋_GB2312" w:eastAsia="仿宋_GB2312"/>
                <w:sz w:val="24"/>
              </w:rPr>
              <w:t>后，外包团队负责接收院方人员已审核分案的现场立案材料，核对材料内容及份数，确认无误后，在系统上录入案件信息，将材料扫描上传形成电子卷宗。将卷</w:t>
            </w:r>
            <w:r>
              <w:rPr>
                <w:rFonts w:ascii="仿宋_GB2312" w:hAnsi="仿宋_GB2312" w:cs="仿宋_GB2312" w:eastAsia="仿宋_GB2312"/>
                <w:sz w:val="24"/>
              </w:rPr>
              <w:t>宗按照承办庭室分类，通知承办庭室内勤领取卷宗。</w:t>
            </w:r>
          </w:p>
          <w:p>
            <w:pPr>
              <w:pStyle w:val="null3"/>
              <w:spacing w:before="105"/>
              <w:ind w:left="30"/>
              <w:jc w:val="both"/>
            </w:pPr>
            <w:r>
              <w:rPr>
                <w:rFonts w:ascii="仿宋_GB2312" w:hAnsi="仿宋_GB2312" w:cs="仿宋_GB2312" w:eastAsia="仿宋_GB2312"/>
                <w:sz w:val="24"/>
              </w:rPr>
              <w:t>8、咨询电话接听</w:t>
            </w:r>
          </w:p>
          <w:p>
            <w:pPr>
              <w:pStyle w:val="null3"/>
              <w:spacing w:before="225"/>
              <w:ind w:left="30" w:firstLine="482"/>
              <w:jc w:val="both"/>
            </w:pPr>
            <w:r>
              <w:rPr>
                <w:rFonts w:ascii="仿宋_GB2312" w:hAnsi="仿宋_GB2312" w:cs="仿宋_GB2312" w:eastAsia="仿宋_GB2312"/>
                <w:sz w:val="24"/>
              </w:rPr>
              <w:t>该岗位主要负责</w:t>
            </w:r>
            <w:r>
              <w:rPr>
                <w:rFonts w:ascii="仿宋_GB2312" w:hAnsi="仿宋_GB2312" w:cs="仿宋_GB2312" w:eastAsia="仿宋_GB2312"/>
                <w:sz w:val="24"/>
              </w:rPr>
              <w:t>为了更好减轻法官团队负担，解决当事人咨询问题快速响应问题，</w:t>
            </w:r>
            <w:r>
              <w:rPr>
                <w:rFonts w:ascii="仿宋_GB2312" w:hAnsi="仿宋_GB2312" w:cs="仿宋_GB2312" w:eastAsia="仿宋_GB2312"/>
                <w:sz w:val="24"/>
              </w:rPr>
              <w:t>当事人可通过拨打服务热线，咨询诉讼</w:t>
            </w:r>
            <w:r>
              <w:rPr>
                <w:rFonts w:ascii="仿宋_GB2312" w:hAnsi="仿宋_GB2312" w:cs="仿宋_GB2312" w:eastAsia="仿宋_GB2312"/>
                <w:sz w:val="24"/>
              </w:rPr>
              <w:t>审判及执行相关业务流程、</w:t>
            </w:r>
            <w:r>
              <w:rPr>
                <w:rFonts w:ascii="仿宋_GB2312" w:hAnsi="仿宋_GB2312" w:cs="仿宋_GB2312" w:eastAsia="仿宋_GB2312"/>
                <w:sz w:val="21"/>
              </w:rPr>
              <w:t xml:space="preserve"> </w:t>
            </w:r>
            <w:r>
              <w:rPr>
                <w:rFonts w:ascii="仿宋_GB2312" w:hAnsi="仿宋_GB2312" w:cs="仿宋_GB2312" w:eastAsia="仿宋_GB2312"/>
                <w:sz w:val="24"/>
              </w:rPr>
              <w:t>查找案件相关业务流程信息，并可以预约法官。服务热</w:t>
            </w:r>
            <w:r>
              <w:rPr>
                <w:rFonts w:ascii="仿宋_GB2312" w:hAnsi="仿宋_GB2312" w:cs="仿宋_GB2312" w:eastAsia="仿宋_GB2312"/>
                <w:sz w:val="24"/>
              </w:rPr>
              <w:t>线在确认当事人的需求后，</w:t>
            </w:r>
            <w:r>
              <w:rPr>
                <w:rFonts w:ascii="仿宋_GB2312" w:hAnsi="仿宋_GB2312" w:cs="仿宋_GB2312" w:eastAsia="仿宋_GB2312"/>
                <w:sz w:val="24"/>
              </w:rPr>
              <w:t>根据需求进行当场回复或者转办相关法官团队</w:t>
            </w:r>
            <w:r>
              <w:rPr>
                <w:rFonts w:ascii="仿宋_GB2312" w:hAnsi="仿宋_GB2312" w:cs="仿宋_GB2312" w:eastAsia="仿宋_GB2312"/>
                <w:sz w:val="24"/>
              </w:rPr>
              <w:t>，法官团队可以根据情况，选择自</w:t>
            </w:r>
            <w:r>
              <w:rPr>
                <w:rFonts w:ascii="仿宋_GB2312" w:hAnsi="仿宋_GB2312" w:cs="仿宋_GB2312" w:eastAsia="仿宋_GB2312"/>
                <w:sz w:val="24"/>
              </w:rPr>
              <w:t>行回复或者将答复转交服务热线进行回复。如有重要事项需转办，外包团队应登</w:t>
            </w:r>
            <w:r>
              <w:rPr>
                <w:rFonts w:ascii="仿宋_GB2312" w:hAnsi="仿宋_GB2312" w:cs="仿宋_GB2312" w:eastAsia="仿宋_GB2312"/>
                <w:sz w:val="24"/>
              </w:rPr>
              <w:t>记转办事项，并跟踪事项完成进度，必要时需</w:t>
            </w:r>
            <w:r>
              <w:rPr>
                <w:rFonts w:ascii="仿宋_GB2312" w:hAnsi="仿宋_GB2312" w:cs="仿宋_GB2312" w:eastAsia="仿宋_GB2312"/>
                <w:sz w:val="24"/>
              </w:rPr>
              <w:t>促请承办人及时办理。</w:t>
            </w:r>
          </w:p>
          <w:p>
            <w:pPr>
              <w:pStyle w:val="null3"/>
              <w:spacing w:before="135"/>
              <w:ind w:left="45"/>
              <w:jc w:val="both"/>
            </w:pPr>
            <w:r>
              <w:rPr>
                <w:rFonts w:ascii="仿宋_GB2312" w:hAnsi="仿宋_GB2312" w:cs="仿宋_GB2312" w:eastAsia="仿宋_GB2312"/>
                <w:sz w:val="24"/>
              </w:rPr>
              <w:t>9、诉服信息平台管理</w:t>
            </w:r>
          </w:p>
          <w:p>
            <w:pPr>
              <w:pStyle w:val="null3"/>
              <w:ind w:firstLine="468"/>
              <w:jc w:val="left"/>
            </w:pPr>
            <w:r>
              <w:rPr>
                <w:rFonts w:ascii="仿宋_GB2312" w:hAnsi="仿宋_GB2312" w:cs="仿宋_GB2312" w:eastAsia="仿宋_GB2312"/>
                <w:sz w:val="24"/>
              </w:rPr>
              <w:t>在服务期内，对最高人民法院和省法院开发的与诉讼服务质效平台</w:t>
            </w:r>
            <w:r>
              <w:rPr>
                <w:rFonts w:ascii="仿宋_GB2312" w:hAnsi="仿宋_GB2312" w:cs="仿宋_GB2312" w:eastAsia="仿宋_GB2312"/>
                <w:sz w:val="24"/>
              </w:rPr>
              <w:t>考核相关的系统进行管理、督促、联络、维护，保证上级法院质效考核系统能够及时抽取</w:t>
            </w:r>
            <w:r>
              <w:rPr>
                <w:rFonts w:ascii="仿宋_GB2312" w:hAnsi="仿宋_GB2312" w:cs="仿宋_GB2312" w:eastAsia="仿宋_GB2312"/>
              </w:rPr>
              <w:t xml:space="preserve"> </w:t>
            </w:r>
            <w:r>
              <w:rPr>
                <w:rFonts w:ascii="仿宋_GB2312" w:hAnsi="仿宋_GB2312" w:cs="仿宋_GB2312" w:eastAsia="仿宋_GB2312"/>
                <w:sz w:val="24"/>
              </w:rPr>
              <w:t>甲方的诉讼服务数据，实时监控质效评估分数及排名情况，提取并分析指标数据，</w:t>
            </w:r>
            <w:r>
              <w:rPr>
                <w:rFonts w:ascii="仿宋_GB2312" w:hAnsi="仿宋_GB2312" w:cs="仿宋_GB2312" w:eastAsia="仿宋_GB2312"/>
                <w:sz w:val="24"/>
              </w:rPr>
              <w:t>提供可行性方案。</w:t>
            </w:r>
          </w:p>
          <w:p>
            <w:pPr>
              <w:pStyle w:val="null3"/>
              <w:ind w:firstLine="472"/>
              <w:jc w:val="left"/>
            </w:pPr>
            <w:r>
              <w:rPr>
                <w:rFonts w:ascii="仿宋_GB2312" w:hAnsi="仿宋_GB2312" w:cs="仿宋_GB2312" w:eastAsia="仿宋_GB2312"/>
                <w:sz w:val="24"/>
                <w:b/>
              </w:rPr>
              <w:t>三、服务外包总体要求</w:t>
            </w:r>
          </w:p>
          <w:p>
            <w:pPr>
              <w:pStyle w:val="null3"/>
              <w:ind w:firstLine="512"/>
              <w:jc w:val="left"/>
            </w:pPr>
            <w:r>
              <w:rPr>
                <w:rFonts w:ascii="仿宋_GB2312" w:hAnsi="仿宋_GB2312" w:cs="仿宋_GB2312" w:eastAsia="仿宋_GB2312"/>
                <w:sz w:val="24"/>
              </w:rPr>
              <w:t>1、人员培训：所有应聘人员应进行必要的公司制度、岗前及在岗培训。</w:t>
            </w:r>
          </w:p>
          <w:p>
            <w:pPr>
              <w:pStyle w:val="null3"/>
              <w:ind w:firstLine="508"/>
              <w:jc w:val="left"/>
            </w:pPr>
            <w:r>
              <w:rPr>
                <w:rFonts w:ascii="仿宋_GB2312" w:hAnsi="仿宋_GB2312" w:cs="仿宋_GB2312" w:eastAsia="仿宋_GB2312"/>
                <w:sz w:val="24"/>
              </w:rPr>
              <w:t>2、人员工资组成：</w:t>
            </w:r>
          </w:p>
          <w:p>
            <w:pPr>
              <w:pStyle w:val="null3"/>
              <w:ind w:firstLine="516"/>
              <w:jc w:val="left"/>
            </w:pPr>
            <w:r>
              <w:rPr>
                <w:rFonts w:ascii="仿宋_GB2312" w:hAnsi="仿宋_GB2312" w:cs="仿宋_GB2312" w:eastAsia="仿宋_GB2312"/>
                <w:sz w:val="24"/>
              </w:rPr>
              <w:t>人员工资由基础底薪、绩效工资、社保（五险）、福利工资</w:t>
            </w:r>
            <w:r>
              <w:rPr>
                <w:rFonts w:ascii="仿宋_GB2312" w:hAnsi="仿宋_GB2312" w:cs="仿宋_GB2312" w:eastAsia="仿宋_GB2312"/>
                <w:sz w:val="24"/>
              </w:rPr>
              <w:t>（</w:t>
            </w:r>
            <w:r>
              <w:rPr>
                <w:rFonts w:ascii="仿宋_GB2312" w:hAnsi="仿宋_GB2312" w:cs="仿宋_GB2312" w:eastAsia="仿宋_GB2312"/>
                <w:sz w:val="24"/>
              </w:rPr>
              <w:t>节日慰问</w:t>
            </w:r>
            <w:r>
              <w:rPr>
                <w:rFonts w:ascii="仿宋_GB2312" w:hAnsi="仿宋_GB2312" w:cs="仿宋_GB2312" w:eastAsia="仿宋_GB2312"/>
                <w:sz w:val="24"/>
              </w:rPr>
              <w:t>）</w:t>
            </w:r>
            <w:r>
              <w:rPr>
                <w:rFonts w:ascii="仿宋_GB2312" w:hAnsi="仿宋_GB2312" w:cs="仿宋_GB2312" w:eastAsia="仿宋_GB2312"/>
                <w:sz w:val="24"/>
              </w:rPr>
              <w:t>组成；人员服装费、培训费、管理费、</w:t>
            </w:r>
            <w:r>
              <w:rPr>
                <w:rFonts w:ascii="仿宋_GB2312" w:hAnsi="仿宋_GB2312" w:cs="仿宋_GB2312" w:eastAsia="仿宋_GB2312"/>
                <w:sz w:val="24"/>
              </w:rPr>
              <w:t>商业保险、保障金、材料费等不含在内。</w:t>
            </w:r>
          </w:p>
          <w:p>
            <w:pPr>
              <w:pStyle w:val="null3"/>
              <w:ind w:firstLine="480"/>
              <w:jc w:val="left"/>
            </w:pPr>
            <w:r>
              <w:rPr>
                <w:rFonts w:ascii="仿宋_GB2312" w:hAnsi="仿宋_GB2312" w:cs="仿宋_GB2312" w:eastAsia="仿宋_GB2312"/>
                <w:sz w:val="24"/>
              </w:rPr>
              <w:t>人员工资底薪每月</w:t>
            </w:r>
            <w:r>
              <w:rPr>
                <w:rFonts w:ascii="仿宋_GB2312" w:hAnsi="仿宋_GB2312" w:cs="仿宋_GB2312" w:eastAsia="仿宋_GB2312"/>
                <w:sz w:val="24"/>
              </w:rPr>
              <w:t>不低于</w:t>
            </w:r>
            <w:r>
              <w:rPr>
                <w:rFonts w:ascii="仿宋_GB2312" w:hAnsi="仿宋_GB2312" w:cs="仿宋_GB2312" w:eastAsia="仿宋_GB2312"/>
                <w:sz w:val="24"/>
              </w:rPr>
              <w:t>5600.00</w:t>
            </w:r>
            <w:r>
              <w:rPr>
                <w:rFonts w:ascii="仿宋_GB2312" w:hAnsi="仿宋_GB2312" w:cs="仿宋_GB2312" w:eastAsia="仿宋_GB2312"/>
                <w:sz w:val="24"/>
              </w:rPr>
              <w:t>元</w:t>
            </w:r>
            <w:r>
              <w:rPr>
                <w:rFonts w:ascii="仿宋_GB2312" w:hAnsi="仿宋_GB2312" w:cs="仿宋_GB2312" w:eastAsia="仿宋_GB2312"/>
                <w:sz w:val="24"/>
              </w:rPr>
              <w:t>；其他政策性费用（社会保险、基本医疗保险、失业</w:t>
            </w:r>
            <w:r>
              <w:rPr>
                <w:rFonts w:ascii="仿宋_GB2312" w:hAnsi="仿宋_GB2312" w:cs="仿宋_GB2312" w:eastAsia="仿宋_GB2312"/>
                <w:sz w:val="24"/>
              </w:rPr>
              <w:t>,工伤保险,生育保险,残疾人保障金等）标准均应不低于西安市现行政策要求。</w:t>
            </w:r>
          </w:p>
          <w:p>
            <w:pPr>
              <w:pStyle w:val="null3"/>
              <w:ind w:firstLine="480"/>
              <w:jc w:val="left"/>
            </w:pPr>
            <w:r>
              <w:rPr>
                <w:rFonts w:ascii="仿宋_GB2312" w:hAnsi="仿宋_GB2312" w:cs="仿宋_GB2312" w:eastAsia="仿宋_GB2312"/>
                <w:sz w:val="24"/>
              </w:rPr>
              <w:t>应按照《劳动法》、《劳动合同法》等法律法规规定，及时与劳务外包人员签订劳动合同，按时足额发放工资，办理缴纳社会保险等。</w:t>
            </w:r>
          </w:p>
          <w:p>
            <w:pPr>
              <w:pStyle w:val="null3"/>
              <w:ind w:firstLine="508"/>
              <w:jc w:val="left"/>
            </w:pPr>
            <w:r>
              <w:rPr>
                <w:rFonts w:ascii="仿宋_GB2312" w:hAnsi="仿宋_GB2312" w:cs="仿宋_GB2312" w:eastAsia="仿宋_GB2312"/>
                <w:sz w:val="24"/>
              </w:rPr>
              <w:t>3、人员服装</w:t>
            </w:r>
          </w:p>
          <w:p>
            <w:pPr>
              <w:pStyle w:val="null3"/>
              <w:ind w:firstLine="480"/>
              <w:jc w:val="left"/>
            </w:pPr>
            <w:r>
              <w:rPr>
                <w:rFonts w:ascii="仿宋_GB2312" w:hAnsi="仿宋_GB2312" w:cs="仿宋_GB2312" w:eastAsia="仿宋_GB2312"/>
                <w:sz w:val="24"/>
              </w:rPr>
              <w:t>夏装二套、春秋装一套，服装总费用人均不低于</w:t>
            </w:r>
            <w:r>
              <w:rPr>
                <w:rFonts w:ascii="仿宋_GB2312" w:hAnsi="仿宋_GB2312" w:cs="仿宋_GB2312" w:eastAsia="仿宋_GB2312"/>
                <w:sz w:val="24"/>
              </w:rPr>
              <w:t xml:space="preserve"> 1000 元。</w:t>
            </w:r>
          </w:p>
          <w:p>
            <w:pPr>
              <w:pStyle w:val="null3"/>
              <w:ind w:firstLine="508"/>
              <w:jc w:val="left"/>
            </w:pPr>
            <w:r>
              <w:rPr>
                <w:rFonts w:ascii="仿宋_GB2312" w:hAnsi="仿宋_GB2312" w:cs="仿宋_GB2312" w:eastAsia="仿宋_GB2312"/>
                <w:sz w:val="24"/>
              </w:rPr>
              <w:t>4、管理要求</w:t>
            </w:r>
          </w:p>
          <w:p>
            <w:pPr>
              <w:pStyle w:val="null3"/>
              <w:ind w:firstLine="480"/>
              <w:jc w:val="left"/>
            </w:pPr>
            <w:r>
              <w:rPr>
                <w:rFonts w:ascii="仿宋_GB2312" w:hAnsi="仿宋_GB2312" w:cs="仿宋_GB2312" w:eastAsia="仿宋_GB2312"/>
                <w:sz w:val="24"/>
              </w:rPr>
              <w:t>供应商应负责管理所有服务人员，按时足额向服务人员发放薪资报酬等，处理服务期内劳动过程中产生的劳动争议、人身安全等所有纠纷，因服务人员的劳动争议等纠纷产生的赔偿费用及后果，由供应商自行承担，与采购人无关。</w:t>
            </w:r>
          </w:p>
          <w:p>
            <w:pPr>
              <w:pStyle w:val="null3"/>
              <w:ind w:firstLine="480"/>
              <w:jc w:val="left"/>
            </w:pPr>
            <w:r>
              <w:rPr>
                <w:rFonts w:ascii="仿宋_GB2312" w:hAnsi="仿宋_GB2312" w:cs="仿宋_GB2312" w:eastAsia="仿宋_GB2312"/>
                <w:sz w:val="24"/>
              </w:rPr>
              <w:t>为确保服务人员能够完成采购人约定交办的各项业务和工作任务，</w:t>
            </w:r>
            <w:r>
              <w:rPr>
                <w:rFonts w:ascii="仿宋_GB2312" w:hAnsi="仿宋_GB2312" w:cs="仿宋_GB2312" w:eastAsia="仿宋_GB2312"/>
                <w:sz w:val="24"/>
              </w:rPr>
              <w:t>供应商应主动接受采购人对服务人员进行业务管理，听取采购人对服务人员绩效评定意见。供应商应及时考虑采购人对服务人员的调整、辞退意见。工作时间按照采购人规定的工时制，工作日正常上下班，法定节假日及重要节假日期间需要安排值班的，由供应商按照值班人员名单及值班天数</w:t>
            </w:r>
            <w:r>
              <w:rPr>
                <w:rFonts w:ascii="仿宋_GB2312" w:hAnsi="仿宋_GB2312" w:cs="仿宋_GB2312" w:eastAsia="仿宋_GB2312"/>
                <w:sz w:val="24"/>
              </w:rPr>
              <w:t>,给值班人员发放加班费和误餐补贴。</w:t>
            </w:r>
          </w:p>
          <w:p>
            <w:pPr>
              <w:pStyle w:val="null3"/>
              <w:ind w:firstLine="480"/>
              <w:jc w:val="left"/>
            </w:pPr>
            <w:r>
              <w:rPr>
                <w:rFonts w:ascii="仿宋_GB2312" w:hAnsi="仿宋_GB2312" w:cs="仿宋_GB2312" w:eastAsia="仿宋_GB2312"/>
                <w:sz w:val="24"/>
              </w:rPr>
              <w:t>供应商服务过程中须接受采购人监督及考核，若服务过程中因人员自身问题考核不合格，采购人有权要求更换服务人员，若因供应商管理问题，采购人有权进行处罚并要求供应商进行整改，若整改后无法满足采购人服务要求，采购人有权更换服务单位。</w:t>
            </w:r>
          </w:p>
          <w:p>
            <w:pPr>
              <w:pStyle w:val="null3"/>
              <w:ind w:firstLine="480"/>
              <w:jc w:val="left"/>
            </w:pPr>
            <w:r>
              <w:rPr>
                <w:rFonts w:ascii="仿宋_GB2312" w:hAnsi="仿宋_GB2312" w:cs="仿宋_GB2312" w:eastAsia="仿宋_GB2312"/>
                <w:sz w:val="24"/>
              </w:rPr>
              <w:t>5、人员要求</w:t>
            </w:r>
          </w:p>
          <w:p>
            <w:pPr>
              <w:pStyle w:val="null3"/>
              <w:ind w:firstLine="480"/>
              <w:jc w:val="left"/>
            </w:pPr>
            <w:r>
              <w:rPr>
                <w:rFonts w:ascii="仿宋_GB2312" w:hAnsi="仿宋_GB2312" w:cs="仿宋_GB2312" w:eastAsia="仿宋_GB2312"/>
                <w:sz w:val="24"/>
              </w:rPr>
              <w:t>窗口服务人员</w:t>
            </w:r>
            <w:r>
              <w:rPr>
                <w:rFonts w:ascii="仿宋_GB2312" w:hAnsi="仿宋_GB2312" w:cs="仿宋_GB2312" w:eastAsia="仿宋_GB2312"/>
                <w:sz w:val="24"/>
              </w:rPr>
              <w:t>,提供无犯罪记录证明,并且签订保密承诺书.</w:t>
            </w:r>
          </w:p>
          <w:p>
            <w:pPr>
              <w:pStyle w:val="null3"/>
              <w:ind w:firstLine="480"/>
              <w:jc w:val="left"/>
            </w:pPr>
            <w:r>
              <w:rPr>
                <w:rFonts w:ascii="仿宋_GB2312" w:hAnsi="仿宋_GB2312" w:cs="仿宋_GB2312" w:eastAsia="仿宋_GB2312"/>
                <w:sz w:val="24"/>
              </w:rPr>
              <w:t>其他岗位人员年龄要求</w:t>
            </w:r>
            <w:r>
              <w:rPr>
                <w:rFonts w:ascii="仿宋_GB2312" w:hAnsi="仿宋_GB2312" w:cs="仿宋_GB2312" w:eastAsia="仿宋_GB2312"/>
                <w:sz w:val="24"/>
              </w:rPr>
              <w:t>20岁到45岁之间,具体相关专业知识及相关工作经验.</w:t>
            </w:r>
          </w:p>
          <w:p>
            <w:pPr>
              <w:pStyle w:val="null3"/>
              <w:ind w:firstLine="504"/>
              <w:jc w:val="left"/>
            </w:pPr>
            <w:r>
              <w:rPr>
                <w:rFonts w:ascii="仿宋_GB2312" w:hAnsi="仿宋_GB2312" w:cs="仿宋_GB2312" w:eastAsia="仿宋_GB2312"/>
                <w:sz w:val="24"/>
              </w:rPr>
              <w:t>6、费用说明</w:t>
            </w:r>
          </w:p>
          <w:p>
            <w:pPr>
              <w:pStyle w:val="null3"/>
              <w:ind w:firstLine="480"/>
              <w:jc w:val="left"/>
            </w:pPr>
            <w:r>
              <w:rPr>
                <w:rFonts w:ascii="仿宋_GB2312" w:hAnsi="仿宋_GB2312" w:cs="仿宋_GB2312" w:eastAsia="仿宋_GB2312"/>
                <w:sz w:val="24"/>
              </w:rPr>
              <w:t>投标报价应包含人员工资、社保费用（五险）、医疗费用、管理费用、材料费、一切税费（包括增值税发票）、保险费、培训费、资料、招标代理服务费、政策性费用等以及项目实施全过程中产生的所有费用。</w:t>
            </w:r>
          </w:p>
          <w:p>
            <w:pPr>
              <w:pStyle w:val="null3"/>
              <w:ind w:firstLine="508"/>
              <w:jc w:val="left"/>
            </w:pPr>
            <w:r>
              <w:rPr>
                <w:rFonts w:ascii="仿宋_GB2312" w:hAnsi="仿宋_GB2312" w:cs="仿宋_GB2312" w:eastAsia="仿宋_GB2312"/>
                <w:sz w:val="24"/>
              </w:rPr>
              <w:t>7、服务质量要求</w:t>
            </w:r>
          </w:p>
          <w:p>
            <w:pPr>
              <w:pStyle w:val="null3"/>
              <w:ind w:firstLine="480"/>
              <w:jc w:val="left"/>
            </w:pPr>
            <w:r>
              <w:rPr>
                <w:rFonts w:ascii="仿宋_GB2312" w:hAnsi="仿宋_GB2312" w:cs="仿宋_GB2312" w:eastAsia="仿宋_GB2312"/>
                <w:sz w:val="24"/>
              </w:rPr>
              <w:t>对我院案件信息录入及时率达到</w:t>
            </w:r>
            <w:r>
              <w:rPr>
                <w:rFonts w:ascii="仿宋_GB2312" w:hAnsi="仿宋_GB2312" w:cs="仿宋_GB2312" w:eastAsia="仿宋_GB2312"/>
                <w:sz w:val="24"/>
              </w:rPr>
              <w:t>100%，录入正确率达到100%，立案阶段随案生成率达到85%，12368电话接通率达到90%以上，群众满意度达到98%；法官满意度达到98%。</w:t>
            </w:r>
          </w:p>
          <w:p>
            <w:pPr>
              <w:pStyle w:val="null3"/>
              <w:ind w:firstLine="480"/>
              <w:jc w:val="both"/>
            </w:pPr>
            <w:r>
              <w:rPr>
                <w:rFonts w:ascii="仿宋_GB2312" w:hAnsi="仿宋_GB2312" w:cs="仿宋_GB2312" w:eastAsia="仿宋_GB2312"/>
                <w:sz w:val="24"/>
                <w:b/>
              </w:rPr>
              <w:t>四</w:t>
            </w:r>
            <w:r>
              <w:rPr>
                <w:rFonts w:ascii="仿宋_GB2312" w:hAnsi="仿宋_GB2312" w:cs="仿宋_GB2312" w:eastAsia="仿宋_GB2312"/>
                <w:sz w:val="24"/>
                <w:b/>
              </w:rPr>
              <w:t>、其他</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4"/>
              </w:rPr>
              <w:t>1</w:t>
            </w:r>
            <w:r>
              <w:rPr>
                <w:rFonts w:ascii="仿宋_GB2312" w:hAnsi="仿宋_GB2312" w:cs="仿宋_GB2312" w:eastAsia="仿宋_GB2312"/>
                <w:sz w:val="24"/>
              </w:rPr>
              <w:t>.质保期：验收合格后一年</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.款项结算</w:t>
            </w:r>
          </w:p>
          <w:p>
            <w:pPr>
              <w:pStyle w:val="null3"/>
              <w:ind w:firstLine="480"/>
              <w:jc w:val="both"/>
            </w:pPr>
            <w:r>
              <w:rPr>
                <w:rFonts w:ascii="仿宋_GB2312" w:hAnsi="仿宋_GB2312" w:cs="仿宋_GB2312" w:eastAsia="仿宋_GB2312"/>
                <w:sz w:val="24"/>
              </w:rPr>
              <w:t>2.1</w:t>
            </w:r>
            <w:r>
              <w:rPr>
                <w:rFonts w:ascii="仿宋_GB2312" w:hAnsi="仿宋_GB2312" w:cs="仿宋_GB2312" w:eastAsia="仿宋_GB2312"/>
                <w:sz w:val="21"/>
              </w:rPr>
              <w:t>自合同签订生效起15日内，甲方向乙方支付合同金额的50%;</w:t>
            </w:r>
          </w:p>
          <w:p>
            <w:pPr>
              <w:pStyle w:val="null3"/>
            </w:pPr>
            <w:r>
              <w:rPr>
                <w:rFonts w:ascii="仿宋_GB2312" w:hAnsi="仿宋_GB2312" w:cs="仿宋_GB2312" w:eastAsia="仿宋_GB2312"/>
                <w:sz w:val="21"/>
              </w:rPr>
              <w:t>项目实施过程中，根据实施进度验收，验收由乙方提出书面申请报告，甲方确认签字后进行结算，达到付款条件起15日内，支付合同金额剩余的50%。</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2</w:t>
            </w:r>
            <w:r>
              <w:rPr>
                <w:rFonts w:ascii="仿宋_GB2312" w:hAnsi="仿宋_GB2312" w:cs="仿宋_GB2312" w:eastAsia="仿宋_GB2312"/>
                <w:sz w:val="24"/>
              </w:rPr>
              <w:t xml:space="preserve"> </w:t>
            </w:r>
            <w:r>
              <w:rPr>
                <w:rFonts w:ascii="仿宋_GB2312" w:hAnsi="仿宋_GB2312" w:cs="仿宋_GB2312" w:eastAsia="仿宋_GB2312"/>
                <w:sz w:val="24"/>
              </w:rPr>
              <w:t>结算方式：银行转账</w:t>
            </w:r>
            <w:r>
              <w:rPr>
                <w:rFonts w:ascii="仿宋_GB2312" w:hAnsi="仿宋_GB2312" w:cs="仿宋_GB2312" w:eastAsia="仿宋_GB2312"/>
                <w:sz w:val="24"/>
              </w:rPr>
              <w:t>。</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详见3.2.2服务要求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详见3.2.2服务要求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合同签订之日起一年。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西安市辖区内</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1、成品档案移交与验收：乙方完成的成品档案分批次送甲方验收并移交给甲方。具体验收由甲方验收小组进行。 2、档案验收：成品档案移交后，由甲方进行验收，验收工作按档案成品移交分批次验收，并同时由甲方负责提交验收报告。 3、数据验收合格并提交后，乙方提供免费质保。 4、成品数字化扫描数据符合检察机关档案管理要求标准及AAA认证标准。</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自合同签订生效后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项目实施过程中，根据实施进度验收，验收由乙方提出书面申请报告，甲方确认签字后进行结算</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1、乙方未能在要求时间内完成施工，超出时间部分按每天0.01%扣除。 2、数据验收完成后，甲方未在约定时间付清余款，按延迟付款总额每天0.01%承担违约金。解决纠纷方式：出现纠纷时，首先双方协商解决，如果协商达不成一致时，可向当地行政仲裁机关申请仲裁。</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供应商最后报价时同步上传“最后分项报价表”至附件。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提供统一社会信用代码的营业执照或其他组织经营的合法凭证或自然人的提供身份证明文件。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供应商需提供具有财务审计资质单位出具的2023或2024年度财务报告或开标前六个月内其基 本账户银行出具的资信证明或财政部门认可的 政府采购专业担保机构出具的担保函，以上形 式的证明资料提供任何一种即可。</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提供已缴纳的 2025年1月1日以来至少一个月 的纳税证明或完税证明，纳税证明或完税证明 上应有代 收机构或税务机关的公章或业务专用 章。依法免税的投标人应提供相关文件证明。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提供已缴纳的 2025年1月1日以来至少一个月 的社会保障资金缴存单据或社保机构开具的社 会保险参 保缴费情况证明。成立时间至提交投 标文件截止时间不足一个月或依法不需要缴纳 社会保障资金的投 标人应提供相关文件证明。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1.出具履行合同所必需的设备和专业技术能力的 书面声明； 2.出具参加本次政府采购活动的书 面声明。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投标供应商不得被“信用中国”（www.creditch ina.gov.cn）列入重大税收违法失信主体；不 得被“中国执行信息公开网”（http://zxgk.cour t.gov.cn/shixin/）列入失信被执行人名单；不 得被“中国政府采购网”（www.ccgp.gov.cn） 列入政府采购严重违法失信行为记录名单。</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法定代表人直接参加投标的须出具法定代表人 身份证（须与营业执照上信息一致），法定代 表人授权 代表参加投标的须出具法定代表人授 权书及授权代表身份证。</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单位负责人为同一人或者存在控股、管理关系 的不同单位，不得同时参加同一项目的投标。</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联合体投标及分包</w:t>
            </w:r>
          </w:p>
        </w:tc>
        <w:tc>
          <w:tcPr>
            <w:tcW w:type="dxa" w:w="3322"/>
          </w:tcPr>
          <w:p>
            <w:pPr>
              <w:pStyle w:val="null3"/>
            </w:pPr>
            <w:r>
              <w:rPr>
                <w:rFonts w:ascii="仿宋_GB2312" w:hAnsi="仿宋_GB2312" w:cs="仿宋_GB2312" w:eastAsia="仿宋_GB2312"/>
              </w:rPr>
              <w:t>本项目不接受联合体投标，不允许分包。</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保密资质证书</w:t>
            </w:r>
          </w:p>
        </w:tc>
        <w:tc>
          <w:tcPr>
            <w:tcW w:type="dxa" w:w="3322"/>
          </w:tcPr>
          <w:p>
            <w:pPr>
              <w:pStyle w:val="null3"/>
            </w:pPr>
            <w:r>
              <w:rPr>
                <w:rFonts w:ascii="仿宋_GB2312" w:hAnsi="仿宋_GB2312" w:cs="仿宋_GB2312" w:eastAsia="仿宋_GB2312"/>
              </w:rPr>
              <w:t>具有国家保密局颁发的乙级及以上的涉密档案数字化加工的“国家秘密载体印制资质证书”，外省企业需在陕西省国家保密局备案（甲级资质无需备案）；</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偏离表.docx 标的清单 报价表 响应函 首次分项报价表.docx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响应文件应按要求加盖公章或签字</w:t>
            </w:r>
          </w:p>
        </w:tc>
        <w:tc>
          <w:tcPr>
            <w:tcW w:type="dxa" w:w="1661"/>
          </w:tcPr>
          <w:p>
            <w:pPr>
              <w:pStyle w:val="null3"/>
            </w:pPr>
            <w:r>
              <w:rPr>
                <w:rFonts w:ascii="仿宋_GB2312" w:hAnsi="仿宋_GB2312" w:cs="仿宋_GB2312" w:eastAsia="仿宋_GB2312"/>
              </w:rPr>
              <w:t>响应文件封面 响应方案说明.docx 供应商应提交的相关资格证明材料.docx 最后分项报价表.docx 中小企业声明函 残疾人福利性单位声明函 偏离表.docx 标的清单 报价表 响应函 监狱企业的证明文件 首次分项报价表.docx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磋商报价不能超出采购预算</w:t>
            </w:r>
          </w:p>
        </w:tc>
        <w:tc>
          <w:tcPr>
            <w:tcW w:type="dxa" w:w="1661"/>
          </w:tcPr>
          <w:p>
            <w:pPr>
              <w:pStyle w:val="null3"/>
            </w:pPr>
            <w:r>
              <w:rPr>
                <w:rFonts w:ascii="仿宋_GB2312" w:hAnsi="仿宋_GB2312" w:cs="仿宋_GB2312" w:eastAsia="仿宋_GB2312"/>
              </w:rPr>
              <w:t>中小企业声明函 标的清单 报价表 首次分项报价表.docx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响应文件有效期满足磋商文件的要求</w:t>
            </w:r>
          </w:p>
        </w:tc>
        <w:tc>
          <w:tcPr>
            <w:tcW w:type="dxa" w:w="1661"/>
          </w:tcPr>
          <w:p>
            <w:pPr>
              <w:pStyle w:val="null3"/>
            </w:pPr>
            <w:r>
              <w:rPr>
                <w:rFonts w:ascii="仿宋_GB2312" w:hAnsi="仿宋_GB2312" w:cs="仿宋_GB2312" w:eastAsia="仿宋_GB2312"/>
              </w:rPr>
              <w:t>标的清单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技术响应</w:t>
            </w:r>
          </w:p>
        </w:tc>
        <w:tc>
          <w:tcPr>
            <w:tcW w:type="dxa" w:w="3322"/>
          </w:tcPr>
          <w:p>
            <w:pPr>
              <w:pStyle w:val="null3"/>
            </w:pPr>
            <w:r>
              <w:rPr>
                <w:rFonts w:ascii="仿宋_GB2312" w:hAnsi="仿宋_GB2312" w:cs="仿宋_GB2312" w:eastAsia="仿宋_GB2312"/>
              </w:rPr>
              <w:t>满足服务期要求且服务方案能达到采购要求</w:t>
            </w:r>
          </w:p>
        </w:tc>
        <w:tc>
          <w:tcPr>
            <w:tcW w:type="dxa" w:w="1661"/>
          </w:tcPr>
          <w:p>
            <w:pPr>
              <w:pStyle w:val="null3"/>
            </w:pPr>
            <w:r>
              <w:rPr>
                <w:rFonts w:ascii="仿宋_GB2312" w:hAnsi="仿宋_GB2312" w:cs="仿宋_GB2312" w:eastAsia="仿宋_GB2312"/>
              </w:rPr>
              <w:t>响应方案说明.docx 标的清单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不得存在的情形</w:t>
            </w:r>
          </w:p>
        </w:tc>
        <w:tc>
          <w:tcPr>
            <w:tcW w:type="dxa" w:w="3322"/>
          </w:tcPr>
          <w:p>
            <w:pPr>
              <w:pStyle w:val="null3"/>
            </w:pPr>
            <w:r>
              <w:rPr>
                <w:rFonts w:ascii="仿宋_GB2312" w:hAnsi="仿宋_GB2312" w:cs="仿宋_GB2312" w:eastAsia="仿宋_GB2312"/>
              </w:rPr>
              <w:t>供应商无相关法律法规及竞争性磋商文件规定的不得存在的情形</w:t>
            </w:r>
          </w:p>
        </w:tc>
        <w:tc>
          <w:tcPr>
            <w:tcW w:type="dxa" w:w="1661"/>
          </w:tcPr>
          <w:p>
            <w:pPr>
              <w:pStyle w:val="null3"/>
            </w:pPr>
            <w:r>
              <w:rPr>
                <w:rFonts w:ascii="仿宋_GB2312" w:hAnsi="仿宋_GB2312" w:cs="仿宋_GB2312" w:eastAsia="仿宋_GB2312"/>
              </w:rPr>
              <w:t>响应文件封面 响应方案说明.docx 供应商应提交的相关资格证明材料.docx 最后分项报价表.docx 中小企业声明函 残疾人福利性单位声明函 偏离表.docx 标的清单 报价表 响应函 监狱企业的证明文件 首次分项报价表.docx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供应商实力</w:t>
            </w:r>
          </w:p>
        </w:tc>
        <w:tc>
          <w:tcPr>
            <w:tcW w:type="dxa" w:w="2492"/>
          </w:tcPr>
          <w:p>
            <w:pPr>
              <w:pStyle w:val="null3"/>
            </w:pPr>
            <w:r>
              <w:rPr>
                <w:rFonts w:ascii="仿宋_GB2312" w:hAnsi="仿宋_GB2312" w:cs="仿宋_GB2312" w:eastAsia="仿宋_GB2312"/>
              </w:rPr>
              <w:t>经过资格审查合格的供应商，响应文件中对供应商企业财务状况、企业人员及规模进行综合评审，按其响应程度计0～5分。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响应方案说明.docx</w:t>
            </w:r>
          </w:p>
          <w:p>
            <w:pPr>
              <w:pStyle w:val="null3"/>
            </w:pPr>
            <w:r>
              <w:rPr>
                <w:rFonts w:ascii="仿宋_GB2312" w:hAnsi="仿宋_GB2312" w:cs="仿宋_GB2312" w:eastAsia="仿宋_GB2312"/>
              </w:rPr>
              <w:t>供应商应提交的相关资格证明材料.docx</w:t>
            </w:r>
          </w:p>
        </w:tc>
      </w:tr>
      <w:tr>
        <w:tc>
          <w:tcPr>
            <w:tcW w:type="dxa" w:w="831"/>
            <w:vMerge/>
          </w:tcPr>
          <w:p/>
        </w:tc>
        <w:tc>
          <w:tcPr>
            <w:tcW w:type="dxa" w:w="1661"/>
          </w:tcPr>
          <w:p>
            <w:pPr>
              <w:pStyle w:val="null3"/>
            </w:pPr>
            <w:r>
              <w:rPr>
                <w:rFonts w:ascii="仿宋_GB2312" w:hAnsi="仿宋_GB2312" w:cs="仿宋_GB2312" w:eastAsia="仿宋_GB2312"/>
              </w:rPr>
              <w:t>售后服务方案1</w:t>
            </w:r>
          </w:p>
        </w:tc>
        <w:tc>
          <w:tcPr>
            <w:tcW w:type="dxa" w:w="2492"/>
          </w:tcPr>
          <w:p>
            <w:pPr>
              <w:pStyle w:val="null3"/>
            </w:pPr>
            <w:r>
              <w:rPr>
                <w:rFonts w:ascii="仿宋_GB2312" w:hAnsi="仿宋_GB2312" w:cs="仿宋_GB2312" w:eastAsia="仿宋_GB2312"/>
              </w:rPr>
              <w:t>售后服务方案针对响应速度、解决时间、服务质量等关键因素制定具体措施，提供服务的响应时间内容，按其响应程度计0～5分。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响应方案说明.docx</w:t>
            </w:r>
          </w:p>
          <w:p>
            <w:pPr>
              <w:pStyle w:val="null3"/>
            </w:pPr>
            <w:r>
              <w:rPr>
                <w:rFonts w:ascii="仿宋_GB2312" w:hAnsi="仿宋_GB2312" w:cs="仿宋_GB2312" w:eastAsia="仿宋_GB2312"/>
              </w:rPr>
              <w:t>偏离表.docx</w:t>
            </w:r>
          </w:p>
        </w:tc>
      </w:tr>
      <w:tr>
        <w:tc>
          <w:tcPr>
            <w:tcW w:type="dxa" w:w="831"/>
            <w:vMerge/>
          </w:tcPr>
          <w:p/>
        </w:tc>
        <w:tc>
          <w:tcPr>
            <w:tcW w:type="dxa" w:w="1661"/>
          </w:tcPr>
          <w:p>
            <w:pPr>
              <w:pStyle w:val="null3"/>
            </w:pPr>
            <w:r>
              <w:rPr>
                <w:rFonts w:ascii="仿宋_GB2312" w:hAnsi="仿宋_GB2312" w:cs="仿宋_GB2312" w:eastAsia="仿宋_GB2312"/>
              </w:rPr>
              <w:t>售后服务方案2</w:t>
            </w:r>
          </w:p>
        </w:tc>
        <w:tc>
          <w:tcPr>
            <w:tcW w:type="dxa" w:w="2492"/>
          </w:tcPr>
          <w:p>
            <w:pPr>
              <w:pStyle w:val="null3"/>
            </w:pPr>
            <w:r>
              <w:rPr>
                <w:rFonts w:ascii="仿宋_GB2312" w:hAnsi="仿宋_GB2312" w:cs="仿宋_GB2312" w:eastAsia="仿宋_GB2312"/>
              </w:rPr>
              <w:t>售后服务方案技术支持与服务体系健全，组织机构、管理和服务人员针对项目的实际配置，按其响应程度计0～5分。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响应方案说明.docx</w:t>
            </w:r>
          </w:p>
          <w:p>
            <w:pPr>
              <w:pStyle w:val="null3"/>
            </w:pPr>
            <w:r>
              <w:rPr>
                <w:rFonts w:ascii="仿宋_GB2312" w:hAnsi="仿宋_GB2312" w:cs="仿宋_GB2312" w:eastAsia="仿宋_GB2312"/>
              </w:rPr>
              <w:t>偏离表.docx</w:t>
            </w:r>
          </w:p>
        </w:tc>
      </w:tr>
      <w:tr>
        <w:tc>
          <w:tcPr>
            <w:tcW w:type="dxa" w:w="831"/>
            <w:vMerge/>
          </w:tcPr>
          <w:p/>
        </w:tc>
        <w:tc>
          <w:tcPr>
            <w:tcW w:type="dxa" w:w="1661"/>
          </w:tcPr>
          <w:p>
            <w:pPr>
              <w:pStyle w:val="null3"/>
            </w:pPr>
            <w:r>
              <w:rPr>
                <w:rFonts w:ascii="仿宋_GB2312" w:hAnsi="仿宋_GB2312" w:cs="仿宋_GB2312" w:eastAsia="仿宋_GB2312"/>
              </w:rPr>
              <w:t>项目技术培训</w:t>
            </w:r>
          </w:p>
        </w:tc>
        <w:tc>
          <w:tcPr>
            <w:tcW w:type="dxa" w:w="2492"/>
          </w:tcPr>
          <w:p>
            <w:pPr>
              <w:pStyle w:val="null3"/>
            </w:pPr>
            <w:r>
              <w:rPr>
                <w:rFonts w:ascii="仿宋_GB2312" w:hAnsi="仿宋_GB2312" w:cs="仿宋_GB2312" w:eastAsia="仿宋_GB2312"/>
              </w:rPr>
              <w:t>提供项目技术培训且培训方案详细、周到、合理，按其响应程度计0～5分。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响应方案说明.docx</w:t>
            </w:r>
          </w:p>
          <w:p>
            <w:pPr>
              <w:pStyle w:val="null3"/>
            </w:pPr>
            <w:r>
              <w:rPr>
                <w:rFonts w:ascii="仿宋_GB2312" w:hAnsi="仿宋_GB2312" w:cs="仿宋_GB2312" w:eastAsia="仿宋_GB2312"/>
              </w:rPr>
              <w:t>偏离表.docx</w:t>
            </w:r>
          </w:p>
        </w:tc>
      </w:tr>
      <w:tr>
        <w:tc>
          <w:tcPr>
            <w:tcW w:type="dxa" w:w="831"/>
            <w:vMerge/>
          </w:tcPr>
          <w:p/>
        </w:tc>
        <w:tc>
          <w:tcPr>
            <w:tcW w:type="dxa" w:w="1661"/>
          </w:tcPr>
          <w:p>
            <w:pPr>
              <w:pStyle w:val="null3"/>
            </w:pPr>
            <w:r>
              <w:rPr>
                <w:rFonts w:ascii="仿宋_GB2312" w:hAnsi="仿宋_GB2312" w:cs="仿宋_GB2312" w:eastAsia="仿宋_GB2312"/>
              </w:rPr>
              <w:t>服务方案1</w:t>
            </w:r>
          </w:p>
        </w:tc>
        <w:tc>
          <w:tcPr>
            <w:tcW w:type="dxa" w:w="2492"/>
          </w:tcPr>
          <w:p>
            <w:pPr>
              <w:pStyle w:val="null3"/>
            </w:pPr>
            <w:r>
              <w:rPr>
                <w:rFonts w:ascii="仿宋_GB2312" w:hAnsi="仿宋_GB2312" w:cs="仿宋_GB2312" w:eastAsia="仿宋_GB2312"/>
              </w:rPr>
              <w:t>投标人提供项目实施方案、计划，方案须包括电子卷宗随案同步生成及司法辅助事务外包对应内容，方案包括但不限于实施内容、工作实施步骤、服务标准等能够满足采购人实际需要的响应内容，按其响应程度计0～9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响应方案说明.docx</w:t>
            </w:r>
          </w:p>
          <w:p>
            <w:pPr>
              <w:pStyle w:val="null3"/>
            </w:pPr>
            <w:r>
              <w:rPr>
                <w:rFonts w:ascii="仿宋_GB2312" w:hAnsi="仿宋_GB2312" w:cs="仿宋_GB2312" w:eastAsia="仿宋_GB2312"/>
              </w:rPr>
              <w:t>偏离表.docx</w:t>
            </w:r>
          </w:p>
        </w:tc>
      </w:tr>
      <w:tr>
        <w:tc>
          <w:tcPr>
            <w:tcW w:type="dxa" w:w="831"/>
            <w:vMerge/>
          </w:tcPr>
          <w:p/>
        </w:tc>
        <w:tc>
          <w:tcPr>
            <w:tcW w:type="dxa" w:w="1661"/>
          </w:tcPr>
          <w:p>
            <w:pPr>
              <w:pStyle w:val="null3"/>
            </w:pPr>
            <w:r>
              <w:rPr>
                <w:rFonts w:ascii="仿宋_GB2312" w:hAnsi="仿宋_GB2312" w:cs="仿宋_GB2312" w:eastAsia="仿宋_GB2312"/>
              </w:rPr>
              <w:t>服务方案2</w:t>
            </w:r>
          </w:p>
        </w:tc>
        <w:tc>
          <w:tcPr>
            <w:tcW w:type="dxa" w:w="2492"/>
          </w:tcPr>
          <w:p>
            <w:pPr>
              <w:pStyle w:val="null3"/>
            </w:pPr>
            <w:r>
              <w:rPr>
                <w:rFonts w:ascii="仿宋_GB2312" w:hAnsi="仿宋_GB2312" w:cs="仿宋_GB2312" w:eastAsia="仿宋_GB2312"/>
              </w:rPr>
              <w:t>进度保障措施，质量保障措施，措施内容要求全面切实可行，实施进度的及时性能够达到采购人的实际需要，服务质量能够达到采购人的相关标准及服务要求，按其响应程度计0～9分。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响应方案说明.docx</w:t>
            </w:r>
          </w:p>
          <w:p>
            <w:pPr>
              <w:pStyle w:val="null3"/>
            </w:pPr>
            <w:r>
              <w:rPr>
                <w:rFonts w:ascii="仿宋_GB2312" w:hAnsi="仿宋_GB2312" w:cs="仿宋_GB2312" w:eastAsia="仿宋_GB2312"/>
              </w:rPr>
              <w:t>偏离表.docx</w:t>
            </w:r>
          </w:p>
        </w:tc>
      </w:tr>
      <w:tr>
        <w:tc>
          <w:tcPr>
            <w:tcW w:type="dxa" w:w="831"/>
            <w:vMerge/>
          </w:tcPr>
          <w:p/>
        </w:tc>
        <w:tc>
          <w:tcPr>
            <w:tcW w:type="dxa" w:w="1661"/>
          </w:tcPr>
          <w:p>
            <w:pPr>
              <w:pStyle w:val="null3"/>
            </w:pPr>
            <w:r>
              <w:rPr>
                <w:rFonts w:ascii="仿宋_GB2312" w:hAnsi="仿宋_GB2312" w:cs="仿宋_GB2312" w:eastAsia="仿宋_GB2312"/>
              </w:rPr>
              <w:t>服务方案3</w:t>
            </w:r>
          </w:p>
        </w:tc>
        <w:tc>
          <w:tcPr>
            <w:tcW w:type="dxa" w:w="2492"/>
          </w:tcPr>
          <w:p>
            <w:pPr>
              <w:pStyle w:val="null3"/>
            </w:pPr>
            <w:r>
              <w:rPr>
                <w:rFonts w:ascii="仿宋_GB2312" w:hAnsi="仿宋_GB2312" w:cs="仿宋_GB2312" w:eastAsia="仿宋_GB2312"/>
              </w:rPr>
              <w:t>投入项目设备、软件配备，根据针对拟在本项目中配备设备、软件的全面性、先进性、配备数量、设备的新旧程度等方面按其响应程度计0～6分。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响应方案说明.docx</w:t>
            </w:r>
          </w:p>
          <w:p>
            <w:pPr>
              <w:pStyle w:val="null3"/>
            </w:pPr>
            <w:r>
              <w:rPr>
                <w:rFonts w:ascii="仿宋_GB2312" w:hAnsi="仿宋_GB2312" w:cs="仿宋_GB2312" w:eastAsia="仿宋_GB2312"/>
              </w:rPr>
              <w:t>偏离表.docx</w:t>
            </w:r>
          </w:p>
        </w:tc>
      </w:tr>
      <w:tr>
        <w:tc>
          <w:tcPr>
            <w:tcW w:type="dxa" w:w="831"/>
            <w:vMerge/>
          </w:tcPr>
          <w:p/>
        </w:tc>
        <w:tc>
          <w:tcPr>
            <w:tcW w:type="dxa" w:w="1661"/>
          </w:tcPr>
          <w:p>
            <w:pPr>
              <w:pStyle w:val="null3"/>
            </w:pPr>
            <w:r>
              <w:rPr>
                <w:rFonts w:ascii="仿宋_GB2312" w:hAnsi="仿宋_GB2312" w:cs="仿宋_GB2312" w:eastAsia="仿宋_GB2312"/>
              </w:rPr>
              <w:t>服务方案4</w:t>
            </w:r>
          </w:p>
        </w:tc>
        <w:tc>
          <w:tcPr>
            <w:tcW w:type="dxa" w:w="2492"/>
          </w:tcPr>
          <w:p>
            <w:pPr>
              <w:pStyle w:val="null3"/>
            </w:pPr>
            <w:r>
              <w:rPr>
                <w:rFonts w:ascii="仿宋_GB2312" w:hAnsi="仿宋_GB2312" w:cs="仿宋_GB2312" w:eastAsia="仿宋_GB2312"/>
              </w:rPr>
              <w:t>提供对本项目实施过程提供有力的安全措施，包括但不限于针对工作人员岗前培训、操作规范、档案材料的保护管理等因素，按其响应程度计0～6分。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响应方案说明.docx</w:t>
            </w:r>
          </w:p>
          <w:p>
            <w:pPr>
              <w:pStyle w:val="null3"/>
            </w:pPr>
            <w:r>
              <w:rPr>
                <w:rFonts w:ascii="仿宋_GB2312" w:hAnsi="仿宋_GB2312" w:cs="仿宋_GB2312" w:eastAsia="仿宋_GB2312"/>
              </w:rPr>
              <w:t>偏离表.docx</w:t>
            </w:r>
          </w:p>
        </w:tc>
      </w:tr>
      <w:tr>
        <w:tc>
          <w:tcPr>
            <w:tcW w:type="dxa" w:w="831"/>
            <w:vMerge/>
          </w:tcPr>
          <w:p/>
        </w:tc>
        <w:tc>
          <w:tcPr>
            <w:tcW w:type="dxa" w:w="1661"/>
          </w:tcPr>
          <w:p>
            <w:pPr>
              <w:pStyle w:val="null3"/>
            </w:pPr>
            <w:r>
              <w:rPr>
                <w:rFonts w:ascii="仿宋_GB2312" w:hAnsi="仿宋_GB2312" w:cs="仿宋_GB2312" w:eastAsia="仿宋_GB2312"/>
              </w:rPr>
              <w:t>服务方案5</w:t>
            </w:r>
          </w:p>
        </w:tc>
        <w:tc>
          <w:tcPr>
            <w:tcW w:type="dxa" w:w="2492"/>
          </w:tcPr>
          <w:p>
            <w:pPr>
              <w:pStyle w:val="null3"/>
            </w:pPr>
            <w:r>
              <w:rPr>
                <w:rFonts w:ascii="仿宋_GB2312" w:hAnsi="仿宋_GB2312" w:cs="仿宋_GB2312" w:eastAsia="仿宋_GB2312"/>
              </w:rPr>
              <w:t>内部管理制度，包括但不限于财务管理制度、人事管理制度、内部保密制度等，按其响应程度计0～5分。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偏离表.docx</w:t>
            </w:r>
          </w:p>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服务方案6</w:t>
            </w:r>
          </w:p>
        </w:tc>
        <w:tc>
          <w:tcPr>
            <w:tcW w:type="dxa" w:w="2492"/>
          </w:tcPr>
          <w:p>
            <w:pPr>
              <w:pStyle w:val="null3"/>
            </w:pPr>
            <w:r>
              <w:rPr>
                <w:rFonts w:ascii="仿宋_GB2312" w:hAnsi="仿宋_GB2312" w:cs="仿宋_GB2312" w:eastAsia="仿宋_GB2312"/>
              </w:rPr>
              <w:t>对服务过程中的应急处理方案，方案要求要切实可行、合理、专业。按其响应程度计0～5分。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响应方案说明.docx</w:t>
            </w:r>
          </w:p>
          <w:p>
            <w:pPr>
              <w:pStyle w:val="null3"/>
            </w:pPr>
            <w:r>
              <w:rPr>
                <w:rFonts w:ascii="仿宋_GB2312" w:hAnsi="仿宋_GB2312" w:cs="仿宋_GB2312" w:eastAsia="仿宋_GB2312"/>
              </w:rPr>
              <w:t>偏离表.docx</w:t>
            </w:r>
          </w:p>
        </w:tc>
      </w:tr>
      <w:tr>
        <w:tc>
          <w:tcPr>
            <w:tcW w:type="dxa" w:w="831"/>
            <w:vMerge/>
          </w:tcPr>
          <w:p/>
        </w:tc>
        <w:tc>
          <w:tcPr>
            <w:tcW w:type="dxa" w:w="1661"/>
          </w:tcPr>
          <w:p>
            <w:pPr>
              <w:pStyle w:val="null3"/>
            </w:pPr>
            <w:r>
              <w:rPr>
                <w:rFonts w:ascii="仿宋_GB2312" w:hAnsi="仿宋_GB2312" w:cs="仿宋_GB2312" w:eastAsia="仿宋_GB2312"/>
              </w:rPr>
              <w:t>人员配备1</w:t>
            </w:r>
          </w:p>
        </w:tc>
        <w:tc>
          <w:tcPr>
            <w:tcW w:type="dxa" w:w="2492"/>
          </w:tcPr>
          <w:p>
            <w:pPr>
              <w:pStyle w:val="null3"/>
            </w:pPr>
            <w:r>
              <w:rPr>
                <w:rFonts w:ascii="仿宋_GB2312" w:hAnsi="仿宋_GB2312" w:cs="仿宋_GB2312" w:eastAsia="仿宋_GB2312"/>
              </w:rPr>
              <w:t>拟派本项目的项目经理须具备相关的专业能力，2年以上司法辅助事务外包相关项目管理经验（以类似业绩合同或投标供应商出具的委派函为准），并提供学历、相关证书情况及本单位的社保缴纳证明或劳动合同。按其响应程度计0～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响应方案说明.docx</w:t>
            </w:r>
          </w:p>
          <w:p>
            <w:pPr>
              <w:pStyle w:val="null3"/>
            </w:pPr>
            <w:r>
              <w:rPr>
                <w:rFonts w:ascii="仿宋_GB2312" w:hAnsi="仿宋_GB2312" w:cs="仿宋_GB2312" w:eastAsia="仿宋_GB2312"/>
              </w:rPr>
              <w:t>偏离表.docx</w:t>
            </w:r>
          </w:p>
        </w:tc>
      </w:tr>
      <w:tr>
        <w:tc>
          <w:tcPr>
            <w:tcW w:type="dxa" w:w="831"/>
            <w:vMerge/>
          </w:tcPr>
          <w:p/>
        </w:tc>
        <w:tc>
          <w:tcPr>
            <w:tcW w:type="dxa" w:w="1661"/>
          </w:tcPr>
          <w:p>
            <w:pPr>
              <w:pStyle w:val="null3"/>
            </w:pPr>
            <w:r>
              <w:rPr>
                <w:rFonts w:ascii="仿宋_GB2312" w:hAnsi="仿宋_GB2312" w:cs="仿宋_GB2312" w:eastAsia="仿宋_GB2312"/>
              </w:rPr>
              <w:t>人员配备2</w:t>
            </w:r>
          </w:p>
        </w:tc>
        <w:tc>
          <w:tcPr>
            <w:tcW w:type="dxa" w:w="2492"/>
          </w:tcPr>
          <w:p>
            <w:pPr>
              <w:pStyle w:val="null3"/>
            </w:pPr>
            <w:r>
              <w:rPr>
                <w:rFonts w:ascii="仿宋_GB2312" w:hAnsi="仿宋_GB2312" w:cs="仿宋_GB2312" w:eastAsia="仿宋_GB2312"/>
              </w:rPr>
              <w:t>项目团队人员数量配备充足，满足服务要求，（供应商须明确电子卷宗随案同步生成及司法辅助事务外包具体人员安排）。根据供应商拟派本项目的小组成员的配置情况表，及其小组成员学历、工作经历、相关证书情况，能高效、按时、高质量、安全完成项目，按其响应程度计0～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响应方案说明.docx</w:t>
            </w:r>
          </w:p>
          <w:p>
            <w:pPr>
              <w:pStyle w:val="null3"/>
            </w:pPr>
            <w:r>
              <w:rPr>
                <w:rFonts w:ascii="仿宋_GB2312" w:hAnsi="仿宋_GB2312" w:cs="仿宋_GB2312" w:eastAsia="仿宋_GB2312"/>
              </w:rPr>
              <w:t>偏离表.docx</w:t>
            </w:r>
          </w:p>
        </w:tc>
      </w:tr>
      <w:tr>
        <w:tc>
          <w:tcPr>
            <w:tcW w:type="dxa" w:w="831"/>
            <w:vMerge/>
          </w:tcPr>
          <w:p/>
        </w:tc>
        <w:tc>
          <w:tcPr>
            <w:tcW w:type="dxa" w:w="1661"/>
          </w:tcPr>
          <w:p>
            <w:pPr>
              <w:pStyle w:val="null3"/>
            </w:pPr>
            <w:r>
              <w:rPr>
                <w:rFonts w:ascii="仿宋_GB2312" w:hAnsi="仿宋_GB2312" w:cs="仿宋_GB2312" w:eastAsia="仿宋_GB2312"/>
              </w:rPr>
              <w:t>项目安全保密方案1</w:t>
            </w:r>
          </w:p>
        </w:tc>
        <w:tc>
          <w:tcPr>
            <w:tcW w:type="dxa" w:w="2492"/>
          </w:tcPr>
          <w:p>
            <w:pPr>
              <w:pStyle w:val="null3"/>
            </w:pPr>
            <w:r>
              <w:rPr>
                <w:rFonts w:ascii="仿宋_GB2312" w:hAnsi="仿宋_GB2312" w:cs="仿宋_GB2312" w:eastAsia="仿宋_GB2312"/>
              </w:rPr>
              <w:t>针对本项目提供保密工作人员培训证书，每提供一个得1分，最高得5分。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项目安全保密方案2</w:t>
            </w:r>
          </w:p>
        </w:tc>
        <w:tc>
          <w:tcPr>
            <w:tcW w:type="dxa" w:w="2492"/>
          </w:tcPr>
          <w:p>
            <w:pPr>
              <w:pStyle w:val="null3"/>
            </w:pPr>
            <w:r>
              <w:rPr>
                <w:rFonts w:ascii="仿宋_GB2312" w:hAnsi="仿宋_GB2312" w:cs="仿宋_GB2312" w:eastAsia="仿宋_GB2312"/>
              </w:rPr>
              <w:t>针对整个项目需求提出完善的安全保密整体方案，方案完整详细、管理制度全面，按其响应程度计0～5分。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项目安全保密方案3</w:t>
            </w:r>
          </w:p>
        </w:tc>
        <w:tc>
          <w:tcPr>
            <w:tcW w:type="dxa" w:w="2492"/>
          </w:tcPr>
          <w:p>
            <w:pPr>
              <w:pStyle w:val="null3"/>
            </w:pPr>
            <w:r>
              <w:rPr>
                <w:rFonts w:ascii="仿宋_GB2312" w:hAnsi="仿宋_GB2312" w:cs="仿宋_GB2312" w:eastAsia="仿宋_GB2312"/>
              </w:rPr>
              <w:t>对项目具体实施过程中对于实体档案、信息安全、人员保密、计算机信息保密等提供具体详细的保密措施制度、内容完整详细、管理制度全面，按其响应程度计0～5分。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满足磋商文件要求且最终报价最低的为磋商基准价，其价格分为满分。其他供应商的价格分统一按照下列公式计算：磋商报价得分=（磋商基准价/最终磋商报价）×价格权值； 本项目专门面向中小企业采购、不再给予价格优惠。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首次分项报价表.docx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详见附件：偏离表.docx</w:t>
      </w:r>
    </w:p>
    <w:p>
      <w:pPr>
        <w:pStyle w:val="null3"/>
        <w:ind w:firstLine="960"/>
      </w:pPr>
      <w:r>
        <w:rPr>
          <w:rFonts w:ascii="仿宋_GB2312" w:hAnsi="仿宋_GB2312" w:cs="仿宋_GB2312" w:eastAsia="仿宋_GB2312"/>
        </w:rPr>
        <w:t>详见附件：响应方案说明.docx</w:t>
      </w:r>
    </w:p>
    <w:p>
      <w:pPr>
        <w:pStyle w:val="null3"/>
        <w:ind w:firstLine="960"/>
      </w:pPr>
      <w:r>
        <w:rPr>
          <w:rFonts w:ascii="仿宋_GB2312" w:hAnsi="仿宋_GB2312" w:cs="仿宋_GB2312" w:eastAsia="仿宋_GB2312"/>
        </w:rPr>
        <w:t>详见附件：首次分项报价表.docx</w:t>
      </w:r>
    </w:p>
    <w:p>
      <w:pPr>
        <w:pStyle w:val="null3"/>
        <w:ind w:firstLine="960"/>
      </w:pPr>
      <w:r>
        <w:rPr>
          <w:rFonts w:ascii="仿宋_GB2312" w:hAnsi="仿宋_GB2312" w:cs="仿宋_GB2312" w:eastAsia="仿宋_GB2312"/>
        </w:rPr>
        <w:t>详见附件：最后分项报价表.docx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详见附件：合同草案.docx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