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版本号：LZBC2025-92920250611001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康训楼提升改造项目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LZBC2025-929</w:t>
      </w:r>
      <w:r>
        <w:br/>
      </w:r>
      <w:r>
        <w:br/>
      </w:r>
      <w:r>
        <w:br/>
      </w:r>
    </w:p>
    <w:p>
      <w:pPr>
        <w:pStyle w:val="null3"/>
        <w:jc w:val="center"/>
        <w:outlineLvl w:val="2"/>
      </w:pPr>
      <w:r>
        <w:rPr>
          <w:rFonts w:ascii="仿宋_GB2312" w:hAnsi="仿宋_GB2312" w:cs="仿宋_GB2312" w:eastAsia="仿宋_GB2312"/>
          <w:sz w:val="28"/>
          <w:b/>
        </w:rPr>
        <w:t>西安市第二聋哑学校</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西安市第二聋哑学校</w:t>
      </w:r>
      <w:r>
        <w:rPr>
          <w:rFonts w:ascii="仿宋_GB2312" w:hAnsi="仿宋_GB2312" w:cs="仿宋_GB2312" w:eastAsia="仿宋_GB2312"/>
        </w:rPr>
        <w:t>委托，拟对</w:t>
      </w:r>
      <w:r>
        <w:rPr>
          <w:rFonts w:ascii="仿宋_GB2312" w:hAnsi="仿宋_GB2312" w:cs="仿宋_GB2312" w:eastAsia="仿宋_GB2312"/>
        </w:rPr>
        <w:t>康训楼提升改造项目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LZBC2025-929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康训楼提升改造项目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康训楼总建筑面积：1392㎡，地上2层，本次计划实施外墙增加保温设施（约750㎡）；更换铝合金双层玻璃窗户30樘；屋面防水维修（约710㎡）。教室内墙粉刷（2100㎡）；水路、电路改造；地面修缮翻新防滑改造（约800㎡）；幼儿卫生间改造（约130㎡）。学生食堂操作间（约180㎡）地面修缮铺设防滑砖；铝合金隔断布设（约200㎡）；水电气地沟重新布设；设备拆装恢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采购包1（西安市第二聋哑学校康训楼提升改造项目）：属于专门面向中小企业采购。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须具有建筑工程施工总承包叁级及以上资质及安全生产许可证：供应商须具有建筑工程施工总承包叁级及以上资质及安全生产许可证，供应商需在项目电子化交易系统中按要求上传相应证明文件并进行电子签章</w:t>
      </w:r>
    </w:p>
    <w:p>
      <w:pPr>
        <w:pStyle w:val="null3"/>
      </w:pPr>
      <w:r>
        <w:rPr>
          <w:rFonts w:ascii="仿宋_GB2312" w:hAnsi="仿宋_GB2312" w:cs="仿宋_GB2312" w:eastAsia="仿宋_GB2312"/>
        </w:rPr>
        <w:t>3、拟派项目负责人资质和专业要求。：供应商拟派项目负责人具有本企业注册的建筑工程专业二级及以上注册建造师证书及安全考核合格证,且无在建（无在建承诺格式自拟），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 明； 其中：重大违法记录是指供应商因违法经营受到刑事处罚或者责令停产停业、吊销许可证或者执照 、较大数额罚款等行政处罚：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p>
      <w:pPr>
        <w:pStyle w:val="null3"/>
      </w:pPr>
      <w:r>
        <w:rPr>
          <w:rFonts w:ascii="仿宋_GB2312" w:hAnsi="仿宋_GB2312" w:cs="仿宋_GB2312" w:eastAsia="仿宋_GB2312"/>
        </w:rPr>
        <w:t>5、税收缴纳凭证及社会保险缴纳的凭证：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6、财务状况报告：财务状况报告：供应商2023年或2024年经审计的财务报告（事业法人可提供部门决算报告）或基本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7、履行合同所必需的设备和专业技术能力书面声明函：具有履行合同所必需的设备和专业技术能力书面声明函，供应商需在项目电子化交易系统中按要求上传相应证明文件并进行电子签章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8、信用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采购人或代理机构留存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西安市第二聋哑学校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西安市咸宁中路西段复聪路1号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029-83230810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李昕宇、胡敏、王申午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代理服务费收费标准：1、本项目采购代理服务费以成交价作为收费基数，参照计价格[2002]1 980号、发改价格[2011]534号、发改办价格〔2003〕857号中工程类执行。 2、成交单位在领取成交通知书之前，须向采购代理机构支付招标代理服务费。 招标代理服务费以转账或现金 形式缴纳至以下账户： 开户名称：龙寰项目管理咨询有限公司 开户银行：平安银行西安高新路 支行账号：30201278016882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西安市第二聋哑学校</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西安市第二聋哑学校</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西安市第二聋哑学校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一、按照相关规定执行。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地址：陕西省西安市太白南路181号西部电子社区A座A区501室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2,550,000.00</w:t>
      </w:r>
    </w:p>
    <w:p>
      <w:pPr>
        <w:pStyle w:val="null3"/>
      </w:pPr>
      <w:r>
        <w:rPr>
          <w:rFonts w:ascii="仿宋_GB2312" w:hAnsi="仿宋_GB2312" w:cs="仿宋_GB2312" w:eastAsia="仿宋_GB2312"/>
        </w:rPr>
        <w:t>采购包最高限价（元）: 2,550,000.00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康训楼提升改造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标的名称：康训楼提升改造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一、工程概况：</w:t>
            </w:r>
          </w:p>
          <w:p>
            <w:pPr>
              <w:pStyle w:val="null3"/>
              <w:ind w:firstLine="400"/>
            </w:pPr>
            <w:r>
              <w:rPr>
                <w:rFonts w:ascii="仿宋_GB2312" w:hAnsi="仿宋_GB2312" w:cs="仿宋_GB2312" w:eastAsia="仿宋_GB2312"/>
              </w:rPr>
              <w:t>1、本工程为西安市第二聋哑学校康训楼提升改造项目，建设地点位于西安市，主要内容包括室内装饰改造工程、给排水改造工程、电气改造工程、屋面改造工程、外立面改造工程等，详见设计图纸。</w:t>
            </w:r>
          </w:p>
          <w:p>
            <w:pPr>
              <w:pStyle w:val="null3"/>
              <w:ind w:firstLine="400"/>
            </w:pPr>
            <w:r>
              <w:rPr>
                <w:rFonts w:ascii="仿宋_GB2312" w:hAnsi="仿宋_GB2312" w:cs="仿宋_GB2312" w:eastAsia="仿宋_GB2312"/>
              </w:rPr>
              <w:t>二、编制依据：</w:t>
            </w:r>
          </w:p>
          <w:p>
            <w:pPr>
              <w:pStyle w:val="null3"/>
              <w:ind w:firstLine="400"/>
            </w:pPr>
            <w:r>
              <w:rPr>
                <w:rFonts w:ascii="仿宋_GB2312" w:hAnsi="仿宋_GB2312" w:cs="仿宋_GB2312" w:eastAsia="仿宋_GB2312"/>
              </w:rPr>
              <w:t>1、西安市第二聋哑学校康训楼提升改造项目设计图纸、及图纸答疑。</w:t>
            </w:r>
          </w:p>
          <w:p>
            <w:pPr>
              <w:pStyle w:val="null3"/>
              <w:ind w:firstLine="400"/>
            </w:pPr>
            <w:r>
              <w:rPr>
                <w:rFonts w:ascii="仿宋_GB2312" w:hAnsi="仿宋_GB2312" w:cs="仿宋_GB2312" w:eastAsia="仿宋_GB2312"/>
              </w:rPr>
              <w:t>2、现行的相关标准图集、施工规范及验收规范。</w:t>
            </w:r>
          </w:p>
          <w:p>
            <w:pPr>
              <w:pStyle w:val="null3"/>
              <w:ind w:firstLine="400"/>
            </w:pPr>
            <w:r>
              <w:rPr>
                <w:rFonts w:ascii="仿宋_GB2312" w:hAnsi="仿宋_GB2312" w:cs="仿宋_GB2312" w:eastAsia="仿宋_GB2312"/>
              </w:rPr>
              <w:t>3、《陕西省建设工程工程量清单计价规则》（2009）、《陕西省建设工程工程量清单计价费率》（2009）及其配套文件中工程量计算办法。</w:t>
            </w:r>
          </w:p>
          <w:p>
            <w:pPr>
              <w:pStyle w:val="null3"/>
              <w:ind w:firstLine="400"/>
            </w:pPr>
            <w:r>
              <w:rPr>
                <w:rFonts w:ascii="仿宋_GB2312" w:hAnsi="仿宋_GB2312" w:cs="仿宋_GB2312" w:eastAsia="仿宋_GB2312"/>
              </w:rPr>
              <w:t>4、税率调整执行陕建发﹝2019﹞45号文《关于调整我省建设工程计价依据的通知》。</w:t>
            </w:r>
          </w:p>
          <w:p>
            <w:pPr>
              <w:pStyle w:val="null3"/>
              <w:ind w:firstLine="400"/>
            </w:pPr>
            <w:r>
              <w:rPr>
                <w:rFonts w:ascii="仿宋_GB2312" w:hAnsi="仿宋_GB2312" w:cs="仿宋_GB2312" w:eastAsia="仿宋_GB2312"/>
              </w:rPr>
              <w:t>5、扬尘污染治理费执行陕建发[2017]270号文《关于增加建设工程扬尘治理专项措施费及综合人工单价调整的通知》</w:t>
            </w:r>
          </w:p>
          <w:p>
            <w:pPr>
              <w:pStyle w:val="null3"/>
              <w:ind w:firstLine="400"/>
            </w:pPr>
            <w:r>
              <w:rPr>
                <w:rFonts w:ascii="仿宋_GB2312" w:hAnsi="仿宋_GB2312" w:cs="仿宋_GB2312" w:eastAsia="仿宋_GB2312"/>
              </w:rPr>
              <w:t>6、实名制管理费执行陕建发[2019]1246号文《关于发布我省落实建筑工人实名制管理计价依据的通知》。</w:t>
            </w:r>
          </w:p>
          <w:p>
            <w:pPr>
              <w:pStyle w:val="null3"/>
              <w:ind w:firstLine="400"/>
            </w:pPr>
            <w:r>
              <w:rPr>
                <w:rFonts w:ascii="仿宋_GB2312" w:hAnsi="仿宋_GB2312" w:cs="仿宋_GB2312" w:eastAsia="仿宋_GB2312"/>
              </w:rPr>
              <w:t>7、建筑施工安全生产责任保险费执行《关于建筑施工安全生产责任保险费用计价的通知》陕建发【2020】1097号文；</w:t>
            </w:r>
          </w:p>
          <w:p>
            <w:pPr>
              <w:pStyle w:val="null3"/>
              <w:ind w:firstLine="400"/>
            </w:pPr>
            <w:r>
              <w:rPr>
                <w:rFonts w:ascii="仿宋_GB2312" w:hAnsi="仿宋_GB2312" w:cs="仿宋_GB2312" w:eastAsia="仿宋_GB2312"/>
              </w:rPr>
              <w:t>8、劳保费用执行陕建发[2021]1021号文《关于全省统一停止收缴建筑业劳保费用的通知》</w:t>
            </w:r>
            <w:r>
              <w:rPr>
                <w:rFonts w:ascii="仿宋_GB2312" w:hAnsi="仿宋_GB2312" w:cs="仿宋_GB2312" w:eastAsia="仿宋_GB2312"/>
              </w:rPr>
              <w:t>。</w:t>
            </w:r>
          </w:p>
          <w:p>
            <w:pPr>
              <w:pStyle w:val="null3"/>
              <w:ind w:firstLine="400"/>
            </w:pPr>
            <w:r>
              <w:rPr>
                <w:rFonts w:ascii="仿宋_GB2312" w:hAnsi="仿宋_GB2312" w:cs="仿宋_GB2312" w:eastAsia="仿宋_GB2312"/>
              </w:rPr>
              <w:t>三、编制范围：</w:t>
            </w:r>
          </w:p>
          <w:p>
            <w:pPr>
              <w:pStyle w:val="null3"/>
              <w:ind w:firstLine="400"/>
            </w:pPr>
            <w:r>
              <w:rPr>
                <w:rFonts w:ascii="仿宋_GB2312" w:hAnsi="仿宋_GB2312" w:cs="仿宋_GB2312" w:eastAsia="仿宋_GB2312"/>
              </w:rPr>
              <w:t>西安市第二聋哑学校康训楼提升改造项目图纸及答疑的全部所有工程内容。具体详见编制清单。</w:t>
            </w:r>
          </w:p>
          <w:p>
            <w:pPr>
              <w:pStyle w:val="null3"/>
              <w:ind w:firstLine="400"/>
            </w:pPr>
            <w:r>
              <w:rPr>
                <w:rFonts w:ascii="仿宋_GB2312" w:hAnsi="仿宋_GB2312" w:cs="仿宋_GB2312" w:eastAsia="仿宋_GB2312"/>
              </w:rPr>
              <w:t>四、其他说明</w:t>
            </w:r>
          </w:p>
          <w:p>
            <w:pPr>
              <w:pStyle w:val="null3"/>
              <w:ind w:firstLine="400"/>
            </w:pPr>
            <w:r>
              <w:rPr>
                <w:rFonts w:ascii="仿宋_GB2312" w:hAnsi="仿宋_GB2312" w:cs="仿宋_GB2312" w:eastAsia="仿宋_GB2312"/>
              </w:rPr>
              <w:t>1、广联达</w:t>
            </w:r>
            <w:r>
              <w:rPr>
                <w:rFonts w:ascii="仿宋_GB2312" w:hAnsi="仿宋_GB2312" w:cs="仿宋_GB2312" w:eastAsia="仿宋_GB2312"/>
              </w:rPr>
              <w:t>计价软件使用版本号为云计价平台</w:t>
            </w:r>
            <w:r>
              <w:rPr>
                <w:rFonts w:ascii="仿宋_GB2312" w:hAnsi="仿宋_GB2312" w:cs="仿宋_GB2312" w:eastAsia="仿宋_GB2312"/>
              </w:rPr>
              <w:t>GCCP6.0（6.4100.23.122）。</w:t>
            </w:r>
          </w:p>
          <w:p>
            <w:pPr>
              <w:pStyle w:val="null3"/>
              <w:ind w:firstLine="400"/>
            </w:pPr>
            <w:r>
              <w:rPr>
                <w:rFonts w:ascii="仿宋_GB2312" w:hAnsi="仿宋_GB2312" w:cs="仿宋_GB2312" w:eastAsia="仿宋_GB2312"/>
              </w:rPr>
              <w:t>2、清单描述未尽事宜详见图纸、甲方的具体要求、相关图集及施工验收规范等。</w:t>
            </w:r>
          </w:p>
          <w:p>
            <w:pPr>
              <w:pStyle w:val="null3"/>
              <w:ind w:firstLine="400"/>
            </w:pPr>
            <w:r>
              <w:rPr>
                <w:rFonts w:ascii="仿宋_GB2312" w:hAnsi="仿宋_GB2312" w:cs="仿宋_GB2312" w:eastAsia="仿宋_GB2312"/>
              </w:rPr>
              <w:t>五、工期</w:t>
            </w:r>
          </w:p>
          <w:p>
            <w:pPr>
              <w:pStyle w:val="null3"/>
              <w:jc w:val="both"/>
            </w:pPr>
            <w:r>
              <w:rPr>
                <w:rFonts w:ascii="仿宋_GB2312" w:hAnsi="仿宋_GB2312" w:cs="仿宋_GB2312" w:eastAsia="仿宋_GB2312"/>
                <w:sz w:val="21"/>
              </w:rPr>
              <w:t>合同签订之日起</w:t>
            </w:r>
            <w:r>
              <w:rPr>
                <w:rFonts w:ascii="仿宋_GB2312" w:hAnsi="仿宋_GB2312" w:cs="仿宋_GB2312" w:eastAsia="仿宋_GB2312"/>
                <w:sz w:val="21"/>
              </w:rPr>
              <w:t>51日历日。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满足国家行业相关标准及磋商文件相关要求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（二）需要落实的政府采购政策：1、《国务院办公厅关于建立政府强制采购节能产品制度的通知》（国办发〔2007〕51号）2、《财政部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 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（三）本项目为综合单价合同，最终固定单价以最终总报价/首次总报价的比例等比例下浮。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已标价工程量清单 响应文件格式.docx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供应商须具有建筑工程施工总承包叁级及以上资质及安全生产许可证</w:t>
            </w:r>
          </w:p>
        </w:tc>
        <w:tc>
          <w:tcPr>
            <w:tcW w:type="dxa" w:w="3322"/>
          </w:tcPr>
          <w:p>
            <w:pPr>
              <w:pStyle w:val="null3"/>
            </w:pPr>
            <w:r>
              <w:rPr>
                <w:rFonts w:ascii="仿宋_GB2312" w:hAnsi="仿宋_GB2312" w:cs="仿宋_GB2312" w:eastAsia="仿宋_GB2312"/>
              </w:rPr>
              <w:t>供应商须具有建筑工程施工总承包叁级及以上资质及安全生产许可证，供应商需在项目电子化交易系统中按要求上传相应证明文件并进行电子签章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具有本企业注册的建筑工程专业二级及以上注册建造师证书及安全考核合格证,且无在建（无在建承诺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 明； 其中：重大违法记录是指供应商因违法经营受到刑事处罚或者责令停产停业、吊销许可证或者执照 、较大数额罚款等行政处罚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2023年或2024年经审计的财务报告（事业法人可提供部门决算报告）或基本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采购人或代理机构留存截图</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内容无重大缺漏项，报价唯一，且没有超过采购预算或最高限价</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响应文件的签署、加盖印章合格有效；提供的各种证明文件、数据、资料真实有效。</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响应文件格式.docx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方案非常详细并且完整可行、有针对性，完全满足项目实施的得7分；方案较详细完整、可行，较利于项目实施的得5分； 方案基本可行，基本满足项目实施需要的得3分；其他或未提供得0分。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整体进度安排（施工进度表或施工网络图）及各阶段进度保证措施内容合理、方案具体可行、完全符合要求得7分； 内容较合理、方案可行性一般，基本符合要求得5分； 内容有缺失、方案可行性较弱得3分；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安全文明、环保保证体系组织措施和控制点设置合理，内容合理、方案具体可行、完全符合要求得6分； 内容较合理、方案可行性一般，基本符合要求得4分； 内容有缺失、方案可行性较弱得2分；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措施计划齐全、合理且切实可行，完全满足采购人需求得7分；措施计划齐全、合理、基本可行，基本满足采购人需求得5分；措施计划基本完备齐全、合理性、可行性较弱，得3分； 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项目管理机构人员岗位完整（除项目经理外，技术负责人、施工员、安全员、材料员、资料员、质量员、预算员等）齐全，搭配合理，职位分明、有相应的技术能力。 人员配备合理、科学可行、完全符合要求得7分； 人员配备较合理、可行性一般，基本符合要求得5分； 人员配备有缺失、合理性弱得3分；未提供不计分。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设备和材料投入计划</w:t>
            </w:r>
          </w:p>
        </w:tc>
        <w:tc>
          <w:tcPr>
            <w:tcW w:type="dxa" w:w="2492"/>
          </w:tcPr>
          <w:p>
            <w:pPr>
              <w:pStyle w:val="null3"/>
            </w:pPr>
            <w:r>
              <w:rPr>
                <w:rFonts w:ascii="仿宋_GB2312" w:hAnsi="仿宋_GB2312" w:cs="仿宋_GB2312" w:eastAsia="仿宋_GB2312"/>
              </w:rPr>
              <w:t>根据供应商投入的设备和材料投入计划等进行评审。设备投入合理，材料环保性好并提供来源证明材料得7分； 设备投入基本合理，材料环保性较好，得5分；设备和材料投入计划有欠缺，得3分；其他或未提供得0分。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内容合理、方案具体可行、完全符合要求得7分； 内容较合理、方案可行性一般，基本符合要求得5分； 内容有欠缺、方案可行性较弱、不能全面符合要求得3分；未提供不计分。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内容合理、方案具体可行、完全符合要求得5分； 内容较合理、方案可行性一般，基本符合要求得3分； 内容有欠缺、方案可行性较弱、不能全面符合要求得1分；未提供不计分。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现场扬尘管理措施合理、有详尽的扬尘控制措施并可达到国家控制的标准得7分；现场扬尘管理措施较为合理得5分；现场扬尘管理措施一般得3分；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供应商2022年6月至今类似项目业绩；每提供1份计2分，最高得10分。业绩证明（时间以合同签订时间为准，须在响应文件中附合同协议书扫描件并加盖单位公章，证明材料不符合要求或未提供的均不得分）。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 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详见附件：拟签订采购合同文本--固定单价.docx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