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版本号：BYZX2025-10520250612001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“西安机遇：跨国制造企业对话会”活动会务保障服务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BYZX2025-105</w:t>
      </w:r>
      <w:r>
        <w:br/>
      </w:r>
      <w:r>
        <w:br/>
      </w:r>
      <w:r>
        <w:br/>
      </w:r>
    </w:p>
    <w:p>
      <w:pPr>
        <w:pStyle w:val="null3"/>
        <w:jc w:val="center"/>
        <w:outlineLvl w:val="2"/>
      </w:pPr>
      <w:r>
        <w:rPr>
          <w:rFonts w:ascii="仿宋_GB2312" w:hAnsi="仿宋_GB2312" w:cs="仿宋_GB2312" w:eastAsia="仿宋_GB2312"/>
          <w:sz w:val="28"/>
          <w:b/>
        </w:rPr>
        <w:t>西安市投资合作局</w:t>
      </w:r>
    </w:p>
    <w:p>
      <w:pPr>
        <w:pStyle w:val="null3"/>
        <w:jc w:val="center"/>
        <w:outlineLvl w:val="2"/>
      </w:pPr>
      <w:r>
        <w:rPr>
          <w:rFonts w:ascii="仿宋_GB2312" w:hAnsi="仿宋_GB2312" w:cs="仿宋_GB2312" w:eastAsia="仿宋_GB2312"/>
          <w:sz w:val="28"/>
          <w:b/>
        </w:rPr>
        <w:t>陕西百岳项目管理咨询有限公司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陕西百岳项目管理咨询有限公司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西安市投资合作局</w:t>
      </w:r>
      <w:r>
        <w:rPr>
          <w:rFonts w:ascii="仿宋_GB2312" w:hAnsi="仿宋_GB2312" w:cs="仿宋_GB2312" w:eastAsia="仿宋_GB2312"/>
        </w:rPr>
        <w:t>委托，拟对</w:t>
      </w:r>
      <w:r>
        <w:rPr>
          <w:rFonts w:ascii="仿宋_GB2312" w:hAnsi="仿宋_GB2312" w:cs="仿宋_GB2312" w:eastAsia="仿宋_GB2312"/>
        </w:rPr>
        <w:t>“西安机遇：跨国制造企业对话会”活动会务保障服务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BYZX2025-105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“西安机遇：跨国制造企业对话会”活动会务保障服务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我市参加2025夏季达沃斯年会有关工作安排，拟于会议期间在天津市举办“西安机遇：跨国制造企业对话会”活动，邀请知名商协会机构及制造业跨国公司代表，与我市领导、市级相关部门、对外开放平台以及我市工业企业代表开展精准对接交流，推介我市产业发展和营商环境，深挖投资合作潜力。为做好活动组织筹备执行工作，确保活动顺利高效进行，拟委托第三方机构组织承办。</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采购包1（“西安机遇：跨国制造企业对话会”活动会务保障服务项目）：属于专门面向中小企业采购。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审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依法免税的单位应提供相关证明材料。</w:t>
      </w:r>
    </w:p>
    <w:p>
      <w:pPr>
        <w:pStyle w:val="null3"/>
      </w:pPr>
      <w:r>
        <w:rPr>
          <w:rFonts w:ascii="仿宋_GB2312" w:hAnsi="仿宋_GB2312" w:cs="仿宋_GB2312" w:eastAsia="仿宋_GB2312"/>
        </w:rPr>
        <w:t>4、社会保障资金缴纳证明：提供上一年度至今已缴存的至少一个月的社会保障资金缴纳凭证或社保机构开具的社会保险参保缴费情况证明，依法不需要缴纳社会保障资金的单位应提供相关证明材料。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8、信用中国：供应商未被“信用中国”网站列入失信被执行人和重大税收违法失信主体，未被中国政府采购网列入政府采购严重违法失信行为记录名单（以现场信用记录查询结果为准）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9、非联合体承诺：本项目不接受联合体磋商（提供承诺书）</w:t>
      </w:r>
    </w:p>
    <w:p>
      <w:pPr>
        <w:pStyle w:val="null3"/>
      </w:pPr>
      <w:r>
        <w:rPr>
          <w:rFonts w:ascii="仿宋_GB2312" w:hAnsi="仿宋_GB2312" w:cs="仿宋_GB2312" w:eastAsia="仿宋_GB2312"/>
        </w:rPr>
        <w:t>10、中小企业声明函：本项目专门面向中小企业采购，参与的供应商（联合体）服务全部由符合政策要求的中小企业承接。供应商必须响应中小企业声明函。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西安市投资合作局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高欣祺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029-86787926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陕西百岳项目管理咨询有限公司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西安市浐灞生态区欧亚大道666号欧亚国际一期B座10楼1007室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18829341137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采购包1：484,244.00元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不足6000元按6000元收取。 2、成交单位在领取成交通知书前，须向采购代理机构一次性支付采购代理服务费。 代理费缴存账户： 开户名称：陕西百岳项目管理咨询有限公司 开户银行：华夏银行股份有限公司西安欧亚大道支行 账 号：11474000000227339（备注：项目名称+代理服务费）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西安市投资合作局</w:t>
      </w:r>
      <w:r>
        <w:rPr>
          <w:rFonts w:ascii="仿宋_GB2312" w:hAnsi="仿宋_GB2312" w:cs="仿宋_GB2312" w:eastAsia="仿宋_GB2312"/>
        </w:rPr>
        <w:t>和</w:t>
      </w:r>
      <w:r>
        <w:rPr>
          <w:rFonts w:ascii="仿宋_GB2312" w:hAnsi="仿宋_GB2312" w:cs="仿宋_GB2312" w:eastAsia="仿宋_GB2312"/>
        </w:rPr>
        <w:t>陕西百岳项目管理咨询有限公司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西安市投资合作局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陕西百岳项目管理咨询有限公司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西安市投资合作局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陕西百岳项目管理咨询有限公司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符合磋商文件、采购人需求及国家相关行业标准。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陕西百岳项目管理咨询有限公司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联系电话：18829341137</w:t>
      </w:r>
    </w:p>
    <w:p>
      <w:pPr>
        <w:pStyle w:val="null3"/>
      </w:pPr>
      <w:r>
        <w:rPr>
          <w:rFonts w:ascii="仿宋_GB2312" w:hAnsi="仿宋_GB2312" w:cs="仿宋_GB2312" w:eastAsia="仿宋_GB2312"/>
        </w:rPr>
        <w:t>地址：西安市浐灞生态区欧亚大道666号欧亚国际一期B座10楼1007室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我市参加2025夏季达沃斯年会有关工作安排，拟于会议期间在天津市举办“西安机遇：跨国制造企业对话会”活动，邀请知名商协会机构及制造业跨国公司代表，与我市领导、市级相关部门、对外开放平台以及我市工业企业代表开展精准对接交流，推介我市产业发展和营商环境，深挖投资合作潜力。为做好活动组织筹备执行工作，确保活动顺利高效进行，拟委托第三方机构组织承办。</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484,244.00</w:t>
      </w:r>
    </w:p>
    <w:p>
      <w:pPr>
        <w:pStyle w:val="null3"/>
      </w:pPr>
      <w:r>
        <w:rPr>
          <w:rFonts w:ascii="仿宋_GB2312" w:hAnsi="仿宋_GB2312" w:cs="仿宋_GB2312" w:eastAsia="仿宋_GB2312"/>
        </w:rPr>
        <w:t>采购包最高限价（元）: 484,244.00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保障“西安机遇：跨国制造企业对话会”活动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484,244.00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标的名称：保障“西安机遇：跨国制造企业对话会”活动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jc w:val="both"/>
            </w:pPr>
            <w:r>
              <w:rPr>
                <w:rFonts w:ascii="仿宋_GB2312" w:hAnsi="仿宋_GB2312" w:cs="仿宋_GB2312" w:eastAsia="仿宋_GB2312"/>
              </w:rPr>
              <w:t>一</w:t>
            </w:r>
            <w:r>
              <w:rPr>
                <w:rFonts w:ascii="仿宋_GB2312" w:hAnsi="仿宋_GB2312" w:cs="仿宋_GB2312" w:eastAsia="仿宋_GB2312"/>
              </w:rPr>
              <w:t>、项目概况</w:t>
            </w:r>
          </w:p>
          <w:p>
            <w:pPr>
              <w:pStyle w:val="null3"/>
            </w:pPr>
            <w:r>
              <w:rPr>
                <w:rFonts w:ascii="仿宋_GB2312" w:hAnsi="仿宋_GB2312" w:cs="仿宋_GB2312" w:eastAsia="仿宋_GB2312"/>
              </w:rPr>
              <w:t xml:space="preserve"> </w:t>
            </w:r>
            <w:r>
              <w:rPr>
                <w:rFonts w:ascii="仿宋_GB2312" w:hAnsi="仿宋_GB2312" w:cs="仿宋_GB2312" w:eastAsia="仿宋_GB2312"/>
              </w:rPr>
              <w:t>按照我市参加</w:t>
            </w:r>
            <w:r>
              <w:rPr>
                <w:rFonts w:ascii="仿宋_GB2312" w:hAnsi="仿宋_GB2312" w:cs="仿宋_GB2312" w:eastAsia="仿宋_GB2312"/>
              </w:rPr>
              <w:t>2025夏季达沃斯年会有关工作安排，拟于会议期间在天津市举办“西安机遇：跨国制造企业对话会”活动，邀请知名商协会机构及制造业跨国公司代表，与我市领导、市级相关部门、对外开放平台以及我市工业企业代表开展精准对接交流，推介我市产业发展和营商环境，深挖投资合作潜力。为做好活动组织筹备执行工作，确保活动顺利高效进行，拟委托第三方机构组织承办。</w:t>
            </w:r>
          </w:p>
          <w:p>
            <w:pPr>
              <w:pStyle w:val="null3"/>
            </w:pPr>
            <w:r>
              <w:rPr>
                <w:rFonts w:ascii="仿宋_GB2312" w:hAnsi="仿宋_GB2312" w:cs="仿宋_GB2312" w:eastAsia="仿宋_GB2312"/>
              </w:rPr>
              <w:t>二、</w:t>
            </w:r>
            <w:r>
              <w:rPr>
                <w:rFonts w:ascii="仿宋_GB2312" w:hAnsi="仿宋_GB2312" w:cs="仿宋_GB2312" w:eastAsia="仿宋_GB2312"/>
              </w:rPr>
              <w:t>服务内容</w:t>
            </w:r>
          </w:p>
          <w:p>
            <w:pPr>
              <w:pStyle w:val="null3"/>
            </w:pPr>
            <w:r>
              <w:rPr>
                <w:rFonts w:ascii="仿宋_GB2312" w:hAnsi="仿宋_GB2312" w:cs="仿宋_GB2312" w:eastAsia="仿宋_GB2312"/>
              </w:rPr>
              <w:t>1.委托第三方机构举办“西安机遇：跨国制造企业对话会”，活动规模80人左右。</w:t>
            </w:r>
          </w:p>
          <w:p>
            <w:pPr>
              <w:pStyle w:val="null3"/>
            </w:pPr>
            <w:r>
              <w:rPr>
                <w:rFonts w:ascii="仿宋_GB2312" w:hAnsi="仿宋_GB2312" w:cs="仿宋_GB2312" w:eastAsia="仿宋_GB2312"/>
              </w:rPr>
              <w:t>2.由第三方机构提供会场租赁、布置，会议手册、嘉宾桌签摆放，现场设备调试，会务服务，摄影摄像等工作人员的聘用等工作。</w:t>
            </w:r>
          </w:p>
          <w:p>
            <w:pPr>
              <w:pStyle w:val="null3"/>
            </w:pPr>
            <w:r>
              <w:rPr>
                <w:rFonts w:ascii="仿宋_GB2312" w:hAnsi="仿宋_GB2312" w:cs="仿宋_GB2312" w:eastAsia="仿宋_GB2312"/>
              </w:rPr>
              <w:t>3.活动执行与现场管理。负责活动现场的布置、设备租赁（如音响、投影、同声传译等）、人员调配等各项工作，确保活动顺利进行。实施活动当天的签到、引导、翻译等现场服务，确保参会人员能够高效参与各项活动环节。</w:t>
            </w:r>
          </w:p>
          <w:p>
            <w:pPr>
              <w:pStyle w:val="null3"/>
            </w:pPr>
            <w:r>
              <w:rPr>
                <w:rFonts w:ascii="仿宋_GB2312" w:hAnsi="仿宋_GB2312" w:cs="仿宋_GB2312" w:eastAsia="仿宋_GB2312"/>
              </w:rPr>
              <w:t>4.后期总结与反馈。活动结束后，提供详细的活动总结报告，包括活动亮点、成果统计、参与反馈等内容。</w:t>
            </w:r>
          </w:p>
          <w:p>
            <w:pPr>
              <w:pStyle w:val="null3"/>
            </w:pPr>
            <w:r>
              <w:rPr>
                <w:rFonts w:ascii="仿宋_GB2312" w:hAnsi="仿宋_GB2312" w:cs="仿宋_GB2312" w:eastAsia="仿宋_GB2312"/>
              </w:rPr>
              <w:t>三、</w:t>
            </w:r>
            <w:r>
              <w:rPr>
                <w:rFonts w:ascii="仿宋_GB2312" w:hAnsi="仿宋_GB2312" w:cs="仿宋_GB2312" w:eastAsia="仿宋_GB2312"/>
              </w:rPr>
              <w:t>服务要求</w:t>
            </w:r>
          </w:p>
          <w:p>
            <w:pPr>
              <w:pStyle w:val="null3"/>
            </w:pPr>
            <w:r>
              <w:rPr>
                <w:rFonts w:ascii="仿宋_GB2312" w:hAnsi="仿宋_GB2312" w:cs="仿宋_GB2312" w:eastAsia="仿宋_GB2312"/>
              </w:rPr>
              <w:t>根据甲方活动需求提供会场租赁、现场搭建、现场执行和其他会务服务等，保障活动顺利开展。</w:t>
            </w:r>
          </w:p>
          <w:p>
            <w:pPr>
              <w:pStyle w:val="null3"/>
            </w:pPr>
            <w:r>
              <w:rPr>
                <w:rFonts w:ascii="仿宋_GB2312" w:hAnsi="仿宋_GB2312" w:cs="仿宋_GB2312" w:eastAsia="仿宋_GB2312"/>
              </w:rPr>
              <w:t>1.会场租赁：第三方机构需按甲方活动规模要求提供活动场地。</w:t>
            </w:r>
          </w:p>
          <w:p>
            <w:pPr>
              <w:pStyle w:val="null3"/>
            </w:pPr>
            <w:r>
              <w:rPr>
                <w:rFonts w:ascii="仿宋_GB2312" w:hAnsi="仿宋_GB2312" w:cs="仿宋_GB2312" w:eastAsia="仿宋_GB2312"/>
              </w:rPr>
              <w:t>2.现场搭建：第三方机构需提供场地布置等工作，包括签到背板、会场主屏画面设计、舞台、LED屏服务系统、同传设备及同传间搭建、音响、灯光、座椅摆放、指示牌等。</w:t>
            </w:r>
          </w:p>
          <w:p>
            <w:pPr>
              <w:pStyle w:val="null3"/>
            </w:pPr>
            <w:r>
              <w:rPr>
                <w:rFonts w:ascii="仿宋_GB2312" w:hAnsi="仿宋_GB2312" w:cs="仿宋_GB2312" w:eastAsia="仿宋_GB2312"/>
              </w:rPr>
              <w:t>3.现场执行：活动开展时的会务服务、参会签到指引、现场设备及服务人员的定点管理与保障、摄影摄像、现场翻译、物料制作等；</w:t>
            </w:r>
          </w:p>
          <w:p>
            <w:pPr>
              <w:pStyle w:val="null3"/>
            </w:pPr>
            <w:r>
              <w:rPr>
                <w:rFonts w:ascii="仿宋_GB2312" w:hAnsi="仿宋_GB2312" w:cs="仿宋_GB2312" w:eastAsia="仿宋_GB2312"/>
              </w:rPr>
              <w:t>4.其他会务服务：活动策划及设计、短视频剪辑、资料翻译、现场物料运输、场地清理等内容。</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自合同签订之日起至活动结束并通过验收。</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供应商提供的自助工作餐须由具有《食品经营许可证》的餐饮服务单位制作，并确保食材来源合法、可追溯，严禁使用过期或不符合国家卫生标准的食品原料。若发生食品安全事件，供应商须配合医疗机构及监管部门调查，并承担全部赔偿责任。</w:t>
            </w:r>
          </w:p>
          <w:p>
            <w:pPr>
              <w:pStyle w:val="null3"/>
            </w:pPr>
            <w:r>
              <w:rPr>
                <w:rFonts w:ascii="仿宋_GB2312" w:hAnsi="仿宋_GB2312" w:cs="仿宋_GB2312" w:eastAsia="仿宋_GB2312"/>
              </w:rPr>
              <w:t>（2）供应商提供的场地搭建材料需符合国家标准；场地搭建过程中，须设置安全围挡及警示标识，确保人员疏散通道畅通；拆除后须恢复场地原状，不得遗留废弃物。</w:t>
            </w:r>
          </w:p>
          <w:p>
            <w:pPr>
              <w:pStyle w:val="null3"/>
            </w:pPr>
            <w:r>
              <w:rPr>
                <w:rFonts w:ascii="仿宋_GB2312" w:hAnsi="仿宋_GB2312" w:cs="仿宋_GB2312" w:eastAsia="仿宋_GB2312"/>
              </w:rPr>
              <w:t>（3）供应商提供的音响、灯光、投影等设备须符合使用标准，设备性能稳定，满足采购人要求的会场效果；关键设备（如电力系统）须配备备用方案，确保无中断风险。</w:t>
            </w:r>
          </w:p>
          <w:p>
            <w:pPr>
              <w:pStyle w:val="null3"/>
            </w:pPr>
            <w:r>
              <w:rPr>
                <w:rFonts w:ascii="仿宋_GB2312" w:hAnsi="仿宋_GB2312" w:cs="仿宋_GB2312" w:eastAsia="仿宋_GB2312"/>
              </w:rPr>
              <w:t>（4）翻译人员须持有国家认可的外语专业资格证书（如CATTI）或具备同类会议服务经验, 现场翻译准确率不低于95%。</w:t>
            </w:r>
          </w:p>
          <w:p>
            <w:pPr>
              <w:pStyle w:val="null3"/>
            </w:pPr>
            <w:r>
              <w:rPr>
                <w:rFonts w:ascii="仿宋_GB2312" w:hAnsi="仿宋_GB2312" w:cs="仿宋_GB2312" w:eastAsia="仿宋_GB2312"/>
              </w:rPr>
              <w:t>（5）所有服务人员统一着装并佩戴工作标识，服从采购人现场协调。</w:t>
            </w:r>
          </w:p>
          <w:p>
            <w:pPr>
              <w:pStyle w:val="null3"/>
            </w:pPr>
            <w:r>
              <w:rPr>
                <w:rFonts w:ascii="仿宋_GB2312" w:hAnsi="仿宋_GB2312" w:cs="仿宋_GB2312" w:eastAsia="仿宋_GB2312"/>
              </w:rPr>
              <w:t>（三）款项结算</w:t>
            </w:r>
          </w:p>
          <w:p>
            <w:pPr>
              <w:pStyle w:val="null3"/>
            </w:pPr>
            <w:r>
              <w:rPr>
                <w:rFonts w:ascii="仿宋_GB2312" w:hAnsi="仿宋_GB2312" w:cs="仿宋_GB2312" w:eastAsia="仿宋_GB2312"/>
              </w:rPr>
              <w:t>（1）由采购人负责结算，在付款前，供应商开具等额的增值税普通发票给采购人（附详细清单）。</w:t>
            </w:r>
          </w:p>
          <w:p>
            <w:pPr>
              <w:pStyle w:val="null3"/>
            </w:pPr>
            <w:r>
              <w:rPr>
                <w:rFonts w:ascii="仿宋_GB2312" w:hAnsi="仿宋_GB2312" w:cs="仿宋_GB2312" w:eastAsia="仿宋_GB2312"/>
              </w:rPr>
              <w:t>（2）支付方式：银行转账，项目通过验收达到付款条件一次性支付合同总价。</w:t>
            </w:r>
          </w:p>
          <w:p>
            <w:pPr>
              <w:pStyle w:val="null3"/>
            </w:pPr>
            <w:r>
              <w:rPr>
                <w:rFonts w:ascii="仿宋_GB2312" w:hAnsi="仿宋_GB2312" w:cs="仿宋_GB2312" w:eastAsia="仿宋_GB2312"/>
              </w:rPr>
              <w:t>五</w:t>
            </w:r>
            <w:r>
              <w:rPr>
                <w:rFonts w:ascii="仿宋_GB2312" w:hAnsi="仿宋_GB2312" w:cs="仿宋_GB2312" w:eastAsia="仿宋_GB2312"/>
              </w:rPr>
              <w:t>、其他</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供应商具有类似项目业绩</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根据活动举办的时间，在活动举办之前完成会场的所有布置、筹备工作，确保顺利举行。</w:t>
            </w:r>
          </w:p>
          <w:p>
            <w:pPr>
              <w:pStyle w:val="null3"/>
            </w:pPr>
            <w:r>
              <w:rPr>
                <w:rFonts w:ascii="仿宋_GB2312" w:hAnsi="仿宋_GB2312" w:cs="仿宋_GB2312" w:eastAsia="仿宋_GB2312"/>
              </w:rPr>
              <w:t>（三）违约责任</w:t>
            </w:r>
          </w:p>
          <w:p>
            <w:pPr>
              <w:pStyle w:val="null3"/>
              <w:jc w:val="both"/>
            </w:pPr>
            <w:r>
              <w:rPr>
                <w:rFonts w:ascii="仿宋_GB2312" w:hAnsi="仿宋_GB2312" w:cs="仿宋_GB2312" w:eastAsia="仿宋_GB2312"/>
              </w:rPr>
              <w:t>以双方签订的合同文本为准。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自合同签订之日起至活动结束并通过验收。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依据竞争性磋商文件、磋商响应文件、澄清表（函）、合同内容及附件文本；合同签订时国家及行业现行的标准和技术规范，符合采购人验收标准。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由采购人负责结算，在付款前，供应商开具等额的增值税普通发票给采购人（附详细清单）。项目通过验收达到付款条件一次性支付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以双方最终签订的合同文本为准。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审计报告，（包括资产负债表、利润表、现金流量表、所有者权益变动表及其附注，成立时间至提交投标文件截止时间不足一年的可提供成立后任意时段的资产负债表）或开标时间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须包含增值税或企业所得税），凭据应有税务机关或代收机关的公章或业务专用章。依法免税或无须缴纳税收的投标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提供上一年度至今已缴存的至少一个月的社会保障资金缴纳凭证或社保机构开具的社会保险参保缴费情况证明，依法不需要缴纳社会保障资金的单位应提供相关证明材料。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本项目专门面向中小企业采购，参与的供应商（联合体）服务全部由符合政策要求的中小企业承接。供应商必须响应中小企业声明函。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 晰可见； （2）响应文件格式：应符合磋商文件要求； （3）报价唯一：只能有一个有效报价，不得提交选择性报价，且报价不超过单价限价。</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（1）对响应文件响应程度：要求全面响应，不能有任何采购人不能接受的附加条件；（2）服务时间：应满足磋商文件要求；（3) 服务地点 ：采购人指定点；（4）有效期：应满足磋商文件要求。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总体服务规划及服务方案</w:t>
            </w:r>
          </w:p>
        </w:tc>
        <w:tc>
          <w:tcPr>
            <w:tcW w:type="dxa" w:w="2492"/>
          </w:tcPr>
          <w:p>
            <w:pPr>
              <w:pStyle w:val="null3"/>
            </w:pPr>
            <w:r>
              <w:rPr>
                <w:rFonts w:ascii="仿宋_GB2312" w:hAnsi="仿宋_GB2312" w:cs="仿宋_GB2312" w:eastAsia="仿宋_GB2312"/>
              </w:rPr>
              <w:t>根据磋商文件的要求，分别提供详细的服务方案，服务内容包括但不限于以下内容：会场设计、施工、搭建、会务组织、会务资料印制、会议全流程组织实施、活动地址的遴选、其他采购人需要的事务性工作等。按照各供应商方案的详尽、完善、服务、可行性等方面进行综合评定；方案详细、完善、可行性强的计14.1-20分；方案比较详细、较完善、可行性比较好的计7.1-14分；方案一般，可行性一般的计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管理制度及管理措施</w:t>
            </w:r>
          </w:p>
        </w:tc>
        <w:tc>
          <w:tcPr>
            <w:tcW w:type="dxa" w:w="2492"/>
          </w:tcPr>
          <w:p>
            <w:pPr>
              <w:pStyle w:val="null3"/>
            </w:pPr>
            <w:r>
              <w:rPr>
                <w:rFonts w:ascii="仿宋_GB2312" w:hAnsi="仿宋_GB2312" w:cs="仿宋_GB2312" w:eastAsia="仿宋_GB2312"/>
              </w:rPr>
              <w:t>1、供应商具有完善的服务管理制度及明确的工作服务标准，根据响应情况计0-3分。 2、根据本项目的特点，并根据供应商的实际情况，提出切实可行的管理方法，磋商小组根据响应情况计0-3分。 3、确保会议活动服的相关措施：措施合理，具有很强的操作性；根据响应情况计0-4分； 4、场地的互动性、安全性、易操作性，根据响应情况计0-5分。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项目实施进度及安全保证措施</w:t>
            </w:r>
          </w:p>
        </w:tc>
        <w:tc>
          <w:tcPr>
            <w:tcW w:type="dxa" w:w="2492"/>
          </w:tcPr>
          <w:p>
            <w:pPr>
              <w:pStyle w:val="null3"/>
            </w:pPr>
            <w:r>
              <w:rPr>
                <w:rFonts w:ascii="仿宋_GB2312" w:hAnsi="仿宋_GB2312" w:cs="仿宋_GB2312" w:eastAsia="仿宋_GB2312"/>
              </w:rPr>
              <w:t>进度保证措施、安全保证措施： 措施全面、科学、合理；得5.1-10分； 措施一般、内容简单得1-5分；未提供不得分。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增值服务及服务承诺</w:t>
            </w:r>
          </w:p>
        </w:tc>
        <w:tc>
          <w:tcPr>
            <w:tcW w:type="dxa" w:w="2492"/>
          </w:tcPr>
          <w:p>
            <w:pPr>
              <w:pStyle w:val="null3"/>
            </w:pPr>
            <w:r>
              <w:rPr>
                <w:rFonts w:ascii="仿宋_GB2312" w:hAnsi="仿宋_GB2312" w:cs="仿宋_GB2312" w:eastAsia="仿宋_GB2312"/>
              </w:rPr>
              <w:t>对本次项目的增值服务及服务承诺（包含但不限于针对本项目的各项服务质量目标、保障措施等内容）全面、合理、科学；得5.1-10分 增值服务承诺一般、内容简单得1-5分；未提供不得分。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人员配备与管理方案</w:t>
            </w:r>
          </w:p>
        </w:tc>
        <w:tc>
          <w:tcPr>
            <w:tcW w:type="dxa" w:w="2492"/>
          </w:tcPr>
          <w:p>
            <w:pPr>
              <w:pStyle w:val="null3"/>
            </w:pPr>
            <w:r>
              <w:rPr>
                <w:rFonts w:ascii="仿宋_GB2312" w:hAnsi="仿宋_GB2312" w:cs="仿宋_GB2312" w:eastAsia="仿宋_GB2312"/>
              </w:rPr>
              <w:t>管理方案详细，所配人员满足要求，人员结构合理、从业经历丰富、人员组织安排科学；得8.1-10分； 有管理方案，所配人员基本满足要求，人员结构一般、从业经历一般、人员组织安排一般；得5.1-8分；无管理方案，所配人员未满足要求，人员结构差、从业经历差、人员组织安排差得1-5分；未提供不得分。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设备器械、工具及消耗品配备齐全，满足采购要求；并具有具体、完善的保障措施；得5.1-10分； 设备器械、工具及消耗品配备不全，保障措施内容简单得1-5分；未提供不得分。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对活动过程中有可能出现的突发状况应急措施。措施全面、科学、合理；得2.1-5分； 措施一般、内容简单得1-2分；未提供不得分。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详见附件：拟签订的合同文本0612审.docx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