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版本号：SXZCZ-2025-ZHF601320250701002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政务服务效能监测项目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SXZCZ-2025-ZHF6013</w:t>
      </w:r>
      <w:r>
        <w:br/>
      </w:r>
      <w:r>
        <w:br/>
      </w:r>
      <w:r>
        <w:br/>
      </w:r>
    </w:p>
    <w:p>
      <w:pPr>
        <w:pStyle w:val="null3"/>
        <w:jc w:val="center"/>
        <w:outlineLvl w:val="2"/>
      </w:pPr>
      <w:r>
        <w:rPr>
          <w:rFonts w:ascii="仿宋_GB2312" w:hAnsi="仿宋_GB2312" w:cs="仿宋_GB2312" w:eastAsia="仿宋_GB2312"/>
          <w:sz w:val="28"/>
          <w:b/>
        </w:rPr>
        <w:t>西安市行政审批服务局</w:t>
      </w:r>
    </w:p>
    <w:p>
      <w:pPr>
        <w:pStyle w:val="null3"/>
        <w:jc w:val="center"/>
        <w:outlineLvl w:val="2"/>
      </w:pPr>
      <w:r>
        <w:rPr>
          <w:rFonts w:ascii="仿宋_GB2312" w:hAnsi="仿宋_GB2312" w:cs="仿宋_GB2312" w:eastAsia="仿宋_GB2312"/>
          <w:sz w:val="28"/>
          <w:b/>
        </w:rPr>
        <w:t>陕西中采招项目管理有限公司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西安市行政审批服务局</w:t>
      </w:r>
      <w:r>
        <w:rPr>
          <w:rFonts w:ascii="仿宋_GB2312" w:hAnsi="仿宋_GB2312" w:cs="仿宋_GB2312" w:eastAsia="仿宋_GB2312"/>
        </w:rPr>
        <w:t>委托，拟对</w:t>
      </w:r>
      <w:r>
        <w:rPr>
          <w:rFonts w:ascii="仿宋_GB2312" w:hAnsi="仿宋_GB2312" w:cs="仿宋_GB2312" w:eastAsia="仿宋_GB2312"/>
        </w:rPr>
        <w:t>政务服务效能监测项目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SXZCZ-2025-ZHF6013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政务服务效能监测项目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对我市政务服务工作效能进行季度监测并出具报告，每季度1份，共4份。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 , 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2、授权函：法定代表人直接磋商须提交法定代表人身份证明书及其身份证原件，法定代表人授 权代表参加磋商的，须出具授权书及被授权人身份证</w:t>
      </w:r>
    </w:p>
    <w:p>
      <w:pPr>
        <w:pStyle w:val="null3"/>
      </w:pPr>
      <w:r>
        <w:rPr>
          <w:rFonts w:ascii="仿宋_GB2312" w:hAnsi="仿宋_GB2312" w:cs="仿宋_GB2312" w:eastAsia="仿宋_GB2312"/>
        </w:rPr>
        <w:t>3、财务状况报告：提供 2023年度或2024年度经审计的财务报告（包括三表一注，成立时间至提交 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4、税收缴纳证明：供应商须提供磋商截止时间一年内任意1个月的缴税证明（注：依法免税或零申报的供应商应提供相关文件证明；）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5、社会保障资金缴纳证明：供应商须提供磋商截止时间一年内任意1个月的社会保险缴纳证明（注：依法不需 要缴纳社会保障资金的供应商应提供相关文件证明；）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7、商业信誉书面声明：供应商应具备良好的商业信誉，提供参加政府采购活动前3年内在经营活动中没有重大违法记录的书面声明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中国：提供磋商时限内“信用中国”(www.creditchina.gov.cn)网站生成的带水印信用报告及中国政府采购网(www.ccgp.gov.cn)查询截图中，无严重失信记录；（民办非企业单位提供信用承诺函。对列入失信被执行人、重大税收违法案件当事人名单 、政府采购严重违法失信行为记录名单及其他不符合《中华人民共和国政府采购法 》第二十二条规定条件的，招标代理机构将拒绝其参与政府采购活动）</w:t>
      </w:r>
    </w:p>
    <w:p>
      <w:pPr>
        <w:pStyle w:val="null3"/>
      </w:pPr>
      <w:r>
        <w:rPr>
          <w:rFonts w:ascii="仿宋_GB2312" w:hAnsi="仿宋_GB2312" w:cs="仿宋_GB2312" w:eastAsia="仿宋_GB2312"/>
        </w:rPr>
        <w:t>9、非联合体投标：非联合体投标的声明</w:t>
      </w:r>
    </w:p>
    <w:p>
      <w:pPr>
        <w:pStyle w:val="null3"/>
      </w:pPr>
      <w:r>
        <w:rPr>
          <w:rFonts w:ascii="仿宋_GB2312" w:hAnsi="仿宋_GB2312" w:cs="仿宋_GB2312" w:eastAsia="仿宋_GB2312"/>
        </w:rPr>
        <w:t>10、控股关系：单位负责人为同一人或者存在控股、管理关系的不同单位，不得同时参加本招标项目投标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029-86785066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陕西省西安市未央区中登广场B座706室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029-86254684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代理服务费收费标准：1、参照国家计委计价格[2002]1980号及发改办价格[2003]857号通知规定，由成交供应商支付采购代理服务费。 2、支付方式：成交供应商应在领取通知书的同时，向陕西中采招项目管理有限公司交纳本项目采购代理服务费，代理服务收费按差额定率累进法计算。成交服务费不足5000元的按最低收费标准5000收取 3、户 名: 陕西中采招项目管理有限公司，账 号：8888 8889 5724 5176， 开户行：浙江网商银行，联行号：323331000001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西安市行政审批服务局</w:t>
      </w:r>
      <w:r>
        <w:rPr>
          <w:rFonts w:ascii="仿宋_GB2312" w:hAnsi="仿宋_GB2312" w:cs="仿宋_GB2312" w:eastAsia="仿宋_GB2312"/>
        </w:rPr>
        <w:t>和</w:t>
      </w:r>
      <w:r>
        <w:rPr>
          <w:rFonts w:ascii="仿宋_GB2312" w:hAnsi="仿宋_GB2312" w:cs="仿宋_GB2312" w:eastAsia="仿宋_GB2312"/>
        </w:rPr>
        <w:t>陕西中采招项目管理有限公司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符合国家相关服务行业验收标准，满足磋商文件和磋商响应文件的相关内容。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联系人：周工</w:t>
      </w:r>
    </w:p>
    <w:p>
      <w:pPr>
        <w:pStyle w:val="null3"/>
      </w:pPr>
      <w:r>
        <w:rPr>
          <w:rFonts w:ascii="仿宋_GB2312" w:hAnsi="仿宋_GB2312" w:cs="仿宋_GB2312" w:eastAsia="仿宋_GB2312"/>
        </w:rPr>
        <w:t>联系电话：029-86254684</w:t>
      </w:r>
    </w:p>
    <w:p>
      <w:pPr>
        <w:pStyle w:val="null3"/>
      </w:pPr>
      <w:r>
        <w:rPr>
          <w:rFonts w:ascii="仿宋_GB2312" w:hAnsi="仿宋_GB2312" w:cs="仿宋_GB2312" w:eastAsia="仿宋_GB2312"/>
        </w:rPr>
        <w:t>地址：陕西省西安市未央区凤城四路中登广场B座7楼706室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对我市政务服务工作效能进行季度监测并出具报告，每季度1份，共4份。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政务服务效能监测项目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标的名称：政务服务效能监测项目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一、采购内容:</w:t>
            </w:r>
            <w:r>
              <w:br/>
            </w:r>
            <w:r>
              <w:rPr>
                <w:rFonts w:ascii="仿宋_GB2312" w:hAnsi="仿宋_GB2312" w:cs="仿宋_GB2312" w:eastAsia="仿宋_GB2312"/>
              </w:rPr>
              <w:t xml:space="preserve"> 对西安市政务服务工作效能进行季度监测并出具报告，每季度一份。</w:t>
            </w:r>
            <w:r>
              <w:br/>
            </w:r>
            <w:r>
              <w:rPr>
                <w:rFonts w:ascii="仿宋_GB2312" w:hAnsi="仿宋_GB2312" w:cs="仿宋_GB2312" w:eastAsia="仿宋_GB2312"/>
              </w:rPr>
              <w:t xml:space="preserve"> 二、主要功能或目标:</w:t>
            </w:r>
            <w:r>
              <w:br/>
            </w:r>
            <w:r>
              <w:rPr>
                <w:rFonts w:ascii="仿宋_GB2312" w:hAnsi="仿宋_GB2312" w:cs="仿宋_GB2312" w:eastAsia="仿宋_GB2312"/>
              </w:rPr>
              <w:t xml:space="preserve"> 对西安市政务服务工作效能进行季度监测并出具分析报告，针对性提出优化政务服务举措，推动全市政务服务提质增效。</w:t>
            </w:r>
            <w:r>
              <w:br/>
            </w:r>
            <w:r>
              <w:rPr>
                <w:rFonts w:ascii="仿宋_GB2312" w:hAnsi="仿宋_GB2312" w:cs="仿宋_GB2312" w:eastAsia="仿宋_GB2312"/>
              </w:rPr>
              <w:t xml:space="preserve"> 三、需满足的要求:</w:t>
            </w:r>
            <w:r>
              <w:br/>
            </w:r>
            <w:r>
              <w:rPr>
                <w:rFonts w:ascii="仿宋_GB2312" w:hAnsi="仿宋_GB2312" w:cs="仿宋_GB2312" w:eastAsia="仿宋_GB2312"/>
              </w:rPr>
              <w:t xml:space="preserve"> 1.结合国家、省、市优化政务服务、提升行政效能相关文件要求，合理设置监测指标，对西安市政务服务工作效能进行季度监测。2.对我市政务数据进行分析，提出合理的优化提升意见，推动我市政务服务提质增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符合相关服务行业验收标准。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合同执行中发生争议的，当事人双方应协商解决，协商达不成一致时，双方同意向西安市仲裁委员会申请仲裁。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根据《西安市关于促进政府采购公平竞争优化营商环境的通知》相关要求，供应商登记免费领取采购文件的，如不参与项目投标，应在递交投标（或响应）文件截止时间一日前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 , 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授权函</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 权代表参加磋商的，须出具授权书及被授权人身份证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2023年度或2024年度经审计的财务报告（包括三表一注，成立时间至提交 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供应商须提供磋商截止时间一年内任意1个月的缴税证明（注：依法免税或零申报的供应商应提供相关文件证明；）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供应商须提供磋商截止时间一年内任意1个月的社会保险缴纳证明（注：依法不需 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商业信誉书面声明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 、政府采购严重违法失信行为记录名单及其他不符合《中华人民共和国政府采购法 》第二十二条规定条件的，招标代理机构将拒绝其参与政府采购活动）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单位负责人为同一人或者存在控股、管理关系的不同单位，不得同时参加本招标项目投标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响应文件封面 服务内容及服务邀请应答表 商务应答表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投标人的投标报价未超出采购预算或最高限价</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投标人的报价没有出现明显低于其他通过符合性审查投标人的报价，没有影响服务质量且能诚信履约，投标人能证明其报价合理性</w:t>
            </w:r>
          </w:p>
        </w:tc>
        <w:tc>
          <w:tcPr>
            <w:tcW w:type="dxa" w:w="1661"/>
          </w:tcPr>
          <w:p>
            <w:pPr>
              <w:pStyle w:val="null3"/>
            </w:pPr>
            <w:r>
              <w:rPr>
                <w:rFonts w:ascii="仿宋_GB2312" w:hAnsi="仿宋_GB2312" w:cs="仿宋_GB2312" w:eastAsia="仿宋_GB2312"/>
              </w:rPr>
              <w:t>标的清单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对本项目的解读与掌握情况</w:t>
            </w:r>
          </w:p>
        </w:tc>
        <w:tc>
          <w:tcPr>
            <w:tcW w:type="dxa" w:w="2492"/>
          </w:tcPr>
          <w:p>
            <w:pPr>
              <w:pStyle w:val="null3"/>
            </w:pPr>
            <w:r>
              <w:rPr>
                <w:rFonts w:ascii="仿宋_GB2312" w:hAnsi="仿宋_GB2312" w:cs="仿宋_GB2312" w:eastAsia="仿宋_GB2312"/>
              </w:rPr>
              <w:t>根据供应商对本项目技术需求的理解及分析程度进行赋分，充分考虑和理解本项目采购需求。对本项目的理解程度及需求分析思路是否清晰、内容是否全面、科学合理： 1.供应商所提供的服务内容完整科学，符合项目实际及需求，可操作性强，完全满足或优于磋商文件相关标准，满足采购人实际需求，根据响应情况得12分； 2.供应商所提供的服务内容完整，基本符合项目实际需求，可操作根据响应情况得8分； 3.供应商所提供服务内容存在缺漏项，在项目实施过程中可能存在工作不到位的情况，根据响应情况得5分；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本项目整体实施方案</w:t>
            </w:r>
          </w:p>
        </w:tc>
        <w:tc>
          <w:tcPr>
            <w:tcW w:type="dxa" w:w="2492"/>
          </w:tcPr>
          <w:p>
            <w:pPr>
              <w:pStyle w:val="null3"/>
            </w:pPr>
            <w:r>
              <w:rPr>
                <w:rFonts w:ascii="仿宋_GB2312" w:hAnsi="仿宋_GB2312" w:cs="仿宋_GB2312" w:eastAsia="仿宋_GB2312"/>
              </w:rPr>
              <w:t>根据供应商的服务工作方案，对本项目的重点把握突出、难点分析到位（人员配置、时间安排、数据分析、成果内容、资料清单以及工作纪律）提出针对性解决方案，实施方案中项目梳理清晰规范，保障项目切实到位，工作底稿设计清晰合理： 1.供应商针对磋商文件技术要求提供针对性强且完善的项目实施方案，服务计划书详细、合理、全面，服务方案达到或优于磋商文件标准。根据响应情况得16分； 2.供应商针对磋商文件技术要求提供项目实施方案，方案基本合理，服务方案符合采购人基本要求。根据响应情况得9分； 3.供应商所提供的项目实施方案有缺陷或不尽合理，服务质量未能达到采购人实际需求。根据响应情况得4分。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根据供应商针对本项目提供的工作方案、项目进度安排进行综合评分： 1.详细的工作计划和进度安排，具有时效性，可以在服务期内完成计10分； 2.工作计划详细，时间进度安排一般6分； 3.工作计划不够详细，时间进度安排欠合理2 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配备合理、充足，有相关经验的专项小组以及专门负责此项目的负责人。人员分工搭配合理，各岗位职责明确，满足调整需求，拟派专人负责与采购人协调沟通。1.团队人员职责分工明确，专业配置合理，确保本项目顺利实施，根据响应程度计9分；2.有人员安排，能保证项目顺利实施的得6分；3.人员安排简单，不能满足磋商文件的要求得3分；4.人员安排不明确，不利于项目实施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根据供应商针对本项目提供的项目组织方案的清晰度，客观性、合理性、准确性，可执行性等综合评定： 1.组织方案科学合理，清晰可行得 8分； 2.方案较为合理，可行性一般得 4分； 3.方案不够合理可行得 2分； 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安全及保密控制方案</w:t>
            </w:r>
          </w:p>
        </w:tc>
        <w:tc>
          <w:tcPr>
            <w:tcW w:type="dxa" w:w="2492"/>
          </w:tcPr>
          <w:p>
            <w:pPr>
              <w:pStyle w:val="null3"/>
            </w:pPr>
            <w:r>
              <w:rPr>
                <w:rFonts w:ascii="仿宋_GB2312" w:hAnsi="仿宋_GB2312" w:cs="仿宋_GB2312" w:eastAsia="仿宋_GB2312"/>
              </w:rPr>
              <w:t>方案可行，严格能保障落到实处，得5分；较可行，能落到实处得3分；不可行得1分；没有得0分。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针对本项目质量保证措施方案，质量保证体系是否完备周全，保障措施及政策建议是否切合实际、协调配套、具有可操作性。 1.有具体可行的质量保证措施，方案具体、完整、可操作性强，根据响应情况得10分； 2.方案较完整，质量保证措施内容明确，可基本保证质量保证需求，根据响应情况得5分； 3.方案有明显缺漏项，不能完全保证服务期内质量保证需求，可操作性较差，根据响应情况得3分；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供应商提供2021年至今同类项目业绩，每提供1份得5分，满分 10分，不提供不得分； 注：业绩证明（以签订的合同或网站项目中标公告截图为准，须在磋商响应文件中附合同扫描件完整页或网站项目中标公告截图并加盖单位公章）弄虚作假者，取消其中标资格。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针对本项目中能提出建设性建议。1.方向明确、清晰，建议合理、全面，可行度高得5分；2.方向较明确、清晰，建议合理化较弱、可行度一般，得3分；3.发展方向和建议考虑欠缺，得1分；未提供的不得分。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针对本项目服务内容和要求，提供详细的服务承诺及采取的具体可行的措施。 1.服务承诺及措施详细、全面，可行性强，计5分。 2.服务承诺及措施比较单一，可行性一般，计2分。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价格评分统一采用低价优先法计算，即满足磋商文件要求且价格最低的磋商报价为评审基准价，其报价分值为满分。其他供应商的价格分统一按照下列公式计算： 价格评分＝(评审基准价/磋商报价)×报价分值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