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版本号：SXZY-2025-ZC-112920250611001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2025年西安“暑期乐购季”活动项目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SXZY-2025-ZC-1129</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陕西中仪项目管理有限公司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陕西中仪项目管理有限公司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2025年西安“暑期乐购季”活动项目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SXZY-2025-ZC-1129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2025年西安“暑期乐购季”活动项目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国家扩大内需战略，激发西安市暑期消费潜力，拟于2025年7月1日至8月31日举办西安“暑期乐购季”系列活动。活动聚焦家庭消费、亲子消费、夜间消费、文旅消费四大板块，整合全市商圈、景区、商业综合体等资源，通过政企联动、线上线下融合模式，打造全年龄段、全时段消费盛宴，推动社零总额增长，助力西安建设国际消费中心城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采购包1（2025年西安“暑期乐购季”活动项目）：属于专门面向中小企业采购。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主要负责人）委托授权书\身份证明：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p>
      <w:pPr>
        <w:pStyle w:val="null3"/>
      </w:pPr>
      <w:r>
        <w:rPr>
          <w:rFonts w:ascii="仿宋_GB2312" w:hAnsi="仿宋_GB2312" w:cs="仿宋_GB2312" w:eastAsia="仿宋_GB2312"/>
        </w:rPr>
        <w:t>2、信用记录查询结果：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p>
      <w:pPr>
        <w:pStyle w:val="null3"/>
      </w:pPr>
      <w:r>
        <w:rPr>
          <w:rFonts w:ascii="仿宋_GB2312" w:hAnsi="仿宋_GB2312" w:cs="仿宋_GB2312" w:eastAsia="仿宋_GB2312"/>
        </w:rPr>
        <w:t>3、非联合体磋商声明：提交非联合体形式参加本项目磋商的声明函。供应商需在项目电子化交易系统中按要求上传相应证明文件并进行电子签章。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乔昆宇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86786498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陕西省西安市曲江新区曲江池西路369号34幢10101室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85500589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关于招标代理服务收费有关问题的通知》（发改办价格[2003]857号）的有关规定执行。成交单位在领取成交通知书前，须向采购代理机构一次性支付代理服务费。 户名：陕西中仪项目管理有限公司 开户行：中国银行股份有限公司西安雁展路支行 账号：102496214855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陕西中仪项目管理有限公司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联系人：范工</w:t>
      </w:r>
    </w:p>
    <w:p>
      <w:pPr>
        <w:pStyle w:val="null3"/>
      </w:pPr>
      <w:r>
        <w:rPr>
          <w:rFonts w:ascii="仿宋_GB2312" w:hAnsi="仿宋_GB2312" w:cs="仿宋_GB2312" w:eastAsia="仿宋_GB2312"/>
        </w:rPr>
        <w:t>联系电话：85500589</w:t>
      </w:r>
    </w:p>
    <w:p>
      <w:pPr>
        <w:pStyle w:val="null3"/>
      </w:pPr>
      <w:r>
        <w:rPr>
          <w:rFonts w:ascii="仿宋_GB2312" w:hAnsi="仿宋_GB2312" w:cs="仿宋_GB2312" w:eastAsia="仿宋_GB2312"/>
        </w:rPr>
        <w:t>地址：陕西省西安市曲江新区曲江池西路369号34幢10101室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国家扩大内需战略，激发西安市暑期消费潜力，拟于2025年7月1日至8月31日举办西安“暑期乐购季”系列活动。活动聚焦家庭消费、亲子消费、夜间消费、文旅消费四大板块，整合全市商圈、景区、商业综合体等资源，通过政企联动、线上线下融合模式，打造全年龄段、全时段消费盛宴，推动社零总额增长，助力西安建设国际消费中心城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举办西安“暑期乐购季”系列活动策划、组织、执行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标的名称：举办西安“暑期乐购季”系列活动策划、组织、执行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服务内容</w:t>
            </w:r>
          </w:p>
          <w:p>
            <w:pPr>
              <w:pStyle w:val="null3"/>
              <w:jc w:val="both"/>
            </w:pPr>
            <w:r>
              <w:rPr>
                <w:rFonts w:ascii="仿宋_GB2312" w:hAnsi="仿宋_GB2312" w:cs="仿宋_GB2312" w:eastAsia="仿宋_GB2312"/>
              </w:rPr>
              <w:t>1、开幕式及专场活动统筹</w:t>
            </w:r>
          </w:p>
          <w:p>
            <w:pPr>
              <w:pStyle w:val="null3"/>
              <w:jc w:val="both"/>
            </w:pPr>
            <w:r>
              <w:rPr>
                <w:rFonts w:ascii="仿宋_GB2312" w:hAnsi="仿宋_GB2312" w:cs="仿宋_GB2312" w:eastAsia="仿宋_GB2312"/>
              </w:rPr>
              <w:t>场地租赁与搭建：四海唐人街、方欣海鲜市场等场地租赁，舞台搭建及灯光音响配置。</w:t>
            </w:r>
          </w:p>
          <w:p>
            <w:pPr>
              <w:pStyle w:val="null3"/>
              <w:jc w:val="both"/>
            </w:pPr>
            <w:r>
              <w:rPr>
                <w:rFonts w:ascii="仿宋_GB2312" w:hAnsi="仿宋_GB2312" w:cs="仿宋_GB2312" w:eastAsia="仿宋_GB2312"/>
              </w:rPr>
              <w:t>活动内容：文艺演出（舞蹈、音乐表演）、吉祥物设计与发布、宣传片制作。</w:t>
            </w:r>
          </w:p>
          <w:p>
            <w:pPr>
              <w:pStyle w:val="null3"/>
              <w:jc w:val="both"/>
            </w:pPr>
            <w:r>
              <w:rPr>
                <w:rFonts w:ascii="仿宋_GB2312" w:hAnsi="仿宋_GB2312" w:cs="仿宋_GB2312" w:eastAsia="仿宋_GB2312"/>
              </w:rPr>
              <w:t>执行要求：确保整体活动流程顺畅，包括领导致辞、启动仪式、宣传片播放等环节。</w:t>
            </w:r>
          </w:p>
          <w:p>
            <w:pPr>
              <w:pStyle w:val="null3"/>
              <w:jc w:val="both"/>
            </w:pPr>
            <w:r>
              <w:rPr>
                <w:rFonts w:ascii="仿宋_GB2312" w:hAnsi="仿宋_GB2312" w:cs="仿宋_GB2312" w:eastAsia="仿宋_GB2312"/>
              </w:rPr>
              <w:t>执行支持：摄影摄像、主持礼仪、照片直播、安全保障、氛围物料设计及制作。</w:t>
            </w:r>
          </w:p>
          <w:p>
            <w:pPr>
              <w:pStyle w:val="null3"/>
              <w:jc w:val="both"/>
            </w:pPr>
            <w:r>
              <w:rPr>
                <w:rFonts w:ascii="仿宋_GB2312" w:hAnsi="仿宋_GB2312" w:cs="仿宋_GB2312" w:eastAsia="仿宋_GB2312"/>
              </w:rPr>
              <w:t>2、专场活动执行</w:t>
            </w:r>
          </w:p>
          <w:p>
            <w:pPr>
              <w:pStyle w:val="null3"/>
              <w:jc w:val="both"/>
            </w:pPr>
            <w:r>
              <w:rPr>
                <w:rFonts w:ascii="仿宋_GB2312" w:hAnsi="仿宋_GB2312" w:cs="仿宋_GB2312" w:eastAsia="仿宋_GB2312"/>
              </w:rPr>
              <w:t>国际饮品节：引入国内外知名饮品品牌（如奈雪的茶、瑞幸），设置饮品市集、物料制作、市集搭建、DIY互动区、音乐演出、品鉴会。</w:t>
            </w:r>
          </w:p>
          <w:p>
            <w:pPr>
              <w:pStyle w:val="null3"/>
              <w:jc w:val="both"/>
            </w:pPr>
            <w:r>
              <w:rPr>
                <w:rFonts w:ascii="仿宋_GB2312" w:hAnsi="仿宋_GB2312" w:cs="仿宋_GB2312" w:eastAsia="仿宋_GB2312"/>
              </w:rPr>
              <w:t>海鲜美食音乐节/面包咖啡节：组织海鲜烹饪教学、品牌展销（米旗、南时咖啡等）、设置海鲜啤酒市集、物料制作、市集搭建、音乐演出及优惠促销活动。</w:t>
            </w:r>
          </w:p>
          <w:p>
            <w:pPr>
              <w:pStyle w:val="null3"/>
              <w:jc w:val="both"/>
            </w:pPr>
            <w:r>
              <w:rPr>
                <w:rFonts w:ascii="仿宋_GB2312" w:hAnsi="仿宋_GB2312" w:cs="仿宋_GB2312" w:eastAsia="仿宋_GB2312"/>
              </w:rPr>
              <w:t>线上线下联动：联合银联、美团等平台推出“0.01元加购冰杯”“周末5折天”等促销活动。</w:t>
            </w:r>
          </w:p>
          <w:p>
            <w:pPr>
              <w:pStyle w:val="null3"/>
              <w:jc w:val="both"/>
            </w:pPr>
            <w:r>
              <w:rPr>
                <w:rFonts w:ascii="仿宋_GB2312" w:hAnsi="仿宋_GB2312" w:cs="仿宋_GB2312" w:eastAsia="仿宋_GB2312"/>
              </w:rPr>
              <w:t>3、商家联动与消费场景整合</w:t>
            </w:r>
          </w:p>
          <w:p>
            <w:pPr>
              <w:pStyle w:val="null3"/>
              <w:jc w:val="both"/>
            </w:pPr>
            <w:r>
              <w:rPr>
                <w:rFonts w:ascii="仿宋_GB2312" w:hAnsi="仿宋_GB2312" w:cs="仿宋_GB2312" w:eastAsia="仿宋_GB2312"/>
              </w:rPr>
              <w:t>组织全市20家商业综合体、步行街推出限时折扣、满额抽奖、套餐优惠等活动。协调商户资源，确保活动期间统一宣传。</w:t>
            </w:r>
          </w:p>
          <w:p>
            <w:pPr>
              <w:pStyle w:val="null3"/>
              <w:jc w:val="both"/>
            </w:pPr>
            <w:r>
              <w:rPr>
                <w:rFonts w:ascii="仿宋_GB2312" w:hAnsi="仿宋_GB2312" w:cs="仿宋_GB2312" w:eastAsia="仿宋_GB2312"/>
              </w:rPr>
              <w:t>4、宣传推广服务</w:t>
            </w:r>
          </w:p>
          <w:p>
            <w:pPr>
              <w:pStyle w:val="null3"/>
              <w:jc w:val="both"/>
            </w:pPr>
            <w:r>
              <w:rPr>
                <w:rFonts w:ascii="仿宋_GB2312" w:hAnsi="仿宋_GB2312" w:cs="仿宋_GB2312" w:eastAsia="仿宋_GB2312"/>
              </w:rPr>
              <w:t>联合官方媒体、传统媒体、新媒体进行活动预热和宣传推广。</w:t>
            </w:r>
          </w:p>
          <w:p>
            <w:pPr>
              <w:pStyle w:val="null3"/>
              <w:jc w:val="both"/>
            </w:pPr>
            <w:r>
              <w:rPr>
                <w:rFonts w:ascii="仿宋_GB2312" w:hAnsi="仿宋_GB2312" w:cs="仿宋_GB2312" w:eastAsia="仿宋_GB2312"/>
              </w:rPr>
              <w:t>内容制作：设计活动主视觉（KV）、短视频、海报等，突出“暑期乐购季”活动主题。</w:t>
            </w:r>
          </w:p>
          <w:p>
            <w:pPr>
              <w:pStyle w:val="null3"/>
              <w:jc w:val="both"/>
            </w:pPr>
            <w:r>
              <w:rPr>
                <w:rFonts w:ascii="仿宋_GB2312" w:hAnsi="仿宋_GB2312" w:cs="仿宋_GB2312" w:eastAsia="仿宋_GB2312"/>
              </w:rPr>
              <w:t>5、评选表彰与品牌合作</w:t>
            </w:r>
          </w:p>
          <w:p>
            <w:pPr>
              <w:pStyle w:val="null3"/>
              <w:jc w:val="both"/>
            </w:pPr>
            <w:r>
              <w:rPr>
                <w:rFonts w:ascii="仿宋_GB2312" w:hAnsi="仿宋_GB2312" w:cs="仿宋_GB2312" w:eastAsia="仿宋_GB2312"/>
              </w:rPr>
              <w:t>制定“暑期消费人气品牌”“最佳服务商户”等评选标准，组织专家评审。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技术要求</w:t>
            </w:r>
          </w:p>
          <w:p>
            <w:pPr>
              <w:pStyle w:val="null3"/>
              <w:jc w:val="both"/>
            </w:pPr>
            <w:r>
              <w:rPr>
                <w:rFonts w:ascii="仿宋_GB2312" w:hAnsi="仿宋_GB2312" w:cs="仿宋_GB2312" w:eastAsia="仿宋_GB2312"/>
              </w:rPr>
              <w:t>(一)本次活动以“暑期经济”为核心，聚焦家庭消费、亲子消费、夜间消费、文旅消费四大板块，整合全市重点商圈、文旅景区、特色街区、商业综合体等消费场景，通过“政企联动、市区协同、线上线下融合”模式，打造覆盖全年龄段、全时段的消费盛宴。</w:t>
            </w:r>
          </w:p>
          <w:p>
            <w:pPr>
              <w:pStyle w:val="null3"/>
              <w:jc w:val="both"/>
            </w:pPr>
            <w:r>
              <w:rPr>
                <w:rFonts w:ascii="仿宋_GB2312" w:hAnsi="仿宋_GB2312" w:cs="仿宋_GB2312" w:eastAsia="仿宋_GB2312"/>
              </w:rPr>
              <w:t>（二）邀请政府领导、行业协会代表、各商业综合体及步行街负责人、参展商户等嘉宾，共同参与暑期乐购季开幕式暨国际饮品节，海鲜美食音乐节或咖啡面包节系列活动，通过致辞、活动倡议、互动体验等环节，见证活动盛况并深化政企协作，为打造暑期消费品牌凝聚多方合力。</w:t>
            </w:r>
          </w:p>
          <w:p>
            <w:pPr>
              <w:pStyle w:val="null3"/>
              <w:jc w:val="both"/>
            </w:pPr>
            <w:r>
              <w:rPr>
                <w:rFonts w:ascii="仿宋_GB2312" w:hAnsi="仿宋_GB2312" w:cs="仿宋_GB2312" w:eastAsia="仿宋_GB2312"/>
              </w:rPr>
              <w:t>（三）组织全市20家重点商业综合体及步行街共同参与暑期乐购季活动，旨在通过资源整合与协同联动，形成全域消费热点矩阵，扩大活动覆盖范围与品牌声量。</w:t>
            </w:r>
          </w:p>
          <w:p>
            <w:pPr>
              <w:pStyle w:val="null3"/>
              <w:jc w:val="both"/>
            </w:pPr>
            <w:r>
              <w:rPr>
                <w:rFonts w:ascii="仿宋_GB2312" w:hAnsi="仿宋_GB2312" w:cs="仿宋_GB2312" w:eastAsia="仿宋_GB2312"/>
              </w:rPr>
              <w:t>（四）联合银联、美团等平台推出线上线下融合的优惠活动，旨在通过数字化手段打通消费全链路，以“线上领券引流+线下核销体验”模式扩大活动辐射范围，精准触达目标客群；</w:t>
            </w:r>
          </w:p>
          <w:p>
            <w:pPr>
              <w:pStyle w:val="null3"/>
              <w:jc w:val="both"/>
            </w:pPr>
            <w:r>
              <w:rPr>
                <w:rFonts w:ascii="仿宋_GB2312" w:hAnsi="仿宋_GB2312" w:cs="仿宋_GB2312" w:eastAsia="仿宋_GB2312"/>
              </w:rPr>
              <w:t>（五）对参与暑期乐购季的商家进行评选表彰，设立“暑期消费人气品牌”“最佳服务商户”等标杆奖项，以激发商户参与热情，树立行业标杆，推动全市消费服务品质升级，助力打造“诚信经营、优质服务”的西安消费新名片。</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服务要求</w:t>
            </w:r>
          </w:p>
          <w:p>
            <w:pPr>
              <w:pStyle w:val="null3"/>
              <w:jc w:val="both"/>
            </w:pPr>
            <w:r>
              <w:rPr>
                <w:rFonts w:ascii="仿宋_GB2312" w:hAnsi="仿宋_GB2312" w:cs="仿宋_GB2312" w:eastAsia="仿宋_GB2312"/>
              </w:rPr>
              <w:t>（一）统筹执行包含一场与“西安市首届国际饮品节”合并举办的开幕式（涵盖文化展演、品牌发布及启动仪式）、两场特色专场活动（国际饮品节、海鲜美食音乐节/咖啡面包节）、覆盖全市二十家重点商业综合体的联动促销活动以及商户评选表彰的全流程服务，确保活动主题鲜明、资源协同高效，并突出西安文旅融合与消费升级的核心目标。</w:t>
            </w:r>
          </w:p>
          <w:p>
            <w:pPr>
              <w:pStyle w:val="null3"/>
              <w:jc w:val="both"/>
            </w:pPr>
            <w:r>
              <w:rPr>
                <w:rFonts w:ascii="仿宋_GB2312" w:hAnsi="仿宋_GB2312" w:cs="仿宋_GB2312" w:eastAsia="仿宋_GB2312"/>
              </w:rPr>
              <w:t>（二）充分做好资源协调与商户服务，联动全市重点商业综合体及品牌商户，推动优惠活动广泛落地，确保活动效果；</w:t>
            </w:r>
          </w:p>
          <w:p>
            <w:pPr>
              <w:pStyle w:val="null3"/>
              <w:jc w:val="both"/>
            </w:pPr>
            <w:r>
              <w:rPr>
                <w:rFonts w:ascii="仿宋_GB2312" w:hAnsi="仿宋_GB2312" w:cs="仿宋_GB2312" w:eastAsia="仿宋_GB2312"/>
              </w:rPr>
              <w:t>（三）供应商需具有策划团队、执行团队、宣传团队并成功策划执行过类似活动的案例和能力。</w:t>
            </w:r>
          </w:p>
          <w:p>
            <w:pPr>
              <w:pStyle w:val="null3"/>
              <w:jc w:val="both"/>
            </w:pPr>
            <w:r>
              <w:rPr>
                <w:rFonts w:ascii="仿宋_GB2312" w:hAnsi="仿宋_GB2312" w:cs="仿宋_GB2312" w:eastAsia="仿宋_GB2312"/>
              </w:rPr>
              <w:t>（四）供应商必须按磋商文件的要求，在规定的时间内，完成活动策划方案和视觉设计。根据需要对方案进行完善，并严格执行方案，确保活动效果；</w:t>
            </w:r>
          </w:p>
          <w:p>
            <w:pPr>
              <w:pStyle w:val="null3"/>
              <w:jc w:val="both"/>
            </w:pPr>
            <w:r>
              <w:rPr>
                <w:rFonts w:ascii="仿宋_GB2312" w:hAnsi="仿宋_GB2312" w:cs="仿宋_GB2312" w:eastAsia="仿宋_GB2312"/>
              </w:rPr>
              <w:t>（五）结合实际，制订安防预案，严格抓好落实，在确保安全前提下组织实施活动。</w:t>
            </w:r>
          </w:p>
          <w:p>
            <w:pPr>
              <w:pStyle w:val="null3"/>
              <w:jc w:val="both"/>
            </w:pPr>
            <w:r>
              <w:rPr>
                <w:rFonts w:ascii="仿宋_GB2312" w:hAnsi="仿宋_GB2312" w:cs="仿宋_GB2312" w:eastAsia="仿宋_GB2312"/>
              </w:rPr>
              <w:t>（六）供应商必须配合做好事前、事中、事后绩效评价工作。活动结束后提交完整成果资料，包括影像记录及活动总结报告；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进度</w:t>
            </w:r>
            <w:r>
              <w:rPr>
                <w:rFonts w:ascii="仿宋_GB2312" w:hAnsi="仿宋_GB2312" w:cs="仿宋_GB2312" w:eastAsia="仿宋_GB2312"/>
                <w:b/>
              </w:rPr>
              <w:t>要求</w:t>
            </w:r>
          </w:p>
          <w:p>
            <w:pPr>
              <w:pStyle w:val="null3"/>
              <w:jc w:val="both"/>
            </w:pPr>
            <w:r>
              <w:rPr>
                <w:rFonts w:ascii="仿宋_GB2312" w:hAnsi="仿宋_GB2312" w:cs="仿宋_GB2312" w:eastAsia="仿宋_GB2312"/>
              </w:rPr>
              <w:t>1、合同签订后3个工作日内完成整体方案准备工作。</w:t>
            </w:r>
          </w:p>
          <w:p>
            <w:pPr>
              <w:pStyle w:val="null3"/>
              <w:jc w:val="both"/>
            </w:pPr>
            <w:r>
              <w:rPr>
                <w:rFonts w:ascii="仿宋_GB2312" w:hAnsi="仿宋_GB2312" w:cs="仿宋_GB2312" w:eastAsia="仿宋_GB2312"/>
              </w:rPr>
              <w:t>2、2025年10月20日前完成资料整理、总结以及成果交付等工作。</w:t>
            </w:r>
          </w:p>
          <w:p>
            <w:pPr>
              <w:pStyle w:val="null3"/>
              <w:jc w:val="both"/>
            </w:pPr>
            <w:r>
              <w:rPr>
                <w:rFonts w:ascii="仿宋_GB2312" w:hAnsi="仿宋_GB2312" w:cs="仿宋_GB2312" w:eastAsia="仿宋_GB2312"/>
              </w:rPr>
              <w:t>3、中标单位在成果交付后10个工作日内提出验收申请后7工作日内开展验收工作。</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成果交付要求</w:t>
            </w:r>
          </w:p>
          <w:p>
            <w:pPr>
              <w:pStyle w:val="null3"/>
              <w:jc w:val="both"/>
            </w:pPr>
            <w:r>
              <w:rPr>
                <w:rFonts w:ascii="仿宋_GB2312" w:hAnsi="仿宋_GB2312" w:cs="仿宋_GB2312" w:eastAsia="仿宋_GB2312"/>
              </w:rPr>
              <w:t>按合同约定条款，保质保量完成整体活动执行，以文、图、视频形式整理成完整验收报告。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满足采购项目人员配置要求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满足采购项目其他要求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供应商项目执行结束经验收合格后，向采购方开具等额的增值税普通发票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中华人民共和国政府采购法》及相关法律法规对乙方的违法行为进行相应的处罚。 3、因为不可抗力因素造成无法按照原计划提供服务，双方互不追究违约责任，供应商如未按照采购要求完成服务内容，除应赔偿采购人所受全部损失以外，还应承担本合同总额20%的违约金。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服务范围：2025年西安“暑期乐购季”活动项目。2、服务标准：现行的国家标准或国家行政部门颁布的法律法规、规章制度等，没有国家标准的，可以参考行业标准。3、供应商所报的价格应考虑到可能发生的所有与完成本项目相关服务及履行合同义务有关的一切费用，任何有选择的报价将不予接受，按无效磋商处理。4、本项目所属行业为：租赁和商务服务业。根据《工业和信息化部、国家统计局、国家发展和改革委员会、财政部关于印发中小企业划型标准规定的通知》《工信部联企业(2011)300 号)规定的划分标准, 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5、成交供应商在领取成交通知书前，需向采购代理机构提交加盖公章的纸质版响应文件三套，成交供应商应保持响应文件纸质版内容与系统上传内容完全一致，否则将承担一切法律责任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有效的主体资格证明：在中华人民共和国境内注册，依法取得并有效存续的营业执照（含电子营业执照）\事业单位法人证书\民办非企业单位登记证书\非企业专业服务机构执业许可证等。供应商需在项目电子化交易系统中按要求上传相应证明文件并进行电子签章。 2.社保资金缴纳证明：提交社保资金所属日期在2024年06月至今任意一个月的社会保障资金缴存单据或社保机构开具的社会保险参保缴费情况证明，单据或证明上应有社保机构或代收机构的公章或业务专用章。供应商需在项目电子化交易系统中按要求上传相应证明文件并进行电子签章。 3.税收缴纳证明：提交税款所属日期在2024年06月至今任意一个月的纳税证明或完税证明（任意税种），纳税证明或完税证明上应有代收机构或税务机关的公章或业务专用章。供应商需在项目电子化交易系统中按要求上传相应证明文件并进行电子签章。 4.无重大违法记录声明：参加政府采购活动前3年内在经营活动中没有重大违法记录的书面声明。供应商需在项目电子化交易系统中按要求填写《响应函》完成承诺并进行电子签章。 5.履约能力承诺：提交具有履行合同所必需的设备和专业技术能力的承诺函。供应商需在项目电子化交易系统中按要求填写《响应函》完成承诺并进行电子签章。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任选其一｛注：①可提供2023或2024年度经审计的具有赋码查验功能的财务报告（包含审计报告和审计报告中所涉及的财务报表和报表附注），②可提供截至响应文件提交截止日一年内银行出具的资信证明（附基本存款账户信息），③供应商注册时间截至响应文件提交截止日不足一年的，可提供成立后任意时段的资产负债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法定代表人（主要负责人）委托授权书\身份证明</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身份证明书及法定代表人（主要负责人）委托授权书；法定代表人（主要负责人）亲自参加投标时，应提供法定代表人（主要负责人）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信用记录查询结果</w:t>
            </w:r>
          </w:p>
        </w:tc>
        <w:tc>
          <w:tcPr>
            <w:tcW w:type="dxa" w:w="3322"/>
          </w:tcPr>
          <w:p>
            <w:pPr>
              <w:pStyle w:val="null3"/>
            </w:pPr>
            <w:r>
              <w:rPr>
                <w:rFonts w:ascii="仿宋_GB2312" w:hAnsi="仿宋_GB2312" w:cs="仿宋_GB2312" w:eastAsia="仿宋_GB2312"/>
              </w:rPr>
              <w:t>供应商不得为信用中国”网站（www.creditchina.gov.cn）中重大税收违法失信主体名单的供应商，不得为“信用中国”网站（www.creditchina.gov.cn）中列入失信被执行人的供应商（页面跳转至“中国执行信息公开网”网站（zxgk.court.gov.cn）），不得为“中国政府采购网”网站（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提交非联合体形式参加本项目磋商的声明函。供应商需在项目电子化交易系统中按要求上传相应证明文件并进行电子签章。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供应商响应有效期自提交响应文件截止之日起不少于90天。供应商需在项目电子化交易系统中按要求填写《响应函》完成承诺并进行电子签章。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响应有效性</w:t>
            </w:r>
          </w:p>
        </w:tc>
        <w:tc>
          <w:tcPr>
            <w:tcW w:type="dxa" w:w="3322"/>
          </w:tcPr>
          <w:p>
            <w:pPr>
              <w:pStyle w:val="null3"/>
            </w:pPr>
            <w:r>
              <w:rPr>
                <w:rFonts w:ascii="仿宋_GB2312" w:hAnsi="仿宋_GB2312" w:cs="仿宋_GB2312" w:eastAsia="仿宋_GB2312"/>
              </w:rPr>
              <w:t>磋商响应文件内容应全面响应磋商文件要求，且无未实质性响应及无效标的情形。</w:t>
            </w:r>
          </w:p>
        </w:tc>
        <w:tc>
          <w:tcPr>
            <w:tcW w:type="dxa" w:w="1661"/>
          </w:tcPr>
          <w:p>
            <w:pPr>
              <w:pStyle w:val="null3"/>
            </w:pPr>
            <w:r>
              <w:rPr>
                <w:rFonts w:ascii="仿宋_GB2312" w:hAnsi="仿宋_GB2312" w:cs="仿宋_GB2312" w:eastAsia="仿宋_GB2312"/>
              </w:rPr>
              <w:t>商务响应偏离表 供应商承诺书 合同条款响应偏离表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费用明细表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供应商需在项目电子化交易系统中按要求填写《报价表》、《标的清单》并进行电子签章。</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供应商需在项目电子化交易系统中按要求编制磋商响应文件并进行电子签章。</w:t>
            </w:r>
          </w:p>
        </w:tc>
        <w:tc>
          <w:tcPr>
            <w:tcW w:type="dxa" w:w="1661"/>
          </w:tcPr>
          <w:p>
            <w:pPr>
              <w:pStyle w:val="null3"/>
            </w:pPr>
            <w:r>
              <w:rPr>
                <w:rFonts w:ascii="仿宋_GB2312" w:hAnsi="仿宋_GB2312" w:cs="仿宋_GB2312" w:eastAsia="仿宋_GB2312"/>
              </w:rPr>
              <w:t>商务响应偏离表 费用明细表 中小企业声明函 资格证明材料 报价表 合同条款响应偏离表 响应文件封面 其他资料 残疾人福利性单位声明函 技术（服务）方案说明书 标的清单 供应商承诺书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供应商阐述针对本项目的理解，进行重难点分析并提出对策建议。 结合对项目情况及项目特征的理解，能够进行全面、客观的重难点分析，有可行、详实的对策建议，得10分； 结合对项目情况及项目特征的理解，能够进行较为全面、客观的重难点分析、有较为可行的对策建议，得8分； 结合项目情况及项目特征的理解，有重难点分析及对策建议，但内容不全面，对策建议客观性、可行性较差，得6分； 没有结合项目情况及项目特征进行重难点分析，内容针对性弱，对策建议可行性差，得3分；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①提供开幕式及专场活动统筹实施方案（5分）； ②提供专场活动执行方案（5分）； ③提供商家联动与消费场景整合方案（5分）； ④提供宣传推广服务方案（5分）； ⑤提供评选表彰与品牌合作方案（5分）。 以上①-⑤各项： 充分结合本项目服务特点，内容全面详细、阐述条理清晰详尽、措施具体完善、可行性强，完全满足采购需求，得5分； 结合本项目服务特点、内容较为全面详细、阐述条理较为清晰、措施较为具体、可行性较强，满足采购需求，得4分； 方案内容不详细，合理性、可行性较差，基本满足采购需求，得3分； 方案未结合本项目特点，内容简单，合理性、可行性差，得1分； 未提供得0分。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供应商根据服务内容制定项目实施进度计划。 计划安排完善、科学合理，各环节衔接紧凑，可执行性强，完全满足采购需求，得10分； 计划安排较为完善与合理，各环节衔接较紧凑，可执行性较强，满足采购需求，得8分； 计划安排基本合理，可执行性一般，基本满足采购需求，得6分； 计划安排不合理，内容不完整，不能完全满足采购需求，得3分；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针对本项目服务内容，有完善的服务质量保障措施，满足本项目采购需求。 内容科学全面、可行性强，得10分； 内容较为科学全面、可行性较强，得8分； 内容基本全面、可行性一般，得6分；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安全事故应急预案</w:t>
            </w:r>
          </w:p>
        </w:tc>
        <w:tc>
          <w:tcPr>
            <w:tcW w:type="dxa" w:w="2492"/>
          </w:tcPr>
          <w:p>
            <w:pPr>
              <w:pStyle w:val="null3"/>
            </w:pPr>
            <w:r>
              <w:rPr>
                <w:rFonts w:ascii="仿宋_GB2312" w:hAnsi="仿宋_GB2312" w:cs="仿宋_GB2312" w:eastAsia="仿宋_GB2312"/>
              </w:rPr>
              <w:t>针对项目实施过程中可能涉及的各类安全事故提出应急预案。 内容详实、完整、完全符合项目实际，可行性强，得10分； 内容较为详实与完整、符合项目实际，可行性较强，得8分； 内容基本完整、基本符合项目实际，可行性一般，6分； 内容存在重大缺陷、可行性差，得3分；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团队人员数量充足、配备合理、职责明确，完全满足项目需求，得10分； 团队人员数量较为充足、配备较为合理、职责较为明确，满足项目需求，得8分； 团队人员数量较少、配备合理性较差、职责基本明确，基本满足项目需求，得6分； 团队人员数量少、配备不合理、职责不明确，基本满足项目需求，得3分；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具有完善的管理制度。 制度完善，科学全面、可行性强，得5分； 制度较为完善，可行性较强，得4分； 制度不完善，可行性一般，得3分； 内容存在重大缺陷、可行性差，得1分；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根据供应商针对本项目的服务承诺，评审得分。 服务承诺明确、合理且详细，具有高标准，有针对性和可操作性，得5分； 服务承诺明确、合理但不够详细，具有高标准，有针对性但可行性一般，得3分； 服务承诺粗略，可行性不足，得1分； 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供应商提供2022年1月1日至今（以合同签订时间为准）类似服务项目业绩合同，每提供一个计2.5分，最高计5分。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技术（服务）方案说明书</w:t>
            </w:r>
          </w:p>
          <w:p>
            <w:pPr>
              <w:pStyle w:val="null3"/>
            </w:pPr>
            <w:r>
              <w:rPr>
                <w:rFonts w:ascii="仿宋_GB2312" w:hAnsi="仿宋_GB2312" w:cs="仿宋_GB2312" w:eastAsia="仿宋_GB2312"/>
              </w:rPr>
              <w:t>其他资料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价格分采用低价优先法计算，即满足磋商文件要求且磋商报价最低的供应商的价格为磋商基准价，其价格分为满分。 其他供应商的价格分统一按照下列公式计算：磋商报价得分=磋商基准价/磋商报价*100%*10。 价格分计算：四舍五入，保留两位小数。</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费用明细表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详见附件：费用明细表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详见附件：技术（服务）方案说明书</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详见附件：合同条款响应偏离表</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