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版本号：ZY2025-ZB-CS105520250612001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2025年西安市养老服务人才职业技能竞赛养老护理员竞赛项目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ZY2025-ZB-CS1055</w:t>
      </w:r>
      <w:r>
        <w:br/>
      </w:r>
      <w:r>
        <w:br/>
      </w:r>
      <w:r>
        <w:br/>
      </w:r>
    </w:p>
    <w:p>
      <w:pPr>
        <w:pStyle w:val="null3"/>
        <w:jc w:val="center"/>
        <w:outlineLvl w:val="2"/>
      </w:pPr>
      <w:r>
        <w:rPr>
          <w:rFonts w:ascii="仿宋_GB2312" w:hAnsi="仿宋_GB2312" w:cs="仿宋_GB2312" w:eastAsia="仿宋_GB2312"/>
          <w:sz w:val="28"/>
          <w:b/>
        </w:rPr>
        <w:t>西安市老龄事业发展中心</w:t>
      </w:r>
    </w:p>
    <w:p>
      <w:pPr>
        <w:pStyle w:val="null3"/>
        <w:jc w:val="center"/>
        <w:outlineLvl w:val="2"/>
      </w:pPr>
      <w:r>
        <w:rPr>
          <w:rFonts w:ascii="仿宋_GB2312" w:hAnsi="仿宋_GB2312" w:cs="仿宋_GB2312" w:eastAsia="仿宋_GB2312"/>
          <w:sz w:val="28"/>
          <w:b/>
        </w:rPr>
        <w:t>陕西正翼项目管理咨询有限公司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陕西正翼项目管理咨询有限公司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西安市老龄事业发展中心</w:t>
      </w:r>
      <w:r>
        <w:rPr>
          <w:rFonts w:ascii="仿宋_GB2312" w:hAnsi="仿宋_GB2312" w:cs="仿宋_GB2312" w:eastAsia="仿宋_GB2312"/>
        </w:rPr>
        <w:t>委托，拟对</w:t>
      </w:r>
      <w:r>
        <w:rPr>
          <w:rFonts w:ascii="仿宋_GB2312" w:hAnsi="仿宋_GB2312" w:cs="仿宋_GB2312" w:eastAsia="仿宋_GB2312"/>
        </w:rPr>
        <w:t>2025年西安市养老服务人才职业技能竞赛养老护理员竞赛项目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ZY2025-ZB-CS1055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2025年西安市养老服务人才职业技能竞赛养老护理员竞赛项目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随着我市人口老龄化程度的不断加深，养老服务需求日益增长，对养老服务人才的专业素质和技能水平提出了更高要求。为大力弘扬工匠精神，厚植工匠文化，提升我市养老服务从业人员的综合素质和职业技能水平，推进养老服务好技能人才队伍建设，举办本次全市养老服务人才职业技能竞赛。通过竞赛，为养老服务人员搭建一个展示自我、切磋技艺的平台，激发他们学技术、练本领、比技能的热情，以赛促学、以赛促训，加快培养和选拔一批高素质、高技能的养老服务人才，为我市养老服务事业高质量发展提供坚实的人才支撑。</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1、营业执照等主体资格证明文件：提供有效合格的具有统一社会信用代码的营业执照，其他组织经营的须提供合法凭证，自然人提供身份证明文件。</w:t>
      </w:r>
    </w:p>
    <w:p>
      <w:pPr>
        <w:pStyle w:val="null3"/>
      </w:pPr>
      <w:r>
        <w:rPr>
          <w:rFonts w:ascii="仿宋_GB2312" w:hAnsi="仿宋_GB2312" w:cs="仿宋_GB2312" w:eastAsia="仿宋_GB2312"/>
        </w:rPr>
        <w:t>2、财务状况报告：提供2023年度或2024年度经审计的完整财务报告或磋商日期前三个月内其基本存款账户开户银行出具的资信证明。（如提供资信证明，须同时提供基本存款账户开户许可证或基本账户信息表）。</w:t>
      </w:r>
    </w:p>
    <w:p>
      <w:pPr>
        <w:pStyle w:val="null3"/>
      </w:pPr>
      <w:r>
        <w:rPr>
          <w:rFonts w:ascii="仿宋_GB2312" w:hAnsi="仿宋_GB2312" w:cs="仿宋_GB2312" w:eastAsia="仿宋_GB2312"/>
        </w:rPr>
        <w:t>3、税收缴纳证明：提供2025年1月至今已缴纳的至少一个月的纳税证明（时间以税款所属日期为准)，依法免税的单位应提供相关证明材料。</w:t>
      </w:r>
    </w:p>
    <w:p>
      <w:pPr>
        <w:pStyle w:val="null3"/>
      </w:pPr>
      <w:r>
        <w:rPr>
          <w:rFonts w:ascii="仿宋_GB2312" w:hAnsi="仿宋_GB2312" w:cs="仿宋_GB2312" w:eastAsia="仿宋_GB2312"/>
        </w:rPr>
        <w:t>4、社会保障资金缴纳证明：提供2025年1月至今已缴存的至少一个月的社会保障资金缴存单据或社保机构开具的社会保险参保缴费情况证明，依法不需要缴纳社会保障资金的单位应提供相关证明材料。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5、书面声明：提供具有履行本合同所必需的设备和专业技术能力的书面声明及承诺。</w:t>
      </w:r>
    </w:p>
    <w:p>
      <w:pPr>
        <w:pStyle w:val="null3"/>
      </w:pPr>
      <w:r>
        <w:rPr>
          <w:rFonts w:ascii="仿宋_GB2312" w:hAnsi="仿宋_GB2312" w:cs="仿宋_GB2312" w:eastAsia="仿宋_GB2312"/>
        </w:rPr>
        <w:t>6、无重大违法记录：提供参加本次政府采购活动前三年内在经营活动中没有重大违法记录的书面声明。</w:t>
      </w:r>
    </w:p>
    <w:p>
      <w:pPr>
        <w:pStyle w:val="null3"/>
      </w:pPr>
      <w:r>
        <w:rPr>
          <w:rFonts w:ascii="仿宋_GB2312" w:hAnsi="仿宋_GB2312" w:cs="仿宋_GB2312" w:eastAsia="仿宋_GB2312"/>
        </w:rPr>
        <w:t>7、信用记录：未被列入信用中国网站(www.creditchina.gov.cn)“失信被执行人、重大税收违法失信主体”；不处于中国政府采购网(www.ccgp.gov.cn)“政府采购严重违法失信行为信息记录”中的禁止参加政府采购活动期间。</w:t>
      </w:r>
    </w:p>
    <w:p>
      <w:pPr>
        <w:pStyle w:val="null3"/>
      </w:pPr>
      <w:r>
        <w:rPr>
          <w:rFonts w:ascii="仿宋_GB2312" w:hAnsi="仿宋_GB2312" w:cs="仿宋_GB2312" w:eastAsia="仿宋_GB2312"/>
        </w:rPr>
        <w:t>8、授权委托书：法定代表人授权委托书、被授权人身份证(法定代表人参加开标时,只需提供法定代表人身份证；被授权人参加开标时，须提供开标前三个月的基本养老保险参保缴费证明，该证明须体现“现缴费单位名称”及“验证二维码”，开标现场进行验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西安市老龄事业发展中心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雁塔区曲江大道70号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西安市老龄事业发展中心郭梦依</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029-89137683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陕西正翼项目管理咨询有限公司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陕西省西安市未央区西安经济技术开发区凤城一路6号利君V时代B座901、912室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宋勇进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029-86210100转808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基数，参照国家计委颁布《招标代理服务收费管理暂行办法》（计价格[2002]1980号）和国家发展和改革委员会办公厅颁发的《关于招标代理服务收费有关问题的通知》（发改办价格[2003]857号）文件规定执行；不足8000.00元按8000.00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西安市老龄事业发展中心</w:t>
      </w:r>
      <w:r>
        <w:rPr>
          <w:rFonts w:ascii="仿宋_GB2312" w:hAnsi="仿宋_GB2312" w:cs="仿宋_GB2312" w:eastAsia="仿宋_GB2312"/>
        </w:rPr>
        <w:t>和</w:t>
      </w:r>
      <w:r>
        <w:rPr>
          <w:rFonts w:ascii="仿宋_GB2312" w:hAnsi="仿宋_GB2312" w:cs="仿宋_GB2312" w:eastAsia="仿宋_GB2312"/>
        </w:rPr>
        <w:t>陕西正翼项目管理咨询有限公司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西安市老龄事业发展中心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陕西正翼项目管理咨询有限公司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西安市老龄事业发展中心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陕西正翼项目管理咨询有限公司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（1）招投标文件； （2）合同及附件文本</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陕西正翼项目管理咨询有限公司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陕西正翼项目管理咨询有限公司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陕西正翼项目管理咨询有限公司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联系人：宋勇进</w:t>
      </w:r>
    </w:p>
    <w:p>
      <w:pPr>
        <w:pStyle w:val="null3"/>
      </w:pPr>
      <w:r>
        <w:rPr>
          <w:rFonts w:ascii="仿宋_GB2312" w:hAnsi="仿宋_GB2312" w:cs="仿宋_GB2312" w:eastAsia="仿宋_GB2312"/>
        </w:rPr>
        <w:t>联系电话：029-86210100转808</w:t>
      </w:r>
    </w:p>
    <w:p>
      <w:pPr>
        <w:pStyle w:val="null3"/>
      </w:pPr>
      <w:r>
        <w:rPr>
          <w:rFonts w:ascii="仿宋_GB2312" w:hAnsi="仿宋_GB2312" w:cs="仿宋_GB2312" w:eastAsia="仿宋_GB2312"/>
        </w:rPr>
        <w:t>地址：陕西省西安市未央区西安经济技术开发区凤城一路6号利君V时代B座901、912室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随着我市人口老龄化程度的不断加深，养老服务需求日益增长，对养老服务人才的专业素质和技能水平提出了更高要求。为大力弘扬工匠精神，厚植工匠文化，提升我市养老服务从业人员的综合素质和职业技能水平，推进养老服务好技能人才队伍建设，举办本次全市养老服务人才职业技能竞赛。通过竞赛，为养老服务人员搭建一个展示自我、切磋技艺的平台，激发他们学技术、练本领、比技能的热情，以赛促学、以赛促训，加快培养和选拔一批高素质、高技能的养老服务人才，为我市养老服务事业高质量发展提供坚实的人才支撑。</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职业技能竞赛</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场</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标的名称：职业技能竞赛</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40"/>
            </w:pPr>
            <w:r>
              <w:rPr>
                <w:rFonts w:ascii="仿宋_GB2312" w:hAnsi="仿宋_GB2312" w:cs="仿宋_GB2312" w:eastAsia="仿宋_GB2312"/>
                <w:sz w:val="21"/>
                <w:color w:val="000000"/>
              </w:rPr>
              <w:t>一、项目概况</w:t>
            </w:r>
          </w:p>
          <w:p>
            <w:pPr>
              <w:pStyle w:val="null3"/>
              <w:ind w:firstLine="640"/>
            </w:pPr>
            <w:r>
              <w:rPr>
                <w:rFonts w:ascii="仿宋_GB2312" w:hAnsi="仿宋_GB2312" w:cs="仿宋_GB2312" w:eastAsia="仿宋_GB2312"/>
                <w:sz w:val="21"/>
              </w:rPr>
              <w:t>随着我市人口老龄化程度的不断加深，养老服务需求日益增长，对养老服务人才的专业素质和技能水平提出了更高要求。为大力弘扬工匠精神，厚植工匠文化，提升我市养老服务从业人员的综合素质和职业技能水平，推进养老服务好技能人才队伍建设，举办本次全市养老服务人才职业技能竞赛。通过竞赛，为养老服务人员搭建一个展示自我、切磋技艺的平台，激发他们学技术、练本领、比技能的热情，以赛促学、以赛促训，加快培养和选拔一批高素质、高技能的养老服务人才，为我市养老服务事业高质量发展提供坚实的人才支撑。</w:t>
            </w:r>
          </w:p>
          <w:p>
            <w:pPr>
              <w:pStyle w:val="null3"/>
              <w:ind w:firstLine="640"/>
            </w:pPr>
            <w:r>
              <w:rPr>
                <w:rFonts w:ascii="仿宋_GB2312" w:hAnsi="仿宋_GB2312" w:cs="仿宋_GB2312" w:eastAsia="仿宋_GB2312"/>
                <w:sz w:val="21"/>
              </w:rPr>
              <w:t>二、服务内容</w:t>
            </w:r>
          </w:p>
          <w:p>
            <w:pPr>
              <w:pStyle w:val="null3"/>
              <w:ind w:firstLine="640"/>
            </w:pPr>
            <w:r>
              <w:rPr>
                <w:rFonts w:ascii="仿宋_GB2312" w:hAnsi="仿宋_GB2312" w:cs="仿宋_GB2312" w:eastAsia="仿宋_GB2312"/>
                <w:sz w:val="21"/>
              </w:rPr>
              <w:t>（一）竞赛方面</w:t>
            </w:r>
          </w:p>
          <w:p>
            <w:pPr>
              <w:pStyle w:val="null3"/>
              <w:ind w:firstLine="640"/>
            </w:pPr>
            <w:r>
              <w:rPr>
                <w:rFonts w:ascii="仿宋_GB2312" w:hAnsi="仿宋_GB2312" w:cs="仿宋_GB2312" w:eastAsia="仿宋_GB2312"/>
                <w:sz w:val="21"/>
              </w:rPr>
              <w:t>供应商根据参赛人数安排适合养老服务人才职业技能竞赛理论和实操考试场地、开幕式及闭幕式场地，按照甲方要求为养老护理员实操竞赛搭建比赛场地，确保场地通风、采光良好，间距合理。</w:t>
            </w:r>
          </w:p>
          <w:p>
            <w:pPr>
              <w:pStyle w:val="null3"/>
              <w:ind w:firstLine="640"/>
            </w:pPr>
            <w:r>
              <w:rPr>
                <w:rFonts w:ascii="仿宋_GB2312" w:hAnsi="仿宋_GB2312" w:cs="仿宋_GB2312" w:eastAsia="仿宋_GB2312"/>
                <w:sz w:val="21"/>
              </w:rPr>
              <w:t>做好护理员理论和实操全过程录像，安装赛场录音录像设备，调试监控画面清晰度、拾音效果，确保考场全方位覆盖。搭建竞赛桁架背景板、道旗等，高标准做好会务组织、服务、保障工作。</w:t>
            </w:r>
          </w:p>
          <w:p>
            <w:pPr>
              <w:pStyle w:val="null3"/>
              <w:ind w:firstLine="640"/>
            </w:pPr>
            <w:r>
              <w:rPr>
                <w:rFonts w:ascii="仿宋_GB2312" w:hAnsi="仿宋_GB2312" w:cs="仿宋_GB2312" w:eastAsia="仿宋_GB2312"/>
                <w:sz w:val="21"/>
              </w:rPr>
              <w:t>根据甲方竞赛需求，购买养老护理员竞赛项目足够的竞赛物料，规划专门的物料存放区域，确保场地干燥、通风、安全。布置考场标识，包括考场指示牌、抽签号、座位号等。筹备考试相关内容，包括试卷设计、打印、聘请裁判人员等。准备竞赛所需的办公用品、宣传物料、各类工作牌（包含工作人员、裁判员、参赛选手、观摩人员）、颁奖奖牌及获奖证书等物资。</w:t>
            </w:r>
          </w:p>
          <w:p>
            <w:pPr>
              <w:pStyle w:val="null3"/>
              <w:ind w:firstLine="640"/>
            </w:pPr>
            <w:r>
              <w:rPr>
                <w:rFonts w:ascii="仿宋_GB2312" w:hAnsi="仿宋_GB2312" w:cs="仿宋_GB2312" w:eastAsia="仿宋_GB2312"/>
                <w:sz w:val="21"/>
              </w:rPr>
              <w:t>选择合适场地作为选手休息区，确保环境安静、整洁。提供充足的饮用水和一次性水杯。布置休息区标识，如温馨提示牌、区域指示牌等。设置医疗保障区域，配备急救药品、医疗器械。布置医疗保障区标识，如急救流程说明、医疗人员联系方式公示等。医疗保障团队全程值守，对参赛人员、工作人员和观摩人员进行健康监测。及时处理突发健康状况，如中暑、低血糖、外伤等。设置独立的评委工作区，配备办公桌椅、电脑、打印机、文件柜等办公设备，以及评分所需的资料和文具。</w:t>
            </w:r>
          </w:p>
          <w:p>
            <w:pPr>
              <w:pStyle w:val="null3"/>
              <w:ind w:firstLine="640"/>
            </w:pPr>
            <w:r>
              <w:rPr>
                <w:rFonts w:ascii="仿宋_GB2312" w:hAnsi="仿宋_GB2312" w:cs="仿宋_GB2312" w:eastAsia="仿宋_GB2312"/>
                <w:sz w:val="21"/>
              </w:rPr>
              <w:t>（二）食宿方面</w:t>
            </w:r>
          </w:p>
          <w:p>
            <w:pPr>
              <w:pStyle w:val="null3"/>
              <w:ind w:firstLine="640"/>
            </w:pPr>
            <w:r>
              <w:rPr>
                <w:rFonts w:ascii="仿宋_GB2312" w:hAnsi="仿宋_GB2312" w:cs="仿宋_GB2312" w:eastAsia="仿宋_GB2312"/>
                <w:sz w:val="21"/>
              </w:rPr>
              <w:t>考察并选定符合食品安全标准、具备竞赛供餐能力的餐饮供应商。根据养老服务人才职业技能竞赛参赛人员、评委和工作人员的数量提供餐食。选择距离竞赛场地较近、交通便利、环境安全舒适的酒店作为住宿地点。根据养老护理员竞赛选手数量及工作人员数量预订合适数量的房间，确保房间设施齐全、功能完好（如空调、热水、网络等正常运行）。</w:t>
            </w:r>
          </w:p>
          <w:p>
            <w:pPr>
              <w:pStyle w:val="null3"/>
              <w:ind w:firstLine="640"/>
            </w:pPr>
            <w:r>
              <w:rPr>
                <w:rFonts w:ascii="仿宋_GB2312" w:hAnsi="仿宋_GB2312" w:cs="仿宋_GB2312" w:eastAsia="仿宋_GB2312"/>
                <w:sz w:val="21"/>
              </w:rPr>
              <w:t>（三）服装方面</w:t>
            </w:r>
          </w:p>
          <w:p>
            <w:pPr>
              <w:pStyle w:val="null3"/>
              <w:ind w:firstLine="640"/>
            </w:pPr>
            <w:r>
              <w:rPr>
                <w:rFonts w:ascii="仿宋_GB2312" w:hAnsi="仿宋_GB2312" w:cs="仿宋_GB2312" w:eastAsia="仿宋_GB2312"/>
                <w:sz w:val="21"/>
              </w:rPr>
              <w:t>为养老护理员竞赛选手、工作人员、裁判员定做统一的竞赛服装，确保质量可靠、面料舒适。</w:t>
            </w:r>
          </w:p>
          <w:p>
            <w:pPr>
              <w:pStyle w:val="null3"/>
              <w:ind w:firstLine="640"/>
            </w:pPr>
            <w:r>
              <w:rPr>
                <w:rFonts w:ascii="仿宋_GB2312" w:hAnsi="仿宋_GB2312" w:cs="仿宋_GB2312" w:eastAsia="仿宋_GB2312"/>
                <w:sz w:val="21"/>
              </w:rPr>
              <w:t>（四）其他方面</w:t>
            </w:r>
          </w:p>
          <w:p>
            <w:pPr>
              <w:pStyle w:val="null3"/>
              <w:ind w:firstLine="640"/>
            </w:pPr>
            <w:r>
              <w:rPr>
                <w:rFonts w:ascii="仿宋_GB2312" w:hAnsi="仿宋_GB2312" w:cs="仿宋_GB2312" w:eastAsia="仿宋_GB2312"/>
                <w:sz w:val="21"/>
              </w:rPr>
              <w:t>为养老护理员竞赛项目参赛选手购买人身意外伤害保险。</w:t>
            </w:r>
          </w:p>
          <w:p>
            <w:pPr>
              <w:pStyle w:val="null3"/>
              <w:ind w:firstLine="640"/>
            </w:pPr>
            <w:r>
              <w:rPr>
                <w:rFonts w:ascii="仿宋_GB2312" w:hAnsi="仿宋_GB2312" w:cs="仿宋_GB2312" w:eastAsia="仿宋_GB2312"/>
                <w:sz w:val="21"/>
              </w:rPr>
              <w:t>邀请央媒、省媒、市媒对此次养老服务人才职业技能竞赛进行广泛宣传。</w:t>
            </w:r>
          </w:p>
          <w:p>
            <w:pPr>
              <w:pStyle w:val="null3"/>
              <w:ind w:firstLine="640"/>
            </w:pPr>
            <w:r>
              <w:rPr>
                <w:rFonts w:ascii="仿宋_GB2312" w:hAnsi="仿宋_GB2312" w:cs="仿宋_GB2312" w:eastAsia="仿宋_GB2312"/>
                <w:sz w:val="21"/>
              </w:rPr>
              <w:t>为此次大赛拍摄赛前宣传视频及竞赛过程视频。</w:t>
            </w:r>
          </w:p>
          <w:p>
            <w:pPr>
              <w:pStyle w:val="null3"/>
              <w:ind w:firstLine="640"/>
            </w:pPr>
            <w:r>
              <w:rPr>
                <w:rFonts w:ascii="仿宋_GB2312" w:hAnsi="仿宋_GB2312" w:cs="仿宋_GB2312" w:eastAsia="仿宋_GB2312"/>
                <w:sz w:val="21"/>
              </w:rPr>
              <w:t>根据本次竞赛结果选拔市级竞赛优秀选手参加集训，集训期内为老师和选手提供实训场地、耗材及食宿及其他相关保障。</w:t>
            </w:r>
          </w:p>
          <w:p>
            <w:pPr>
              <w:pStyle w:val="null3"/>
              <w:ind w:firstLine="640"/>
            </w:pPr>
            <w:r>
              <w:rPr>
                <w:rFonts w:ascii="仿宋_GB2312" w:hAnsi="仿宋_GB2312" w:cs="仿宋_GB2312" w:eastAsia="仿宋_GB2312"/>
                <w:sz w:val="21"/>
              </w:rPr>
              <w:t>三、技术要求</w:t>
            </w:r>
          </w:p>
          <w:p>
            <w:pPr>
              <w:pStyle w:val="null3"/>
              <w:ind w:firstLine="640"/>
              <w:jc w:val="both"/>
            </w:pPr>
            <w:r>
              <w:rPr>
                <w:rFonts w:ascii="仿宋_GB2312" w:hAnsi="仿宋_GB2312" w:cs="仿宋_GB2312" w:eastAsia="仿宋_GB2312"/>
                <w:sz w:val="21"/>
              </w:rPr>
              <w:t>供应商应当具备下列条件：</w:t>
            </w:r>
          </w:p>
          <w:p>
            <w:pPr>
              <w:pStyle w:val="null3"/>
              <w:ind w:firstLine="640"/>
              <w:jc w:val="both"/>
            </w:pPr>
            <w:r>
              <w:rPr>
                <w:rFonts w:ascii="仿宋_GB2312" w:hAnsi="仿宋_GB2312" w:cs="仿宋_GB2312" w:eastAsia="仿宋_GB2312"/>
                <w:sz w:val="21"/>
              </w:rPr>
              <w:t>（一）具有独立承担民事责任的能力；</w:t>
            </w:r>
          </w:p>
          <w:p>
            <w:pPr>
              <w:pStyle w:val="null3"/>
              <w:ind w:firstLine="640"/>
              <w:jc w:val="both"/>
            </w:pPr>
            <w:r>
              <w:rPr>
                <w:rFonts w:ascii="仿宋_GB2312" w:hAnsi="仿宋_GB2312" w:cs="仿宋_GB2312" w:eastAsia="仿宋_GB2312"/>
                <w:sz w:val="21"/>
              </w:rPr>
              <w:t>（二）具有良好的商业信誉和健全的财务会计制度；</w:t>
            </w:r>
          </w:p>
          <w:p>
            <w:pPr>
              <w:pStyle w:val="null3"/>
              <w:ind w:firstLine="640"/>
              <w:jc w:val="both"/>
            </w:pPr>
            <w:r>
              <w:rPr>
                <w:rFonts w:ascii="仿宋_GB2312" w:hAnsi="仿宋_GB2312" w:cs="仿宋_GB2312" w:eastAsia="仿宋_GB2312"/>
                <w:sz w:val="21"/>
              </w:rPr>
              <w:t>（三）具有履行合同所必需的设备和专业技术能力；</w:t>
            </w:r>
          </w:p>
          <w:p>
            <w:pPr>
              <w:pStyle w:val="null3"/>
              <w:ind w:firstLine="640"/>
              <w:jc w:val="both"/>
            </w:pPr>
            <w:r>
              <w:rPr>
                <w:rFonts w:ascii="仿宋_GB2312" w:hAnsi="仿宋_GB2312" w:cs="仿宋_GB2312" w:eastAsia="仿宋_GB2312"/>
                <w:sz w:val="21"/>
              </w:rPr>
              <w:t>（四）有依法缴纳税收和社会保障资金的良好记录；</w:t>
            </w:r>
          </w:p>
          <w:p>
            <w:pPr>
              <w:pStyle w:val="null3"/>
              <w:ind w:firstLine="640"/>
              <w:jc w:val="both"/>
            </w:pPr>
            <w:r>
              <w:rPr>
                <w:rFonts w:ascii="仿宋_GB2312" w:hAnsi="仿宋_GB2312" w:cs="仿宋_GB2312" w:eastAsia="仿宋_GB2312"/>
                <w:sz w:val="21"/>
              </w:rPr>
              <w:t>（五）参加政府采购活动前三年内，在经营活动中没有重大违法记录；</w:t>
            </w:r>
          </w:p>
          <w:p>
            <w:pPr>
              <w:pStyle w:val="null3"/>
              <w:ind w:firstLine="640"/>
              <w:jc w:val="both"/>
            </w:pPr>
            <w:r>
              <w:rPr>
                <w:rFonts w:ascii="仿宋_GB2312" w:hAnsi="仿宋_GB2312" w:cs="仿宋_GB2312" w:eastAsia="仿宋_GB2312"/>
                <w:sz w:val="21"/>
              </w:rPr>
              <w:t>（六）法律、行政法规规定的其他条件。</w:t>
            </w:r>
          </w:p>
          <w:p>
            <w:pPr>
              <w:pStyle w:val="null3"/>
              <w:ind w:firstLine="640"/>
              <w:jc w:val="both"/>
            </w:pPr>
            <w:r>
              <w:rPr>
                <w:rFonts w:ascii="仿宋_GB2312" w:hAnsi="仿宋_GB2312" w:cs="仿宋_GB2312" w:eastAsia="仿宋_GB2312"/>
                <w:sz w:val="21"/>
              </w:rPr>
              <w:t>四、服务要求</w:t>
            </w:r>
          </w:p>
          <w:p>
            <w:pPr>
              <w:pStyle w:val="null3"/>
              <w:ind w:firstLine="640"/>
            </w:pPr>
            <w:r>
              <w:rPr>
                <w:rFonts w:ascii="仿宋_GB2312" w:hAnsi="仿宋_GB2312" w:cs="仿宋_GB2312" w:eastAsia="仿宋_GB2312"/>
                <w:sz w:val="21"/>
              </w:rPr>
              <w:t>（一）人员配备</w:t>
            </w:r>
          </w:p>
          <w:p>
            <w:pPr>
              <w:pStyle w:val="null3"/>
              <w:ind w:firstLine="640"/>
              <w:jc w:val="both"/>
            </w:pPr>
            <w:r>
              <w:rPr>
                <w:rFonts w:ascii="仿宋_GB2312" w:hAnsi="仿宋_GB2312" w:cs="仿宋_GB2312" w:eastAsia="仿宋_GB2312"/>
                <w:sz w:val="21"/>
              </w:rPr>
              <w:t>配备竞赛组织经验的项目总负责人，负责统筹协调竞赛全流程工作，制定竞赛总体方案与进度计划，确保竞赛按既定目标顺利推进。</w:t>
            </w:r>
          </w:p>
          <w:p>
            <w:pPr>
              <w:pStyle w:val="null3"/>
              <w:ind w:firstLine="640"/>
              <w:jc w:val="both"/>
            </w:pPr>
            <w:r>
              <w:rPr>
                <w:rFonts w:ascii="仿宋_GB2312" w:hAnsi="仿宋_GB2312" w:cs="仿宋_GB2312" w:eastAsia="仿宋_GB2312"/>
                <w:sz w:val="21"/>
              </w:rPr>
              <w:t>配备竞赛保障人员，包括志愿者、现场协调人员、后勤保障人员、设备维护人员等，人数根据竞赛规模确定，要求熟悉竞赛流程，能够高效完成现场布置、设备调试、人员引导、物资供应等工作，保障竞赛现场秩序与各项环节顺利衔接。</w:t>
            </w:r>
          </w:p>
          <w:p>
            <w:pPr>
              <w:pStyle w:val="null3"/>
              <w:ind w:firstLine="640"/>
              <w:jc w:val="both"/>
            </w:pPr>
            <w:r>
              <w:rPr>
                <w:rFonts w:ascii="仿宋_GB2312" w:hAnsi="仿宋_GB2312" w:cs="仿宋_GB2312" w:eastAsia="仿宋_GB2312"/>
                <w:sz w:val="21"/>
              </w:rPr>
              <w:t>配备医疗保障团队，需具备急救资质与丰富的现场急救经验，竞赛期间全程待命，随时应对参赛人员可能出现的突发健康状况，保障人员生命安全。</w:t>
            </w:r>
          </w:p>
          <w:p>
            <w:pPr>
              <w:pStyle w:val="null3"/>
              <w:ind w:firstLine="640"/>
            </w:pPr>
            <w:r>
              <w:rPr>
                <w:rFonts w:ascii="仿宋_GB2312" w:hAnsi="仿宋_GB2312" w:cs="仿宋_GB2312" w:eastAsia="仿宋_GB2312"/>
                <w:sz w:val="21"/>
              </w:rPr>
              <w:t>（二）设备配备</w:t>
            </w:r>
          </w:p>
          <w:p>
            <w:pPr>
              <w:pStyle w:val="null3"/>
              <w:ind w:firstLine="640"/>
              <w:jc w:val="both"/>
            </w:pPr>
            <w:r>
              <w:rPr>
                <w:rFonts w:ascii="仿宋_GB2312" w:hAnsi="仿宋_GB2312" w:cs="仿宋_GB2312" w:eastAsia="仿宋_GB2312"/>
                <w:sz w:val="21"/>
              </w:rPr>
              <w:t>1.竞赛设备。配备考试监控设备，包括高清摄像头、拾音器等，实现考场全方位、无死角监控，确保考试过程公平、公正、公开。按照养老护理实操竞赛项目需求，提供完整的模拟养老服务场景设备及耗材，设备数量应满足多组选手同时竞赛的需求，且设备质量可靠、性能良好，符合国家相关标准与行业规范。</w:t>
            </w:r>
          </w:p>
          <w:p>
            <w:pPr>
              <w:pStyle w:val="null3"/>
              <w:ind w:firstLine="640"/>
              <w:jc w:val="both"/>
            </w:pPr>
            <w:r>
              <w:rPr>
                <w:rFonts w:ascii="仿宋_GB2312" w:hAnsi="仿宋_GB2312" w:cs="仿宋_GB2312" w:eastAsia="仿宋_GB2312"/>
                <w:sz w:val="21"/>
              </w:rPr>
              <w:t>2.其他设备。提供竞赛所需的音响、灯光、多媒体投影等舞台设备，确保竞赛开幕式、闭幕式进行，设备音质清晰、灯光效果良好、投影画面清晰稳定。</w:t>
            </w:r>
          </w:p>
          <w:p>
            <w:pPr>
              <w:pStyle w:val="null3"/>
              <w:ind w:firstLine="640"/>
              <w:jc w:val="both"/>
            </w:pPr>
            <w:r>
              <w:rPr>
                <w:rFonts w:ascii="仿宋_GB2312" w:hAnsi="仿宋_GB2312" w:cs="仿宋_GB2312" w:eastAsia="仿宋_GB2312"/>
                <w:sz w:val="21"/>
              </w:rPr>
              <w:t>配备充足的办公设备，如打印机、复印机、办公电脑等，以及竞赛所需的文具、文件资料袋等办公用品，满足竞赛组织过程中的文件处理、资料打印等工作需求。</w:t>
            </w:r>
          </w:p>
          <w:p>
            <w:pPr>
              <w:pStyle w:val="null3"/>
              <w:ind w:firstLine="640"/>
              <w:jc w:val="both"/>
            </w:pPr>
            <w:r>
              <w:rPr>
                <w:rFonts w:ascii="仿宋_GB2312" w:hAnsi="仿宋_GB2312" w:cs="仿宋_GB2312" w:eastAsia="仿宋_GB2312"/>
                <w:sz w:val="21"/>
              </w:rPr>
              <w:t>五、商务要求</w:t>
            </w:r>
          </w:p>
          <w:p>
            <w:pPr>
              <w:pStyle w:val="null3"/>
              <w:ind w:firstLine="640"/>
            </w:pPr>
            <w:r>
              <w:rPr>
                <w:rFonts w:ascii="仿宋_GB2312" w:hAnsi="仿宋_GB2312" w:cs="仿宋_GB2312" w:eastAsia="仿宋_GB2312"/>
                <w:sz w:val="21"/>
              </w:rPr>
              <w:t>（一）服务期限</w:t>
            </w:r>
          </w:p>
          <w:p>
            <w:pPr>
              <w:pStyle w:val="null3"/>
              <w:ind w:firstLine="640"/>
            </w:pPr>
            <w:r>
              <w:rPr>
                <w:rFonts w:ascii="仿宋_GB2312" w:hAnsi="仿宋_GB2312" w:cs="仿宋_GB2312" w:eastAsia="仿宋_GB2312"/>
                <w:sz w:val="21"/>
              </w:rPr>
              <w:t>自合同签订之日起5个月内完成。</w:t>
            </w:r>
          </w:p>
          <w:p>
            <w:pPr>
              <w:pStyle w:val="null3"/>
              <w:ind w:firstLine="640"/>
            </w:pPr>
            <w:r>
              <w:rPr>
                <w:rFonts w:ascii="仿宋_GB2312" w:hAnsi="仿宋_GB2312" w:cs="仿宋_GB2312" w:eastAsia="仿宋_GB2312"/>
                <w:sz w:val="21"/>
              </w:rPr>
              <w:t>（二）款项结算</w:t>
            </w:r>
          </w:p>
          <w:p>
            <w:pPr>
              <w:pStyle w:val="null3"/>
              <w:ind w:firstLine="640"/>
              <w:jc w:val="both"/>
            </w:pPr>
            <w:r>
              <w:rPr>
                <w:rFonts w:ascii="仿宋_GB2312" w:hAnsi="仿宋_GB2312" w:cs="仿宋_GB2312" w:eastAsia="仿宋_GB2312"/>
                <w:sz w:val="21"/>
              </w:rPr>
              <w:t>1.合同签订后向甲方提供大赛实施方案，达到付款条件起15日内，支付合同总金额的70%。</w:t>
            </w:r>
          </w:p>
          <w:p>
            <w:pPr>
              <w:pStyle w:val="null3"/>
              <w:ind w:firstLine="640"/>
              <w:jc w:val="both"/>
            </w:pPr>
            <w:r>
              <w:rPr>
                <w:rFonts w:ascii="仿宋_GB2312" w:hAnsi="仿宋_GB2312" w:cs="仿宋_GB2312" w:eastAsia="仿宋_GB2312"/>
                <w:sz w:val="21"/>
              </w:rPr>
              <w:t>2.乙方圆满完成大赛任务，经甲方书面验收合格后，达到付款条件起15日内，支付合同总金额的30%。</w:t>
            </w:r>
          </w:p>
          <w:p>
            <w:pPr>
              <w:pStyle w:val="null3"/>
              <w:ind w:firstLine="640"/>
              <w:jc w:val="both"/>
            </w:pPr>
            <w:r>
              <w:rPr>
                <w:rFonts w:ascii="仿宋_GB2312" w:hAnsi="仿宋_GB2312" w:cs="仿宋_GB2312" w:eastAsia="仿宋_GB2312"/>
                <w:sz w:val="21"/>
              </w:rPr>
              <w:t>六、其他（如有要求，请写明）</w:t>
            </w:r>
          </w:p>
          <w:p>
            <w:pPr>
              <w:pStyle w:val="null3"/>
              <w:ind w:firstLine="640"/>
            </w:pPr>
            <w:r>
              <w:rPr>
                <w:rFonts w:ascii="仿宋_GB2312" w:hAnsi="仿宋_GB2312" w:cs="仿宋_GB2312" w:eastAsia="仿宋_GB2312"/>
                <w:sz w:val="21"/>
              </w:rPr>
              <w:t>（一）进度要求</w:t>
            </w:r>
          </w:p>
          <w:p>
            <w:pPr>
              <w:pStyle w:val="null3"/>
              <w:ind w:firstLine="640"/>
              <w:jc w:val="both"/>
            </w:pPr>
            <w:r>
              <w:rPr>
                <w:rFonts w:ascii="仿宋_GB2312" w:hAnsi="仿宋_GB2312" w:cs="仿宋_GB2312" w:eastAsia="仿宋_GB2312"/>
                <w:sz w:val="21"/>
              </w:rPr>
              <w:t>1.合同签订后需向甲方提供大赛实施方案；</w:t>
            </w:r>
          </w:p>
          <w:p>
            <w:pPr>
              <w:pStyle w:val="null3"/>
              <w:ind w:firstLine="640"/>
              <w:jc w:val="both"/>
            </w:pPr>
            <w:r>
              <w:rPr>
                <w:rFonts w:ascii="仿宋_GB2312" w:hAnsi="仿宋_GB2312" w:cs="仿宋_GB2312" w:eastAsia="仿宋_GB2312"/>
                <w:sz w:val="21"/>
              </w:rPr>
              <w:t>2.按照大赛时间要求圆满完成搭建场景、赛事等具体工作。</w:t>
            </w:r>
          </w:p>
          <w:p>
            <w:pPr>
              <w:pStyle w:val="null3"/>
              <w:ind w:firstLine="640"/>
            </w:pPr>
            <w:r>
              <w:rPr>
                <w:rFonts w:ascii="仿宋_GB2312" w:hAnsi="仿宋_GB2312" w:cs="仿宋_GB2312" w:eastAsia="仿宋_GB2312"/>
                <w:sz w:val="21"/>
              </w:rPr>
              <w:t>（二）质量验收标准或规范</w:t>
            </w:r>
          </w:p>
          <w:p>
            <w:pPr>
              <w:pStyle w:val="null3"/>
              <w:ind w:firstLine="640"/>
            </w:pPr>
            <w:r>
              <w:rPr>
                <w:rFonts w:ascii="仿宋_GB2312" w:hAnsi="仿宋_GB2312" w:cs="仿宋_GB2312" w:eastAsia="仿宋_GB2312"/>
                <w:sz w:val="21"/>
              </w:rPr>
              <w:t>按照甲方要求圆满完成此次竞赛。</w:t>
            </w:r>
          </w:p>
          <w:p>
            <w:pPr>
              <w:pStyle w:val="null3"/>
              <w:ind w:firstLine="640"/>
            </w:pPr>
            <w:r>
              <w:rPr>
                <w:rFonts w:ascii="仿宋_GB2312" w:hAnsi="仿宋_GB2312" w:cs="仿宋_GB2312" w:eastAsia="仿宋_GB2312"/>
                <w:sz w:val="21"/>
              </w:rPr>
              <w:t>（三）保密要求</w:t>
            </w:r>
          </w:p>
          <w:p>
            <w:pPr>
              <w:pStyle w:val="null3"/>
              <w:ind w:firstLine="640"/>
            </w:pPr>
            <w:r>
              <w:rPr>
                <w:rFonts w:ascii="仿宋_GB2312" w:hAnsi="仿宋_GB2312" w:cs="仿宋_GB2312" w:eastAsia="仿宋_GB2312"/>
                <w:sz w:val="21"/>
              </w:rPr>
              <w:t>因大赛组织性质，服务提供方应负责所有资料的保密，未经甲方书面认可，不得向任何人以任何方式提供任何和甲方有关的资料。</w:t>
            </w:r>
          </w:p>
          <w:p>
            <w:pPr>
              <w:pStyle w:val="null3"/>
              <w:ind w:firstLine="640"/>
            </w:pPr>
            <w:r>
              <w:rPr>
                <w:rFonts w:ascii="仿宋_GB2312" w:hAnsi="仿宋_GB2312" w:cs="仿宋_GB2312" w:eastAsia="仿宋_GB2312"/>
                <w:sz w:val="21"/>
              </w:rPr>
              <w:t>（四）验收方案</w:t>
            </w:r>
          </w:p>
          <w:p>
            <w:pPr>
              <w:pStyle w:val="null3"/>
            </w:pPr>
            <w:r>
              <w:rPr>
                <w:rFonts w:ascii="仿宋_GB2312" w:hAnsi="仿宋_GB2312" w:cs="仿宋_GB2312" w:eastAsia="仿宋_GB2312"/>
                <w:sz w:val="21"/>
              </w:rPr>
              <w:t>1.由甲方对乙方提供的竞赛服务全过程开展验收。</w:t>
            </w:r>
          </w:p>
          <w:p>
            <w:pPr>
              <w:pStyle w:val="null3"/>
            </w:pPr>
            <w:r>
              <w:rPr>
                <w:rFonts w:ascii="仿宋_GB2312" w:hAnsi="仿宋_GB2312" w:cs="仿宋_GB2312" w:eastAsia="仿宋_GB2312"/>
                <w:sz w:val="21"/>
              </w:rPr>
              <w:t>2.乙方向甲方提交服务实施过程中的所有资料。</w:t>
            </w:r>
          </w:p>
          <w:p>
            <w:pPr>
              <w:pStyle w:val="null3"/>
            </w:pPr>
            <w:r>
              <w:rPr>
                <w:rFonts w:ascii="仿宋_GB2312" w:hAnsi="仿宋_GB2312" w:cs="仿宋_GB2312" w:eastAsia="仿宋_GB2312"/>
                <w:sz w:val="21"/>
              </w:rPr>
              <w:t>3.验收依据</w:t>
            </w:r>
          </w:p>
          <w:p>
            <w:pPr>
              <w:pStyle w:val="null3"/>
              <w:ind w:firstLine="640"/>
            </w:pPr>
            <w:r>
              <w:rPr>
                <w:rFonts w:ascii="仿宋_GB2312" w:hAnsi="仿宋_GB2312" w:cs="仿宋_GB2312" w:eastAsia="仿宋_GB2312"/>
                <w:sz w:val="21"/>
              </w:rPr>
              <w:t>（1）招投标文件；</w:t>
            </w:r>
          </w:p>
          <w:p>
            <w:pPr>
              <w:pStyle w:val="null3"/>
              <w:ind w:firstLine="640"/>
            </w:pPr>
            <w:r>
              <w:rPr>
                <w:rFonts w:ascii="仿宋_GB2312" w:hAnsi="仿宋_GB2312" w:cs="仿宋_GB2312" w:eastAsia="仿宋_GB2312"/>
                <w:sz w:val="21"/>
              </w:rPr>
              <w:t>（2）合同及附件文本。</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满足磋商文件及采购人要求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满足磋商文件及采购人要求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根据采购人、磋商文件要求及合同约定执行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自合同签订之日起5个月内完成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（一）质量验收标准或规范： 按照甲方要求圆满完成此次竞赛。 （二）验收方案 1、由甲方对乙方提供的竞赛服务全过程开展验收。 2、乙方向甲方提交服务实施过程中的所有资料。 3、验收依据 （1）招投标文件； （2）合同及附件文本；</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合同签订后向甲方提供大赛实施方案</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乙方圆满完成大赛任务，经甲方书面验收合格后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因违反或终止合同而引起的对对方损失和损害的赔偿，双方应当协商解决，如未能达成一致，可提交主管部门协调，如仍未能达成一致时，向采购人所在地人民法院起诉。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3.4.1根据采购文件要求及合同约定执行；事业单位参与磋商时，可不提供财务状况报告、社会保障资金和税收缴纳证明；依法免税或不需要缴纳社会保障资金的供应商，应提供相应证明文件，证明其依法免税或不需要缴纳社会保障资金；自然人（仅限中国公民）参与投标时，只须提供身份证复印件； 3.4.2（响应文件格式-标的清单）本项目服务范围：2025年西安市养老服务人才职业技能竞赛养老护理员竞赛项目；服务要求：符合采购文件有关技术、商务要求；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提供2023年度或2024年度经审计的完整财务报告或磋商日期前三个月内其基本存款账户开户银行出具的资信证明。（如提供资信证明，须同时提供基本存款账户开户许可证或基本账户信息表）</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提供有效合格的具有统一社会信用代码的营业执照，其他组织经营的须提供合法凭证，自然人提供身份证明文件。</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提供2023年度或2024年度经审计的完整财务报告或磋商日期前三个月内其基本存款账户开户银行出具的资信证明。（如提供资信证明，须同时提供基本存款账户开户许可证或基本账户信息表）。</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提供2025年1月至今已缴纳的至少一个月的纳税证明（时间以税款所属日期为准)，依法免税的单位应提供相关证明材料。</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提供具有履行本合同所必需的设备和专业技术能力的书面声明及承诺。</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未被列入信用中国网站(www.creditchina.gov.cn)“失信被执行人、重大税收违法失信主体”；不处于中国政府采购网(www.ccgp.gov.cn)“政府采购严重违法失信行为信息记录”中的禁止参加政府采购活动期间。</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授权委托书、被授权人身份证(法定代表人参加开标时,只需提供法定代表人身份证；被授权人参加开标时，须提供开标前三个月的基本养老保险参保缴费证明，该证明须体现“现缴费单位名称”及“验证二维码”，开标现场进行验证。</w:t>
            </w:r>
          </w:p>
        </w:tc>
        <w:tc>
          <w:tcPr>
            <w:tcW w:type="dxa" w:w="1661"/>
          </w:tcPr>
          <w:p>
            <w:pPr>
              <w:pStyle w:val="null3"/>
            </w:pPr>
            <w:r>
              <w:rPr>
                <w:rFonts w:ascii="仿宋_GB2312" w:hAnsi="仿宋_GB2312" w:cs="仿宋_GB2312" w:eastAsia="仿宋_GB2312"/>
              </w:rPr>
              <w:t>其他附件.docx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磋商响应文件完整性</w:t>
            </w:r>
          </w:p>
        </w:tc>
        <w:tc>
          <w:tcPr>
            <w:tcW w:type="dxa" w:w="3322"/>
          </w:tcPr>
          <w:p>
            <w:pPr>
              <w:pStyle w:val="null3"/>
            </w:pPr>
            <w:r>
              <w:rPr>
                <w:rFonts w:ascii="仿宋_GB2312" w:hAnsi="仿宋_GB2312" w:cs="仿宋_GB2312" w:eastAsia="仿宋_GB2312"/>
              </w:rPr>
              <w:t>磋商响应文件构成无重大缺项（详细评审除外），按照磋商文件要求的格式编写磋商响应文件</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磋商响应文件报价</w:t>
            </w:r>
          </w:p>
        </w:tc>
        <w:tc>
          <w:tcPr>
            <w:tcW w:type="dxa" w:w="3322"/>
          </w:tcPr>
          <w:p>
            <w:pPr>
              <w:pStyle w:val="null3"/>
            </w:pPr>
            <w:r>
              <w:rPr>
                <w:rFonts w:ascii="仿宋_GB2312" w:hAnsi="仿宋_GB2312" w:cs="仿宋_GB2312" w:eastAsia="仿宋_GB2312"/>
              </w:rPr>
              <w:t>报价唯一，且没有低于成本价或高于采购预算的</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磋商响应文件有效性</w:t>
            </w:r>
          </w:p>
        </w:tc>
        <w:tc>
          <w:tcPr>
            <w:tcW w:type="dxa" w:w="3322"/>
          </w:tcPr>
          <w:p>
            <w:pPr>
              <w:pStyle w:val="null3"/>
            </w:pPr>
            <w:r>
              <w:rPr>
                <w:rFonts w:ascii="仿宋_GB2312" w:hAnsi="仿宋_GB2312" w:cs="仿宋_GB2312" w:eastAsia="仿宋_GB2312"/>
              </w:rPr>
              <w:t>磋商响应文件的签署、盖章符合磋商文件要求，供应商递交的磋商响应文件与本项目名称一致</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磋商有效期、授权有效期</w:t>
            </w:r>
          </w:p>
        </w:tc>
        <w:tc>
          <w:tcPr>
            <w:tcW w:type="dxa" w:w="3322"/>
          </w:tcPr>
          <w:p>
            <w:pPr>
              <w:pStyle w:val="null3"/>
            </w:pPr>
            <w:r>
              <w:rPr>
                <w:rFonts w:ascii="仿宋_GB2312" w:hAnsi="仿宋_GB2312" w:cs="仿宋_GB2312" w:eastAsia="仿宋_GB2312"/>
              </w:rPr>
              <w:t>文件递交截止之日起90日历日</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服务期限响应磋商文件要求</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其他附件.docx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项目的理解</w:t>
            </w:r>
          </w:p>
        </w:tc>
        <w:tc>
          <w:tcPr>
            <w:tcW w:type="dxa" w:w="2492"/>
          </w:tcPr>
          <w:p>
            <w:pPr>
              <w:pStyle w:val="null3"/>
            </w:pPr>
            <w:r>
              <w:rPr>
                <w:rFonts w:ascii="仿宋_GB2312" w:hAnsi="仿宋_GB2312" w:cs="仿宋_GB2312" w:eastAsia="仿宋_GB2312"/>
              </w:rPr>
              <w:t>区间分值0-9分。 评审标准细化内容： 包括但不限于①项目背景②服务内容③服务要求 评审标准： 1、完整性：内容详细全面，对本项目了解透彻； 2、可实施性：切合本项目实际情况，描述贴合实际和本次采购要求； 3、针对性：对项目的理解要有足够的针对性，需要紧扣项目实际情况。 评审标准量化内容： （1）各部分内容全面详细、阐述条理清晰详尽、符合本项目采购需求得9分； （2）评审标准细化内容每缺少一项扣3分； （3）评审标准细化内容内容缺失不得分，每有一处内容存在缺陷或不足的扣1分，该项分值扣完为止。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或内容水平低下、存在漏洞。</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区间分值：0-24分。 评审标准细化内容： 包括但不限于①竞赛组织方案②场地选择、搭建及场地区域划分方案③服装定制方案④食宿安排方案⑤宣传方案⑥保密方案等内容； 评审标准： 1、完整性：方案详细全面，符合项目采购要求； 2、可实施性：切合本项目实际情况，方案全面、实施步骤清晰、合理； 3、针对性：方案能够紧扣项目实际情况，内容科学合理； 评审标准量化内容： （1）各部分内容全面详细、阐述条理清晰详尽、符合本项目采购需求得24分； （2）评审标准细化内容每缺少一项内容扣4分； （3）评审标准细化内容缺失则不得分，每有一处内容存在缺陷或不足的扣1分，该项分值扣完为止。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项目进度安排</w:t>
            </w:r>
          </w:p>
        </w:tc>
        <w:tc>
          <w:tcPr>
            <w:tcW w:type="dxa" w:w="2492"/>
          </w:tcPr>
          <w:p>
            <w:pPr>
              <w:pStyle w:val="null3"/>
            </w:pPr>
            <w:r>
              <w:rPr>
                <w:rFonts w:ascii="仿宋_GB2312" w:hAnsi="仿宋_GB2312" w:cs="仿宋_GB2312" w:eastAsia="仿宋_GB2312"/>
              </w:rPr>
              <w:t>区间分值0-6分。 评审标准细化内容： 包括但不限于供应商针对本项目提出①进度计划安排②进度计划保证措施 评审标准： 1、完整性：计划详细全面，符合项目采购要求； 2、可实施性：切合本项目实际情况，方案全面、实施步骤清晰、合理； 3、针对性：方案能够紧扣项目实际情况，内容科学合理； 评审标准量化内容： （1）评审标准细化内容全面详细、阐述条理清晰详尽、符合本项目采购需求得6分； （2）评审标准细化内容每缺少一项内容扣3分； （3）评审标准细化内容缺失则不得分，每有一处内容存在缺陷或不足的扣1分，该项分值扣完为止。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材料设备投入计划</w:t>
            </w:r>
          </w:p>
        </w:tc>
        <w:tc>
          <w:tcPr>
            <w:tcW w:type="dxa" w:w="2492"/>
          </w:tcPr>
          <w:p>
            <w:pPr>
              <w:pStyle w:val="null3"/>
            </w:pPr>
            <w:r>
              <w:rPr>
                <w:rFonts w:ascii="仿宋_GB2312" w:hAnsi="仿宋_GB2312" w:cs="仿宋_GB2312" w:eastAsia="仿宋_GB2312"/>
              </w:rPr>
              <w:t>区间分值0-5分。 评审标准细化内容： 包括但不限于①相关设备投入计划安排②备品备件计划保证措施等 评审标准： 1、完整性：拟投入设备详细全面，符合项目采购要求； 2、可实施性：切合本项目实际情况，拟投入设备合理、可行； 3、针对性：能够紧扣项目实际情况，拟投入设备科学、合理； 评审标准量化内容： （1）评审标准细化内容全面详细、阐述条理清晰详尽、符合本项目采购需求得5分； （2）评审标准细化内容每缺少一项内容扣2.5分； （3）评审标准细化内容缺失则不得分，每有一处内容存在缺陷或不足的扣1分，该项分值扣完为止。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项目团队主要人员配置情况</w:t>
            </w:r>
          </w:p>
        </w:tc>
        <w:tc>
          <w:tcPr>
            <w:tcW w:type="dxa" w:w="2492"/>
          </w:tcPr>
          <w:p>
            <w:pPr>
              <w:pStyle w:val="null3"/>
            </w:pPr>
            <w:r>
              <w:rPr>
                <w:rFonts w:ascii="仿宋_GB2312" w:hAnsi="仿宋_GB2312" w:cs="仿宋_GB2312" w:eastAsia="仿宋_GB2312"/>
              </w:rPr>
              <w:t>区间分值：0-15分。 评审标准细化及量化内容： 1、项目负责人：具有类似业绩 计5分； 注：项目负责人类似业绩需提供能体现其作为项目负责人实施项目的资料复印件；包括但不限于项目实施合同（不提供或提供不全，本项不得分）。 2、项目组成员：依据项目需求进行项目组人员配备，各岗位成员搭配完善、合理，人员配备充足，满足项目需求；每提供1个得1分；本项满分10分。 注：提供项目组成员相关资料复印件；包括但不限于身份证、劳动合同（不提供或提供不全，本项不得分）；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服务质量保障</w:t>
            </w:r>
          </w:p>
        </w:tc>
        <w:tc>
          <w:tcPr>
            <w:tcW w:type="dxa" w:w="2492"/>
          </w:tcPr>
          <w:p>
            <w:pPr>
              <w:pStyle w:val="null3"/>
            </w:pPr>
            <w:r>
              <w:rPr>
                <w:rFonts w:ascii="仿宋_GB2312" w:hAnsi="仿宋_GB2312" w:cs="仿宋_GB2312" w:eastAsia="仿宋_GB2312"/>
              </w:rPr>
              <w:t>区间分值：0-6分。 评审标准细化内容： 包括但不限于供应商针对本项目提出①质量保证措施；②项目管理制度等。 评审标准： 1、完整性：项目质量保障措施、项目管理制度必须全面，有详细描述； 2、合理性：项目质量保障措施、项目管理制度须切合本项目实际情况，具有相应措施。 3、针对性：措施能够紧扣项目实际情况，内容科学合理； 评审标准量化内容： （1）评审标准细化内容全面详细、阐述条理清晰详尽、符合本项目采购需求得6分； (2)评审标准细化内容每缺少一项内容扣3分； (3)评审标准细化内容缺失则不得分，每有一处内容存在缺陷或不足的扣1分，该项分值扣完为止。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或内容水平低下、存在漏洞。</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对本项目的重点难点的分析及预防解决措施</w:t>
            </w:r>
          </w:p>
        </w:tc>
        <w:tc>
          <w:tcPr>
            <w:tcW w:type="dxa" w:w="2492"/>
          </w:tcPr>
          <w:p>
            <w:pPr>
              <w:pStyle w:val="null3"/>
            </w:pPr>
            <w:r>
              <w:rPr>
                <w:rFonts w:ascii="仿宋_GB2312" w:hAnsi="仿宋_GB2312" w:cs="仿宋_GB2312" w:eastAsia="仿宋_GB2312"/>
              </w:rPr>
              <w:t>区间分值：0-6分。 评审标准细化内容： 指①针对本项目的重难点分析②针对重难点分析后的预防及解决措施等内容。 评审标准 1、完整性：针对本项目的重难点分析及预防解决措施，有详细描述； 2、可实施性：结合本项目实际情况，提出步骤清晰、合理的措施。 3、针对性：方案能够紧扣项目实际情况，内容科学合理； 评审标准量化内容： （1）评审标准细化内容全面详细、阐述条理清晰详尽、符合本项目采购需求得6分； (2)评审标准细化内容每缺少一项内容扣3分； (3)评审标准细化内容缺失则不得分，每有一处内容存在缺陷或不足的扣1分，该项分值扣完为止。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或内容水平低下、存在漏洞。</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应急预案及安全保障措施</w:t>
            </w:r>
          </w:p>
        </w:tc>
        <w:tc>
          <w:tcPr>
            <w:tcW w:type="dxa" w:w="2492"/>
          </w:tcPr>
          <w:p>
            <w:pPr>
              <w:pStyle w:val="null3"/>
            </w:pPr>
            <w:r>
              <w:rPr>
                <w:rFonts w:ascii="仿宋_GB2312" w:hAnsi="仿宋_GB2312" w:cs="仿宋_GB2312" w:eastAsia="仿宋_GB2312"/>
              </w:rPr>
              <w:t>区间分值：0-6分。 评审标准细化内容： 包含但不限于①应急预案②安全保障措施。 评审标准 1、完整性：针对本项目的应急预案、安全保障措施，有详细描述； 2、可实施性：结合本项目实际情况，提出步骤清晰、合理的措施。 3、针对性：方案能够紧扣项目实际情况，内容科学合理； 评审标准量化内容： （1）评审标准细化内容全面详细、阐述条理清晰详尽、符合本项目采购需求得6分； (2)评审标准细化内容每缺少一项内容扣3分； (3)评审标准细化内容缺失则不得分，每有一处内容存在缺陷或不足的扣1分，该项分值扣完为止。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或内容水平低下、存在漏洞。</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供应商提供2022年1月至今类似项目业绩合同（以合同签订时间为准）；一个业绩得2分，最高得8分； 评审依据：提供合同复印件并加盖公章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价格分统一采用低价优先法计算，即满足磋商文件要求且磋商价格最低的最终磋商报价为磋商基准价，其价格分为满分。其他供应商的价格分统一按照下列公式计算： 磋商报价得分=(磋商基准价／最终磋商报价)×价格权值×100计算分数时四舍五入取小数点后两位</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详见附件：其他附件.docx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