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版本号：GCCS25-01520250613001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西安市既有房屋使用安全应急预案编制项目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GCCS25-015</w:t>
      </w:r>
      <w:r>
        <w:br/>
      </w:r>
      <w:r>
        <w:br/>
      </w:r>
      <w:r>
        <w:br/>
      </w:r>
    </w:p>
    <w:p>
      <w:pPr>
        <w:pStyle w:val="null3"/>
        <w:jc w:val="center"/>
        <w:outlineLvl w:val="2"/>
      </w:pPr>
      <w:r>
        <w:rPr>
          <w:rFonts w:ascii="仿宋_GB2312" w:hAnsi="仿宋_GB2312" w:cs="仿宋_GB2312" w:eastAsia="仿宋_GB2312"/>
          <w:sz w:val="28"/>
          <w:b/>
        </w:rPr>
        <w:t>西安市住房和城乡建设局（本级）</w:t>
      </w:r>
    </w:p>
    <w:p>
      <w:pPr>
        <w:pStyle w:val="null3"/>
        <w:jc w:val="center"/>
        <w:outlineLvl w:val="2"/>
      </w:pPr>
      <w:r>
        <w:rPr>
          <w:rFonts w:ascii="仿宋_GB2312" w:hAnsi="仿宋_GB2312" w:cs="仿宋_GB2312" w:eastAsia="仿宋_GB2312"/>
          <w:sz w:val="28"/>
          <w:b/>
        </w:rPr>
        <w:t>陕西国采项目管理有限公司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西安市住房和城乡建设局（本级）</w:t>
      </w:r>
      <w:r>
        <w:rPr>
          <w:rFonts w:ascii="仿宋_GB2312" w:hAnsi="仿宋_GB2312" w:cs="仿宋_GB2312" w:eastAsia="仿宋_GB2312"/>
        </w:rPr>
        <w:t>委托，拟对</w:t>
      </w:r>
      <w:r>
        <w:rPr>
          <w:rFonts w:ascii="仿宋_GB2312" w:hAnsi="仿宋_GB2312" w:cs="仿宋_GB2312" w:eastAsia="仿宋_GB2312"/>
        </w:rPr>
        <w:t>西安市既有房屋使用安全应急预案编制项目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GCCS25-015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西安市既有房屋使用安全应急预案编制项目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基于对既有房屋使用安全突发事件发生前的有效监测预警和事件发生后快速应对处置研究，评估分析全市既有房屋使用安全突发事件类型及风险程度，调查应急资源，研究制定《西安市既有房屋使用安全应急预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1、供应商特殊资格要求：无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西安市住房和城乡建设局（本级）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西安市雁塔南路300-9号A座西安建设大厦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029-87624421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西安市高新区丈八一路2号绿地SOHO同盟B座19层1911室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029-81130182、18049538114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金额为基数，参照《招标代理服务收费管理暂行办法》的通知（计价格[2002]1980号）和《关于招标代理服务收费有关问题的通知》（发改办价格[2003]857号）的有关规定标准计算收取，计算不足5000元时按5000元收取。 （2）采购代理服务费缴纳账户： 开户名称：陕西国采项目管理有限公司 开 户 行：中国建设银行股份有限公司西安大庆路支行 账 号：61050174360000000901。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西安市住房和城乡建设局（本级）</w:t>
      </w:r>
      <w:r>
        <w:rPr>
          <w:rFonts w:ascii="仿宋_GB2312" w:hAnsi="仿宋_GB2312" w:cs="仿宋_GB2312" w:eastAsia="仿宋_GB2312"/>
        </w:rPr>
        <w:t>和</w:t>
      </w:r>
      <w:r>
        <w:rPr>
          <w:rFonts w:ascii="仿宋_GB2312" w:hAnsi="仿宋_GB2312" w:cs="仿宋_GB2312" w:eastAsia="仿宋_GB2312"/>
        </w:rPr>
        <w:t>陕西国采项目管理有限公司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西安市住房和城乡建设局（本级）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西安市住房和城乡建设局（本级）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符合国家、行业相关合格标准，符合采购人要求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联系电话：029-81130182、18049538114</w:t>
      </w:r>
    </w:p>
    <w:p>
      <w:pPr>
        <w:pStyle w:val="null3"/>
      </w:pPr>
      <w:r>
        <w:rPr>
          <w:rFonts w:ascii="仿宋_GB2312" w:hAnsi="仿宋_GB2312" w:cs="仿宋_GB2312" w:eastAsia="仿宋_GB2312"/>
        </w:rPr>
        <w:t>地址：西安市高新区丈八一路2号绿地SOHO同盟B座19层1911室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基于对既有房屋使用安全突发事件发生前的有效监测预警和事件发生后快速应对处置研究，评估分析全市既有房屋使用安全突发事件类型及风险程度，调查应急资源，研究制定《西安市既有房屋使用安全应急预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西安市既有房屋使用安全应急预案编制项目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标的名称：西安市既有房屋使用安全应急预案编制项目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6"/>
              </w:rPr>
              <w:t>一、技术要求</w:t>
            </w:r>
          </w:p>
          <w:p>
            <w:pPr>
              <w:pStyle w:val="null3"/>
            </w:pPr>
            <w:r>
              <w:rPr>
                <w:rFonts w:ascii="仿宋_GB2312" w:hAnsi="仿宋_GB2312" w:cs="仿宋_GB2312" w:eastAsia="仿宋_GB2312"/>
                <w:sz w:val="16"/>
              </w:rPr>
              <w:t>1.指导服务总体要求</w:t>
            </w:r>
          </w:p>
          <w:p>
            <w:pPr>
              <w:pStyle w:val="null3"/>
            </w:pPr>
            <w:r>
              <w:rPr>
                <w:rFonts w:ascii="仿宋_GB2312" w:hAnsi="仿宋_GB2312" w:cs="仿宋_GB2312" w:eastAsia="仿宋_GB2312"/>
                <w:sz w:val="16"/>
              </w:rPr>
              <w:t>基于对既有房屋使用安全突发事件发生前的有效监测预警和事件发生后快速应对处置研究，评估分析全市既有房屋使用安全突发事件类型及风险程度，调查应急资源，研究制定《西安市既有房屋使用安全应急预案》，规范我市既有房屋使用安全突发事件防范应对组织指挥、监测预警和处置流程，提高我市房屋安全突发事件的应急处置能力。</w:t>
            </w:r>
          </w:p>
          <w:p>
            <w:pPr>
              <w:pStyle w:val="null3"/>
            </w:pPr>
            <w:r>
              <w:rPr>
                <w:rFonts w:ascii="仿宋_GB2312" w:hAnsi="仿宋_GB2312" w:cs="仿宋_GB2312" w:eastAsia="仿宋_GB2312"/>
                <w:sz w:val="16"/>
              </w:rPr>
              <w:t>2.项目预期目标</w:t>
            </w:r>
          </w:p>
          <w:p>
            <w:pPr>
              <w:pStyle w:val="null3"/>
            </w:pPr>
            <w:r>
              <w:rPr>
                <w:rFonts w:ascii="仿宋_GB2312" w:hAnsi="仿宋_GB2312" w:cs="仿宋_GB2312" w:eastAsia="仿宋_GB2312"/>
                <w:sz w:val="16"/>
              </w:rPr>
              <w:t>坚持以人为本、生命至上理念，以对人民群众生命安全极端负责的态度，一是全面调查各级既有房屋使用安全应急资源基本底数，明确第一时间可调用的应急队伍、专家、物资、装备等防范应对应急资源状况和可请求援助的资源状况，为制定既有房屋使用安全突发事件应急响应措施提供依据；二是以西安市为主，结合其他省市既有房屋使用安全突发事件案例，深入分析既有房屋使用安全突发事件的特点、影响及应对措施，为防范处置工作提供参考；三是结合房屋安全鉴定全面摸清全市既有房屋建筑分级现状，梳理需重点管控建筑清单；四是编制《西安市既有房屋使用安全突发性应急预案》，明确适用范围、组织体系、监测预警、应急响应、应急保障等，做好与市政府突发事件总体应急预案、各部门“三定”职责衔接。</w:t>
            </w:r>
          </w:p>
          <w:p>
            <w:pPr>
              <w:pStyle w:val="null3"/>
            </w:pPr>
            <w:r>
              <w:rPr>
                <w:rFonts w:ascii="仿宋_GB2312" w:hAnsi="仿宋_GB2312" w:cs="仿宋_GB2312" w:eastAsia="仿宋_GB2312"/>
                <w:sz w:val="16"/>
              </w:rPr>
              <w:t>3.服务内容及要求</w:t>
            </w:r>
          </w:p>
          <w:p>
            <w:pPr>
              <w:pStyle w:val="null3"/>
            </w:pPr>
            <w:r>
              <w:rPr>
                <w:rFonts w:ascii="仿宋_GB2312" w:hAnsi="仿宋_GB2312" w:cs="仿宋_GB2312" w:eastAsia="仿宋_GB2312"/>
                <w:sz w:val="16"/>
              </w:rPr>
              <w:t>3.1调查应急资源</w:t>
            </w:r>
          </w:p>
          <w:p>
            <w:pPr>
              <w:pStyle w:val="null3"/>
            </w:pPr>
            <w:r>
              <w:rPr>
                <w:rFonts w:ascii="仿宋_GB2312" w:hAnsi="仿宋_GB2312" w:cs="仿宋_GB2312" w:eastAsia="仿宋_GB2312"/>
                <w:sz w:val="16"/>
              </w:rPr>
              <w:t>梳理我市既有房屋使用安全应急资源底数，明确既有房屋使用安全突发事件应对处置所需资源类型，客观分析全市各级既有房屋使用安全突发事件处置能力现状，编制西安市住建领域既有房屋安全应急资源调查报告，为制定既有房屋使用安全突发事件应急响应措施提供依据。</w:t>
            </w:r>
          </w:p>
          <w:p>
            <w:pPr>
              <w:pStyle w:val="null3"/>
            </w:pPr>
            <w:r>
              <w:rPr>
                <w:rFonts w:ascii="仿宋_GB2312" w:hAnsi="仿宋_GB2312" w:cs="仿宋_GB2312" w:eastAsia="仿宋_GB2312"/>
                <w:sz w:val="16"/>
              </w:rPr>
              <w:t>3.2分析典型案例</w:t>
            </w:r>
          </w:p>
          <w:p>
            <w:pPr>
              <w:pStyle w:val="null3"/>
            </w:pPr>
            <w:r>
              <w:rPr>
                <w:rFonts w:ascii="仿宋_GB2312" w:hAnsi="仿宋_GB2312" w:cs="仿宋_GB2312" w:eastAsia="仿宋_GB2312"/>
                <w:sz w:val="16"/>
              </w:rPr>
              <w:t>结合省内外既有房屋使用安全突发事件案例，从突发事件的特点、影响、监测预警、防范应对过程、突发事件发生原因、应急处置全方位进行分析，总结经验教训，编制既有房屋使用安全案例分析报告，为预案制定提供参考借鉴。</w:t>
            </w:r>
          </w:p>
          <w:p>
            <w:pPr>
              <w:pStyle w:val="null3"/>
            </w:pPr>
            <w:r>
              <w:rPr>
                <w:rFonts w:ascii="仿宋_GB2312" w:hAnsi="仿宋_GB2312" w:cs="仿宋_GB2312" w:eastAsia="仿宋_GB2312"/>
                <w:sz w:val="16"/>
              </w:rPr>
              <w:t>3.3梳理分析风险</w:t>
            </w:r>
          </w:p>
          <w:p>
            <w:pPr>
              <w:pStyle w:val="null3"/>
            </w:pPr>
            <w:r>
              <w:rPr>
                <w:rFonts w:ascii="仿宋_GB2312" w:hAnsi="仿宋_GB2312" w:cs="仿宋_GB2312" w:eastAsia="仿宋_GB2312"/>
                <w:sz w:val="16"/>
              </w:rPr>
              <w:t>根据收集的资料，全面分析全市既有房屋存在的危险性、危险因素、可能发生的事故类型及危害程度，形成西安市既有房屋安全风险评估报告。</w:t>
            </w:r>
          </w:p>
          <w:p>
            <w:pPr>
              <w:pStyle w:val="null3"/>
            </w:pPr>
            <w:r>
              <w:rPr>
                <w:rFonts w:ascii="仿宋_GB2312" w:hAnsi="仿宋_GB2312" w:cs="仿宋_GB2312" w:eastAsia="仿宋_GB2312"/>
                <w:sz w:val="16"/>
              </w:rPr>
              <w:t>3.4应急预案文本</w:t>
            </w:r>
          </w:p>
          <w:p>
            <w:pPr>
              <w:pStyle w:val="null3"/>
            </w:pPr>
            <w:r>
              <w:rPr>
                <w:rFonts w:ascii="仿宋_GB2312" w:hAnsi="仿宋_GB2312" w:cs="仿宋_GB2312" w:eastAsia="仿宋_GB2312"/>
                <w:sz w:val="16"/>
              </w:rPr>
              <w:t>结合全市既有房屋使用安全突发事件类别及风险程度、应急资源，明确应急预案工作原则、适用范围、分级分类标准、组织指挥机构及职责任务，理清预防预警、应急响应、处置联动、应急终止、后期处置、应急保障等工作流程，明晰各方权责，做好与市政府突发事件总体应急预案的上下衔接，经内部研讨修订完善后形成《西安市既有房屋使用安全应急预案》初稿，具体包括：</w:t>
            </w:r>
          </w:p>
          <w:p>
            <w:pPr>
              <w:pStyle w:val="null3"/>
            </w:pPr>
            <w:r>
              <w:rPr>
                <w:rFonts w:ascii="仿宋_GB2312" w:hAnsi="仿宋_GB2312" w:cs="仿宋_GB2312" w:eastAsia="仿宋_GB2312"/>
                <w:sz w:val="16"/>
              </w:rPr>
              <w:t>（1）明确应急组织体系。结合既有房屋使用安全突发事件风险分析、《西安市市级部门安全生产工作职责清单》《西安市突发事件总体应急预案》等，分别明确既有房屋使用安全突发事件防范应对工作领导指挥机构、办事机构及成员单位，并一一查询部门“三定方案”，确定各相关单位工作职责。</w:t>
            </w:r>
          </w:p>
          <w:p>
            <w:pPr>
              <w:pStyle w:val="null3"/>
            </w:pPr>
            <w:r>
              <w:rPr>
                <w:rFonts w:ascii="仿宋_GB2312" w:hAnsi="仿宋_GB2312" w:cs="仿宋_GB2312" w:eastAsia="仿宋_GB2312"/>
                <w:sz w:val="16"/>
              </w:rPr>
              <w:t>（2）研讨监测预警分级及处置事项。结合既有房屋使用安全突发事件预警分级标准研讨事件预防、监测、分级防范应对措施等相关内容。</w:t>
            </w:r>
          </w:p>
          <w:p>
            <w:pPr>
              <w:pStyle w:val="null3"/>
            </w:pPr>
            <w:r>
              <w:rPr>
                <w:rFonts w:ascii="仿宋_GB2312" w:hAnsi="仿宋_GB2312" w:cs="仿宋_GB2312" w:eastAsia="仿宋_GB2312"/>
                <w:sz w:val="16"/>
              </w:rPr>
              <w:t>（3）研究应急响应程序条件及响应措施。结合全市既有房屋使用安全突发事件可能影响范围、风险程度、造成后果等分别明确指挥协调、应急处置、人员疏散、现场管制、医疗救治等相关内容。</w:t>
            </w:r>
          </w:p>
          <w:p>
            <w:pPr>
              <w:pStyle w:val="null3"/>
            </w:pPr>
            <w:r>
              <w:rPr>
                <w:rFonts w:ascii="仿宋_GB2312" w:hAnsi="仿宋_GB2312" w:cs="仿宋_GB2312" w:eastAsia="仿宋_GB2312"/>
                <w:sz w:val="16"/>
              </w:rPr>
              <w:t>（4）明确信息报告和发布要求。分别明确既有房屋使用安全突发事件信息报送主体和流程，初报、续报、核报工作事项及工作内容，信息发布主体等相关内容。</w:t>
            </w:r>
          </w:p>
          <w:p>
            <w:pPr>
              <w:pStyle w:val="null3"/>
            </w:pPr>
            <w:r>
              <w:rPr>
                <w:rFonts w:ascii="仿宋_GB2312" w:hAnsi="仿宋_GB2312" w:cs="仿宋_GB2312" w:eastAsia="仿宋_GB2312"/>
                <w:sz w:val="16"/>
              </w:rPr>
              <w:t>（5）明确后期处置工作事项及要求。综合考虑既有房屋使用安全突发事件涉及的救助救济、事件调查、总结评估、恢复重建等相关工作，分别明确工作主体及工作内容。</w:t>
            </w:r>
          </w:p>
          <w:p>
            <w:pPr>
              <w:pStyle w:val="null3"/>
            </w:pPr>
            <w:r>
              <w:rPr>
                <w:rFonts w:ascii="仿宋_GB2312" w:hAnsi="仿宋_GB2312" w:cs="仿宋_GB2312" w:eastAsia="仿宋_GB2312"/>
                <w:sz w:val="16"/>
              </w:rPr>
              <w:t>（6）明确应急保障相关事项。分别明确各级应对处置各环节所需的预案体系、应急队伍、物资装备、通信信息、专家技术、资金等相关工作事项责任主体及工作内容。</w:t>
            </w:r>
          </w:p>
          <w:p>
            <w:pPr>
              <w:pStyle w:val="null3"/>
            </w:pPr>
            <w:r>
              <w:rPr>
                <w:rFonts w:ascii="仿宋_GB2312" w:hAnsi="仿宋_GB2312" w:cs="仿宋_GB2312" w:eastAsia="仿宋_GB2312"/>
                <w:sz w:val="16"/>
              </w:rPr>
              <w:t>3.5预案文本意见征求及专家评审</w:t>
            </w:r>
          </w:p>
          <w:p>
            <w:pPr>
              <w:pStyle w:val="null3"/>
            </w:pPr>
            <w:r>
              <w:rPr>
                <w:rFonts w:ascii="仿宋_GB2312" w:hAnsi="仿宋_GB2312" w:cs="仿宋_GB2312" w:eastAsia="仿宋_GB2312"/>
                <w:sz w:val="16"/>
              </w:rPr>
              <w:t>（1）形成应急预案“征求意见稿”。邀请专家结合预案进行内部研讨，根据研讨意见修订初稿形成征求意见稿，广泛征求相关部门、区县（开发区）意见，结合汇集统计的意见形成意见汇总表，根据汇总意见进一步修订完善预案内容，形成“专家评审稿”。</w:t>
            </w:r>
          </w:p>
          <w:p>
            <w:pPr>
              <w:pStyle w:val="null3"/>
            </w:pPr>
            <w:r>
              <w:rPr>
                <w:rFonts w:ascii="仿宋_GB2312" w:hAnsi="仿宋_GB2312" w:cs="仿宋_GB2312" w:eastAsia="仿宋_GB2312"/>
                <w:sz w:val="16"/>
              </w:rPr>
              <w:t>（2）应急预案专家评审。组织召开专家评审会，广泛邀请城市安全、公共安全、应急管理、建筑工程等方面的专家，共同对应急预案内容进行论证评审。</w:t>
            </w:r>
          </w:p>
          <w:p>
            <w:pPr>
              <w:pStyle w:val="null3"/>
            </w:pPr>
            <w:r>
              <w:rPr>
                <w:rFonts w:ascii="仿宋_GB2312" w:hAnsi="仿宋_GB2312" w:cs="仿宋_GB2312" w:eastAsia="仿宋_GB2312"/>
                <w:sz w:val="16"/>
              </w:rPr>
              <w:t>3.6配合报审发布</w:t>
            </w:r>
          </w:p>
          <w:p>
            <w:pPr>
              <w:pStyle w:val="null3"/>
            </w:pPr>
            <w:r>
              <w:rPr>
                <w:rFonts w:ascii="仿宋_GB2312" w:hAnsi="仿宋_GB2312" w:cs="仿宋_GB2312" w:eastAsia="仿宋_GB2312"/>
                <w:sz w:val="16"/>
              </w:rPr>
              <w:t>按照专项应急预案发布要求编制完成报送市政府相关材料，配合完成《西安市既有房屋使用安全应急预案》发布。</w:t>
            </w:r>
          </w:p>
          <w:p>
            <w:pPr>
              <w:pStyle w:val="null3"/>
            </w:pPr>
            <w:r>
              <w:rPr>
                <w:rFonts w:ascii="仿宋_GB2312" w:hAnsi="仿宋_GB2312" w:cs="仿宋_GB2312" w:eastAsia="仿宋_GB2312"/>
                <w:sz w:val="16"/>
              </w:rPr>
              <w:t>4.预期成果</w:t>
            </w:r>
          </w:p>
          <w:p>
            <w:pPr>
              <w:pStyle w:val="null3"/>
            </w:pPr>
            <w:r>
              <w:rPr>
                <w:rFonts w:ascii="仿宋_GB2312" w:hAnsi="仿宋_GB2312" w:cs="仿宋_GB2312" w:eastAsia="仿宋_GB2312"/>
                <w:sz w:val="16"/>
              </w:rPr>
              <w:t>受委托专业机构完成项目后，需提交如下成果资料：</w:t>
            </w:r>
          </w:p>
          <w:p>
            <w:pPr>
              <w:pStyle w:val="null3"/>
            </w:pPr>
            <w:r>
              <w:rPr>
                <w:rFonts w:ascii="仿宋_GB2312" w:hAnsi="仿宋_GB2312" w:cs="仿宋_GB2312" w:eastAsia="仿宋_GB2312"/>
                <w:sz w:val="16"/>
              </w:rPr>
              <w:t>（1）《西安市住建领域既有房屋安全应急资源调查报告》；</w:t>
            </w:r>
          </w:p>
          <w:p>
            <w:pPr>
              <w:pStyle w:val="null3"/>
            </w:pPr>
            <w:r>
              <w:rPr>
                <w:rFonts w:ascii="仿宋_GB2312" w:hAnsi="仿宋_GB2312" w:cs="仿宋_GB2312" w:eastAsia="仿宋_GB2312"/>
                <w:sz w:val="16"/>
              </w:rPr>
              <w:t>（2）《既有房屋使用安全案例分析报告》；</w:t>
            </w:r>
          </w:p>
          <w:p>
            <w:pPr>
              <w:pStyle w:val="null3"/>
            </w:pPr>
            <w:r>
              <w:rPr>
                <w:rFonts w:ascii="仿宋_GB2312" w:hAnsi="仿宋_GB2312" w:cs="仿宋_GB2312" w:eastAsia="仿宋_GB2312"/>
                <w:sz w:val="16"/>
              </w:rPr>
              <w:t>（3）《西安市住建领域既有房屋安全风险评估报告》；</w:t>
            </w:r>
          </w:p>
          <w:p>
            <w:pPr>
              <w:pStyle w:val="null3"/>
            </w:pPr>
            <w:r>
              <w:rPr>
                <w:rFonts w:ascii="仿宋_GB2312" w:hAnsi="仿宋_GB2312" w:cs="仿宋_GB2312" w:eastAsia="仿宋_GB2312"/>
                <w:sz w:val="16"/>
              </w:rPr>
              <w:t>（4）《西安市既有房屋使用安全应急预案》（专家评审稿）。</w:t>
            </w:r>
          </w:p>
          <w:p>
            <w:pPr>
              <w:pStyle w:val="null3"/>
            </w:pPr>
            <w:r>
              <w:rPr>
                <w:rFonts w:ascii="仿宋_GB2312" w:hAnsi="仿宋_GB2312" w:cs="仿宋_GB2312" w:eastAsia="仿宋_GB2312"/>
                <w:sz w:val="16"/>
              </w:rPr>
              <w:t>5.质量保证</w:t>
            </w:r>
          </w:p>
          <w:p>
            <w:pPr>
              <w:pStyle w:val="null3"/>
              <w:jc w:val="both"/>
            </w:pPr>
            <w:r>
              <w:rPr>
                <w:rFonts w:ascii="仿宋_GB2312" w:hAnsi="仿宋_GB2312" w:cs="仿宋_GB2312" w:eastAsia="仿宋_GB2312"/>
                <w:sz w:val="16"/>
              </w:rPr>
              <w:t>保证所组织活动的方案设计、具体实施等，均应按国内外通行的现行标准、相应的技术规范和管理办法执行，这些标准和技术规范应为合同签订日为止最新公布发行的标准和技术规范；预案编制过程及文本要素符合《西安市应急预案管理办法》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供应商需配备能力和人数满足本项目工作内容的服务团队，总人数不少于10人。另外，需根据采购人工作需要临时聘请相关专家和技术人员提供专业指导和技术服务。</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供应商提供的服务应符合国家、地方、行业相关合格标准及采购人要求，预案编制过程及文本要素符合《西安市应急预案管理办法》要求。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自合同签订之日起180日提交《西安市既有房屋使用安全应急预案》（专家评审稿）。</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符合国家、行业相关合格标准，符合采购人要求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双方签订合同后，供应商开具相应增值税发票，采购人收到发票后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全部服务内容完成验收合格后，供应商开具增值税发票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二）合同争议的解决方式 在执行本合同中发生的或与本合同有关的争端，双方应通过友好协商解决，经协商在30天内不能达成协议时，向甲方所在地有管辖权的人民法院提起诉讼。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（1）本项目采购标的所属行业为：其他未列明行业 从业人员300人以下的为中小微型企业。其中，从业人员100人及以上的为中型企业；从业人员10人及以上的为小型企业；从业人员10人以下的为微型企业。 （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3）本项目属于西安市本级项目，根据《西安市财政局关于促进政府采购公平竞争优化营商环境的通知》（市财函〔2021〕431号）文件的要求，采购代理机构向采购人提交评标报告、采购人确定成交供应商、采购代理机构发布中标公告和采购人或采购代理机构发出中标通知书的期限要求，均在法定期限要求基础上提前1个工作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（2）税收缴纳证明：提供供应商自磋商前1年以来已缴纳任意时段完税凭证或税务机关开具的完税证明（任意税种）；依法免税的应提供相关文件证明；公益类事业单位可不提供； （3）社会保障资金缴纳证明：提供供应商自磋商前1年以来已缴存的任意时段的社会保障资金缴存单据或社保机构开具的社会保险参保缴费情况证明；依法不需要缴纳社会保障资金的供应商应提供相关文件证明；公益类事业单位可不提供； （4）提供供应商具备履行合同所必需的设备和专业技术能力的证明材料； （5）供应商参加本次磋商前3年内，在经营活动中没有重大违法记录的书面声明；（6）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磋商。 供应商需在项目电子化交易系统中按要求填写《响应函》完成承诺并进行电子签章。供应商需在《供应商应提交的相关资格证明材料》中提供上述资格证明材料。</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需提供2023年度或2024年度经审计的供应商财务会计报告或者提供响应文件截止时间3个月内其基本账户开户银行出具的资信证明；公益类事业单位可不提供。 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供应商特殊资格要求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费用组成明细表.docx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响应文件封面 法定代表人（单位负责人）身份证明或委托授权书.docx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响应文件封面 服务内容及服务邀请应答表 费用组成明细表.docx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有下列情形之一的，视为供应商相互恶意串通，响应文件无效： （1）不同供应商的响应文件由同一单位或者个人编制； （2）不同供应商委托同一单位或者个人办理磋商事宜； （3）不同供应商的响应文件载明的项目管理成员为同一人； （4）不同供应商的响应文件异常一致或者磋商报价呈规律性差异；（5）不同供应商的磋商保证金从同一单位或者个人的账户转出</w:t>
            </w:r>
          </w:p>
        </w:tc>
        <w:tc>
          <w:tcPr>
            <w:tcW w:type="dxa" w:w="1661"/>
          </w:tcPr>
          <w:p>
            <w:pPr>
              <w:pStyle w:val="null3"/>
            </w:pPr>
            <w:r>
              <w:rPr>
                <w:rFonts w:ascii="仿宋_GB2312" w:hAnsi="仿宋_GB2312" w:cs="仿宋_GB2312" w:eastAsia="仿宋_GB2312"/>
              </w:rPr>
              <w:t>费用组成明细表.docx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对项目认知和实施目的理解的认识和理解</w:t>
            </w:r>
          </w:p>
        </w:tc>
        <w:tc>
          <w:tcPr>
            <w:tcW w:type="dxa" w:w="2492"/>
          </w:tcPr>
          <w:p>
            <w:pPr>
              <w:pStyle w:val="null3"/>
            </w:pPr>
            <w:r>
              <w:rPr>
                <w:rFonts w:ascii="仿宋_GB2312" w:hAnsi="仿宋_GB2312" w:cs="仿宋_GB2312" w:eastAsia="仿宋_GB2312"/>
              </w:rPr>
              <w:t>一、评审内容：供应商对本项目所在区域既有房屋使用安全突发事件特点、可能存在的风险、产生的影响等的认知，并且能够全面理解本项目实施目的，对本服务项目有深刻且独特的见解，具有深度的思考。 评审标准： 以上内容专门针对本项目且符合本项目实际需求的得5分，缺项扣5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本项目整体实施方案</w:t>
            </w:r>
          </w:p>
        </w:tc>
        <w:tc>
          <w:tcPr>
            <w:tcW w:type="dxa" w:w="2492"/>
          </w:tcPr>
          <w:p>
            <w:pPr>
              <w:pStyle w:val="null3"/>
            </w:pPr>
            <w:r>
              <w:rPr>
                <w:rFonts w:ascii="仿宋_GB2312" w:hAnsi="仿宋_GB2312" w:cs="仿宋_GB2312" w:eastAsia="仿宋_GB2312"/>
              </w:rPr>
              <w:t>一、评审内容：根据采购需求编制本项目整体实施方案，具体包括： ①既有房屋使用安全应急资源调查方案（5分）； ②典型案例分析及风险梳理分析方案（5分）； ③应急方案编制方案。 二、评审标准： 以上内容每一项专门针对本项目且符合本项目实际需求的得5分，缺项扣5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配合协调方案</w:t>
            </w:r>
          </w:p>
        </w:tc>
        <w:tc>
          <w:tcPr>
            <w:tcW w:type="dxa" w:w="2492"/>
          </w:tcPr>
          <w:p>
            <w:pPr>
              <w:pStyle w:val="null3"/>
            </w:pPr>
            <w:r>
              <w:rPr>
                <w:rFonts w:ascii="仿宋_GB2312" w:hAnsi="仿宋_GB2312" w:cs="仿宋_GB2312" w:eastAsia="仿宋_GB2312"/>
              </w:rPr>
              <w:t>一、评审内容：项目实施过程中有积极配合采购人及各方主体的配合协调方案，确保本项目顺利实施。 二、评审标准： 以上内容专门针对本项目且符合本项目实际需求的得5分，缺项扣5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一、评审内容：针对采购内容提出适用于本项目的保障措施，包括： ①成果文件编制规范性保障方案（5分）； ②项目实施进度保障措施（5分）； ③主要工作质量保证措施（5分）； ④针对性的关键点分析及保证措施（5分）； ⑤廉洁保密措施（5分）。 二、评审标准：以上内容每一项专门针对本项目且符合本项目实际需求的得5分，缺项扣5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一、评审内容：对本项目所要求的编制内容提出合理化建议及项目实施过程中优化项目实施的合理化建议。 二、评审标准： 以上内容专门针对本项目且符合本项目实际需求的得5分，缺项扣5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一、评审内容：针对采购内容提出适用于本项目的服务承诺，包括：①对项目的实施质量要求、进度要求、时限要求、编制、修订完善等相关内容等做出承诺（5分）； ②对服务期内，服务团队得稳定性做出承诺（5分）； ③对项目后期服务及配合采购人相关工作等相关内容做出承诺（5分）。 二、评审标准：以上内容每一项专门针对本项目且符合本项目实际需求的得5分，缺项扣5分。若内容中存在瑕疵，每出现一处瑕疵扣0.5分，扣完为止。“瑕疵”指内容有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项目组成员技术能力情况</w:t>
            </w:r>
          </w:p>
        </w:tc>
        <w:tc>
          <w:tcPr>
            <w:tcW w:type="dxa" w:w="2492"/>
          </w:tcPr>
          <w:p>
            <w:pPr>
              <w:pStyle w:val="null3"/>
            </w:pPr>
            <w:r>
              <w:rPr>
                <w:rFonts w:ascii="仿宋_GB2312" w:hAnsi="仿宋_GB2312" w:cs="仿宋_GB2312" w:eastAsia="仿宋_GB2312"/>
              </w:rPr>
              <w:t>1、投入本项目的工作人员包括高级职称或具有博士学位人员每提供一人得1分，中级或硕士学位人员，每提供一人得0.5分，此项满分6分。 2、项目负责人有类似经验的，每提供1个证明材料得2分，满分4分。（需提供证明材料，时间为近5年，最多提供2项）。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五年（2020年1月1日至今）类似项目业绩，每提供1个得2分，最高得10分；业绩证明（以合同为准，须在响应文件中附合同的扫描件加盖单位公章，类似项目业绩指相关应急预案编制项目、技术服务咨询项目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以本次满足磋商文件要求的最低磋商评审价为磋商基准价，其价格为满分，供应商的价格分，统一按照下列公式计算：磋商评审价=最后报价×（1-报价扣除幅度） ，最后报价得分=(磋商基准价／磋商评审价)×价格分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