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B054B">
      <w:pPr>
        <w:jc w:val="center"/>
        <w:rPr>
          <w:rFonts w:hint="eastAsia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</w:rPr>
        <w:t>供应商有必要说明的</w:t>
      </w:r>
      <w:bookmarkStart w:id="0" w:name="_GoBack"/>
      <w:bookmarkEnd w:id="0"/>
      <w:r>
        <w:rPr>
          <w:rFonts w:hint="eastAsia"/>
          <w:b/>
          <w:bCs/>
          <w:sz w:val="24"/>
          <w:szCs w:val="32"/>
        </w:rPr>
        <w:t>其他事项</w:t>
      </w:r>
      <w:r>
        <w:rPr>
          <w:rFonts w:hint="eastAsia"/>
          <w:b/>
          <w:bCs/>
          <w:sz w:val="24"/>
          <w:szCs w:val="32"/>
          <w:lang w:eastAsia="zh-CN"/>
        </w:rPr>
        <w:t>（若有）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1540500"/>
    <w:rsid w:val="4B43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2024-06-14T09:36:00Z</dcterms:created>
  <dc:creator>Administrator</dc:creator>
  <cp:lastModifiedBy>小米周</cp:lastModifiedBy>
  <dcterms:modified xsi:type="dcterms:W3CDTF">2025-03-31T03:20:12Z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816C43353B0840558186371981FBA9AD_12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