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版本号：JSZB-2025-1438220250613001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经济困难家庭重度和完全失能老年人养老服务补贴经办机构项目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JSZB-2025-14382</w:t>
      </w:r>
      <w:r>
        <w:br/>
      </w:r>
      <w:r>
        <w:br/>
      </w:r>
      <w:r>
        <w:br/>
      </w:r>
    </w:p>
    <w:p>
      <w:pPr>
        <w:pStyle w:val="null3"/>
        <w:jc w:val="center"/>
        <w:outlineLvl w:val="2"/>
      </w:pPr>
      <w:r>
        <w:rPr>
          <w:rFonts w:ascii="仿宋_GB2312" w:hAnsi="仿宋_GB2312" w:cs="仿宋_GB2312" w:eastAsia="仿宋_GB2312"/>
          <w:sz w:val="28"/>
          <w:b/>
        </w:rPr>
        <w:t>西安市民政局（本级）</w:t>
      </w:r>
    </w:p>
    <w:p>
      <w:pPr>
        <w:pStyle w:val="null3"/>
        <w:jc w:val="center"/>
        <w:outlineLvl w:val="2"/>
      </w:pPr>
      <w:r>
        <w:rPr>
          <w:rFonts w:ascii="仿宋_GB2312" w:hAnsi="仿宋_GB2312" w:cs="仿宋_GB2312" w:eastAsia="仿宋_GB2312"/>
          <w:sz w:val="28"/>
          <w:b/>
        </w:rPr>
        <w:t>江苏中博通信有限公司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江苏中博通信有限公司</w:t>
      </w:r>
      <w:r>
        <w:rPr>
          <w:rFonts w:ascii="仿宋_GB2312" w:hAnsi="仿宋_GB2312" w:cs="仿宋_GB2312" w:eastAsia="仿宋_GB2312"/>
        </w:rPr>
        <w:t>（以下简称“代理机构”）受</w:t>
      </w:r>
      <w:r>
        <w:rPr>
          <w:rFonts w:ascii="仿宋_GB2312" w:hAnsi="仿宋_GB2312" w:cs="仿宋_GB2312" w:eastAsia="仿宋_GB2312"/>
        </w:rPr>
        <w:t>西安市民政局（本级）</w:t>
      </w:r>
      <w:r>
        <w:rPr>
          <w:rFonts w:ascii="仿宋_GB2312" w:hAnsi="仿宋_GB2312" w:cs="仿宋_GB2312" w:eastAsia="仿宋_GB2312"/>
        </w:rPr>
        <w:t>委托，拟对</w:t>
      </w:r>
      <w:r>
        <w:rPr>
          <w:rFonts w:ascii="仿宋_GB2312" w:hAnsi="仿宋_GB2312" w:cs="仿宋_GB2312" w:eastAsia="仿宋_GB2312"/>
        </w:rPr>
        <w:t>经济困难家庭重度和完全失能老年人养老服务补贴经办机构项目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JSZB-2025-14382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经济困难家庭重度和完全失能老年人养老服务补贴经办机构项目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经济困难家庭重度和完全失能老年人养老服务补贴经办机构项目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1、提供供应商合法注册的法人或者其他组织的营业执照等证明文件、自然人的身份证明：提供供应商合法注册的法人或者其他组织的营业执照等证明文件、自然人的身份证明。</w:t>
      </w:r>
    </w:p>
    <w:p>
      <w:pPr>
        <w:pStyle w:val="null3"/>
      </w:pPr>
      <w:r>
        <w:rPr>
          <w:rFonts w:ascii="仿宋_GB2312" w:hAnsi="仿宋_GB2312" w:cs="仿宋_GB2312" w:eastAsia="仿宋_GB2312"/>
        </w:rPr>
        <w:t>2、财务状况报告：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3、税收缴纳证明：提供截止至开标时间前一年内任意一个月的缴纳凭据（增值税、企业所得税至少提供一种，依法免税的供应商应提供相关文件证明）。</w:t>
      </w:r>
    </w:p>
    <w:p>
      <w:pPr>
        <w:pStyle w:val="null3"/>
      </w:pPr>
      <w:r>
        <w:rPr>
          <w:rFonts w:ascii="仿宋_GB2312" w:hAnsi="仿宋_GB2312" w:cs="仿宋_GB2312" w:eastAsia="仿宋_GB2312"/>
        </w:rPr>
        <w:t>4、社会保障资金缴纳证明：提供截止至开标时间前六个月内任意一个月的社保缴纳凭据或社保机构开具的社会保险参保缴纳情况证明（依法不需要缴纳社会保障资金的供应商应提供相关证明）。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5、提供具有履行本合同所必需的设备和专业技术能力的说明或承诺：提供具有履行本合同所必需的设备和专业技术能力的说明或承诺（提供书面说明或承诺，加盖供应商公章）。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负责人授权委托书：法定代表人/负责人授权委托书（附法定代表人/负责人身份证复印件及被授权人身份证复印件）；法定代表人/负责人直接参加投标提供法定代表人资格证明书（附法定代表人/负责人身份证复印件）；采购文件凡是法定代表人/负责人之处，非法人单位的负责人均参照执行（式样见投标文件格式）。</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9、控股关系查询或声明：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西安市民政局（本级）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029-86786731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江苏中博通信有限公司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西安市莲湖区大兴东路6号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李晓雪、周荣荣、荣祝福、陈林、马若云、章健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029-86312056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西安市民政局（本级）</w:t>
      </w:r>
      <w:r>
        <w:rPr>
          <w:rFonts w:ascii="仿宋_GB2312" w:hAnsi="仿宋_GB2312" w:cs="仿宋_GB2312" w:eastAsia="仿宋_GB2312"/>
        </w:rPr>
        <w:t>和</w:t>
      </w:r>
      <w:r>
        <w:rPr>
          <w:rFonts w:ascii="仿宋_GB2312" w:hAnsi="仿宋_GB2312" w:cs="仿宋_GB2312" w:eastAsia="仿宋_GB2312"/>
        </w:rPr>
        <w:t>江苏中博通信有限公司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西安市民政局（本级）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江苏中博通信有限公司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西安市民政局（本级）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江苏中博通信有限公司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由采购方、使用单位组织项目相关人员按照国家行业标准、规范和文献资料进行审核、考评。</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江苏中博通信有限公司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江苏中博通信有限公司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江苏中博通信有限公司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联系人：周荣荣</w:t>
      </w:r>
    </w:p>
    <w:p>
      <w:pPr>
        <w:pStyle w:val="null3"/>
      </w:pPr>
      <w:r>
        <w:rPr>
          <w:rFonts w:ascii="仿宋_GB2312" w:hAnsi="仿宋_GB2312" w:cs="仿宋_GB2312" w:eastAsia="仿宋_GB2312"/>
        </w:rPr>
        <w:t>联系电话：13909166785</w:t>
      </w:r>
    </w:p>
    <w:p>
      <w:pPr>
        <w:pStyle w:val="null3"/>
      </w:pPr>
      <w:r>
        <w:rPr>
          <w:rFonts w:ascii="仿宋_GB2312" w:hAnsi="仿宋_GB2312" w:cs="仿宋_GB2312" w:eastAsia="仿宋_GB2312"/>
        </w:rPr>
        <w:t>地址：西安市莲湖区大兴东路6号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经济困难家庭重度和完全失能老年人养老服务补贴经办机构项目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1,400,000.00</w:t>
      </w:r>
    </w:p>
    <w:p>
      <w:pPr>
        <w:pStyle w:val="null3"/>
      </w:pPr>
      <w:r>
        <w:rPr>
          <w:rFonts w:ascii="仿宋_GB2312" w:hAnsi="仿宋_GB2312" w:cs="仿宋_GB2312" w:eastAsia="仿宋_GB2312"/>
        </w:rPr>
        <w:t>采购包最高限价（元）: 1,400,000.00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2025年经济困难家庭重度和完全失能老年人养老服务补贴经办服务费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标的名称：2025年经济困难家庭重度和完全失能老年人养老服务补贴经办服务费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82"/>
              <w:jc w:val="both"/>
            </w:pPr>
            <w:r>
              <w:rPr>
                <w:rFonts w:ascii="仿宋_GB2312" w:hAnsi="仿宋_GB2312" w:cs="仿宋_GB2312" w:eastAsia="仿宋_GB2312"/>
                <w:sz w:val="24"/>
                <w:b/>
              </w:rPr>
              <w:t>一、项目背景</w:t>
            </w:r>
          </w:p>
          <w:p>
            <w:pPr>
              <w:pStyle w:val="null3"/>
              <w:ind w:firstLine="480"/>
              <w:jc w:val="both"/>
            </w:pPr>
            <w:r>
              <w:rPr>
                <w:rFonts w:ascii="仿宋_GB2312" w:hAnsi="仿宋_GB2312" w:cs="仿宋_GB2312" w:eastAsia="仿宋_GB2312"/>
                <w:sz w:val="24"/>
              </w:rPr>
              <w:t>为积极响应《陕西省民政厅</w:t>
            </w:r>
            <w:r>
              <w:rPr>
                <w:rFonts w:ascii="仿宋_GB2312" w:hAnsi="仿宋_GB2312" w:cs="仿宋_GB2312" w:eastAsia="仿宋_GB2312"/>
                <w:sz w:val="24"/>
              </w:rPr>
              <w:t>陕西省财政厅关于建立经济困难家庭重度和完全失能老年人养老服务补贴制度的通知》（陕民发〔</w:t>
            </w:r>
            <w:r>
              <w:rPr>
                <w:rFonts w:ascii="仿宋_GB2312" w:hAnsi="仿宋_GB2312" w:cs="仿宋_GB2312" w:eastAsia="仿宋_GB2312"/>
                <w:sz w:val="24"/>
              </w:rPr>
              <w:t>2024〕7 号）</w:t>
            </w:r>
            <w:r>
              <w:rPr>
                <w:rFonts w:ascii="仿宋_GB2312" w:hAnsi="仿宋_GB2312" w:cs="仿宋_GB2312" w:eastAsia="仿宋_GB2312"/>
                <w:sz w:val="24"/>
              </w:rPr>
              <w:t>及</w:t>
            </w:r>
            <w:r>
              <w:rPr>
                <w:rFonts w:ascii="仿宋_GB2312" w:hAnsi="仿宋_GB2312" w:cs="仿宋_GB2312" w:eastAsia="仿宋_GB2312"/>
                <w:sz w:val="24"/>
              </w:rPr>
              <w:t>《西安市基本养老服务清单》（市民发〔</w:t>
            </w:r>
            <w:r>
              <w:rPr>
                <w:rFonts w:ascii="仿宋_GB2312" w:hAnsi="仿宋_GB2312" w:cs="仿宋_GB2312" w:eastAsia="仿宋_GB2312"/>
                <w:sz w:val="24"/>
              </w:rPr>
              <w:t>2024〕61 号）</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西安市民政局</w:t>
            </w:r>
            <w:r>
              <w:rPr>
                <w:rFonts w:ascii="仿宋_GB2312" w:hAnsi="仿宋_GB2312" w:cs="仿宋_GB2312" w:eastAsia="仿宋_GB2312"/>
                <w:sz w:val="21"/>
              </w:rPr>
              <w:t xml:space="preserve"> </w:t>
            </w:r>
            <w:r>
              <w:rPr>
                <w:rFonts w:ascii="仿宋_GB2312" w:hAnsi="仿宋_GB2312" w:cs="仿宋_GB2312" w:eastAsia="仿宋_GB2312"/>
                <w:sz w:val="24"/>
              </w:rPr>
              <w:t>西安市财政局关于开展经济困难家庭重度和完全失能老年人养老服务补贴试点工作的</w:t>
            </w:r>
            <w:r>
              <w:rPr>
                <w:rFonts w:ascii="仿宋_GB2312" w:hAnsi="仿宋_GB2312" w:cs="仿宋_GB2312" w:eastAsia="仿宋_GB2312"/>
                <w:sz w:val="24"/>
              </w:rPr>
              <w:t>通知》（</w:t>
            </w:r>
            <w:r>
              <w:rPr>
                <w:rFonts w:ascii="仿宋_GB2312" w:hAnsi="仿宋_GB2312" w:cs="仿宋_GB2312" w:eastAsia="仿宋_GB2312"/>
                <w:sz w:val="24"/>
              </w:rPr>
              <w:t>市</w:t>
            </w:r>
            <w:r>
              <w:rPr>
                <w:rFonts w:ascii="仿宋_GB2312" w:hAnsi="仿宋_GB2312" w:cs="仿宋_GB2312" w:eastAsia="仿宋_GB2312"/>
                <w:sz w:val="24"/>
              </w:rPr>
              <w:t>民发〔</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23</w:t>
            </w:r>
            <w:r>
              <w:rPr>
                <w:rFonts w:ascii="仿宋_GB2312" w:hAnsi="仿宋_GB2312" w:cs="仿宋_GB2312" w:eastAsia="仿宋_GB2312"/>
                <w:sz w:val="24"/>
              </w:rPr>
              <w:t>号）文件精神，健全基本养老服务体系，满足经济困难家庭重度和完全失能老年人的长期照护需求，现开展经济困难家庭重度和完全失能老年人养老服务补贴试点工作，并</w:t>
            </w:r>
            <w:r>
              <w:rPr>
                <w:rFonts w:ascii="仿宋_GB2312" w:hAnsi="仿宋_GB2312" w:cs="仿宋_GB2312" w:eastAsia="仿宋_GB2312"/>
                <w:sz w:val="24"/>
              </w:rPr>
              <w:t>通过本次采购活动</w:t>
            </w:r>
            <w:r>
              <w:rPr>
                <w:rFonts w:ascii="仿宋_GB2312" w:hAnsi="仿宋_GB2312" w:cs="仿宋_GB2312" w:eastAsia="仿宋_GB2312"/>
                <w:sz w:val="24"/>
              </w:rPr>
              <w:t>确定一家专业经办机构负责实施。</w:t>
            </w:r>
          </w:p>
          <w:p>
            <w:pPr>
              <w:pStyle w:val="null3"/>
              <w:ind w:firstLine="482"/>
              <w:jc w:val="both"/>
            </w:pPr>
            <w:r>
              <w:rPr>
                <w:rFonts w:ascii="仿宋_GB2312" w:hAnsi="仿宋_GB2312" w:cs="仿宋_GB2312" w:eastAsia="仿宋_GB2312"/>
                <w:sz w:val="24"/>
                <w:b/>
              </w:rPr>
              <w:t>二、服务内容及要求</w:t>
            </w:r>
          </w:p>
          <w:p>
            <w:pPr>
              <w:pStyle w:val="null3"/>
              <w:ind w:firstLine="482"/>
              <w:jc w:val="both"/>
            </w:pPr>
            <w:r>
              <w:rPr>
                <w:rFonts w:ascii="仿宋_GB2312" w:hAnsi="仿宋_GB2312" w:cs="仿宋_GB2312" w:eastAsia="仿宋_GB2312"/>
                <w:sz w:val="24"/>
                <w:b/>
              </w:rPr>
              <w:t xml:space="preserve">1. </w:t>
            </w:r>
            <w:r>
              <w:rPr>
                <w:rFonts w:ascii="仿宋_GB2312" w:hAnsi="仿宋_GB2312" w:cs="仿宋_GB2312" w:eastAsia="仿宋_GB2312"/>
                <w:sz w:val="24"/>
                <w:b/>
              </w:rPr>
              <w:t>服务补贴办理流程推进；</w:t>
            </w:r>
          </w:p>
          <w:p>
            <w:pPr>
              <w:pStyle w:val="null3"/>
              <w:ind w:firstLine="480"/>
              <w:jc w:val="both"/>
            </w:pPr>
            <w:r>
              <w:rPr>
                <w:rFonts w:ascii="仿宋_GB2312" w:hAnsi="仿宋_GB2312" w:cs="仿宋_GB2312" w:eastAsia="仿宋_GB2312"/>
                <w:sz w:val="24"/>
              </w:rPr>
              <w:t>经办机构须积极与区县（开发区）民政部门对接。</w:t>
            </w:r>
            <w:r>
              <w:rPr>
                <w:rFonts w:ascii="仿宋_GB2312" w:hAnsi="仿宋_GB2312" w:cs="仿宋_GB2312" w:eastAsia="仿宋_GB2312"/>
                <w:sz w:val="24"/>
              </w:rPr>
              <w:t>优化并简化服务补贴申请、审批</w:t>
            </w:r>
            <w:r>
              <w:rPr>
                <w:rFonts w:ascii="仿宋_GB2312" w:hAnsi="仿宋_GB2312" w:cs="仿宋_GB2312" w:eastAsia="仿宋_GB2312"/>
                <w:sz w:val="24"/>
              </w:rPr>
              <w:t>等</w:t>
            </w:r>
            <w:r>
              <w:rPr>
                <w:rFonts w:ascii="仿宋_GB2312" w:hAnsi="仿宋_GB2312" w:cs="仿宋_GB2312" w:eastAsia="仿宋_GB2312"/>
                <w:sz w:val="24"/>
              </w:rPr>
              <w:t>流程，确保流程高效、透明，减少老年人及其家庭的等待时间</w:t>
            </w:r>
            <w:r>
              <w:rPr>
                <w:rFonts w:ascii="仿宋_GB2312" w:hAnsi="仿宋_GB2312" w:cs="仿宋_GB2312" w:eastAsia="仿宋_GB2312"/>
                <w:sz w:val="24"/>
              </w:rPr>
              <w:t>，</w:t>
            </w:r>
            <w:r>
              <w:rPr>
                <w:rFonts w:ascii="仿宋_GB2312" w:hAnsi="仿宋_GB2312" w:cs="仿宋_GB2312" w:eastAsia="仿宋_GB2312"/>
                <w:sz w:val="24"/>
              </w:rPr>
              <w:t>明确各环节办理时限，</w:t>
            </w:r>
            <w:r>
              <w:rPr>
                <w:rFonts w:ascii="仿宋_GB2312" w:hAnsi="仿宋_GB2312" w:cs="仿宋_GB2312" w:eastAsia="仿宋_GB2312"/>
                <w:sz w:val="24"/>
              </w:rPr>
              <w:t>并</w:t>
            </w:r>
            <w:r>
              <w:rPr>
                <w:rFonts w:ascii="仿宋_GB2312" w:hAnsi="仿宋_GB2312" w:cs="仿宋_GB2312" w:eastAsia="仿宋_GB2312"/>
                <w:sz w:val="24"/>
              </w:rPr>
              <w:t>加强内部监督</w:t>
            </w:r>
            <w:r>
              <w:rPr>
                <w:rFonts w:ascii="仿宋_GB2312" w:hAnsi="仿宋_GB2312" w:cs="仿宋_GB2312" w:eastAsia="仿宋_GB2312"/>
                <w:sz w:val="24"/>
              </w:rPr>
              <w:t>管理</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2.协助市民政局选取服务机构，以对选定服务机构的日常管理、绩效考核、监管；</w:t>
            </w:r>
          </w:p>
          <w:p>
            <w:pPr>
              <w:pStyle w:val="null3"/>
              <w:ind w:firstLine="480"/>
              <w:jc w:val="both"/>
            </w:pPr>
            <w:r>
              <w:rPr>
                <w:rFonts w:ascii="仿宋_GB2312" w:hAnsi="仿宋_GB2312" w:cs="仿宋_GB2312" w:eastAsia="仿宋_GB2312"/>
                <w:sz w:val="24"/>
              </w:rPr>
              <w:t>经办机构应协助市民政局，对符合条件且公示无异议的申请人向服务机构派单。经办机构应</w:t>
            </w:r>
            <w:r>
              <w:rPr>
                <w:rFonts w:ascii="仿宋_GB2312" w:hAnsi="仿宋_GB2312" w:cs="仿宋_GB2312" w:eastAsia="仿宋_GB2312"/>
                <w:sz w:val="24"/>
              </w:rPr>
              <w:t>建立健全服务机构管理制度，制定服务机构考核标准，定期开展绩效考核；建立日常巡查机制，及时发现并纠正服务中的问题；设立投诉举报渠道，接受社会监督</w:t>
            </w:r>
            <w:r>
              <w:rPr>
                <w:rFonts w:ascii="仿宋_GB2312" w:hAnsi="仿宋_GB2312" w:cs="仿宋_GB2312" w:eastAsia="仿宋_GB2312"/>
                <w:sz w:val="24"/>
              </w:rPr>
              <w:t>，</w:t>
            </w:r>
            <w:r>
              <w:rPr>
                <w:rFonts w:ascii="仿宋_GB2312" w:hAnsi="仿宋_GB2312" w:cs="仿宋_GB2312" w:eastAsia="仿宋_GB2312"/>
                <w:sz w:val="24"/>
              </w:rPr>
              <w:t>确保服务质量与安全</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3. 开展老年人能力评估，出具综合照护方案</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配备</w:t>
            </w:r>
            <w:r>
              <w:rPr>
                <w:rFonts w:ascii="仿宋_GB2312" w:hAnsi="仿宋_GB2312" w:cs="仿宋_GB2312" w:eastAsia="仿宋_GB2312"/>
                <w:sz w:val="24"/>
              </w:rPr>
              <w:t>持有国家认证的老年人能力评估师</w:t>
            </w:r>
            <w:r>
              <w:rPr>
                <w:rFonts w:ascii="仿宋_GB2312" w:hAnsi="仿宋_GB2312" w:cs="仿宋_GB2312" w:eastAsia="仿宋_GB2312"/>
                <w:sz w:val="24"/>
              </w:rPr>
              <w:t>等专业</w:t>
            </w:r>
            <w:r>
              <w:rPr>
                <w:rFonts w:ascii="仿宋_GB2312" w:hAnsi="仿宋_GB2312" w:cs="仿宋_GB2312" w:eastAsia="仿宋_GB2312"/>
                <w:sz w:val="24"/>
              </w:rPr>
              <w:t>资质人员</w:t>
            </w:r>
            <w:r>
              <w:rPr>
                <w:rFonts w:ascii="仿宋_GB2312" w:hAnsi="仿宋_GB2312" w:cs="仿宋_GB2312" w:eastAsia="仿宋_GB2312"/>
                <w:sz w:val="24"/>
              </w:rPr>
              <w:t>，</w:t>
            </w:r>
            <w:r>
              <w:rPr>
                <w:rFonts w:ascii="仿宋_GB2312" w:hAnsi="仿宋_GB2312" w:cs="仿宋_GB2312" w:eastAsia="仿宋_GB2312"/>
                <w:sz w:val="24"/>
              </w:rPr>
              <w:t>依据国家相关标准进行能力评估</w:t>
            </w:r>
            <w:r>
              <w:rPr>
                <w:rFonts w:ascii="仿宋_GB2312" w:hAnsi="仿宋_GB2312" w:cs="仿宋_GB2312" w:eastAsia="仿宋_GB2312"/>
                <w:sz w:val="24"/>
              </w:rPr>
              <w:t>，</w:t>
            </w:r>
            <w:r>
              <w:rPr>
                <w:rFonts w:ascii="仿宋_GB2312" w:hAnsi="仿宋_GB2312" w:cs="仿宋_GB2312" w:eastAsia="仿宋_GB2312"/>
                <w:sz w:val="24"/>
              </w:rPr>
              <w:t>采用科学、客观、公正的评估方法，全面、准确地评估老年人的身体状况、生活自理能力及认知能力</w:t>
            </w:r>
            <w:r>
              <w:rPr>
                <w:rFonts w:ascii="仿宋_GB2312" w:hAnsi="仿宋_GB2312" w:cs="仿宋_GB2312" w:eastAsia="仿宋_GB2312"/>
                <w:sz w:val="24"/>
              </w:rPr>
              <w:t>等</w:t>
            </w:r>
            <w:r>
              <w:rPr>
                <w:rFonts w:ascii="仿宋_GB2312" w:hAnsi="仿宋_GB2312" w:cs="仿宋_GB2312" w:eastAsia="仿宋_GB2312"/>
                <w:sz w:val="24"/>
              </w:rPr>
              <w:t>（</w:t>
            </w:r>
            <w:r>
              <w:rPr>
                <w:rFonts w:ascii="仿宋_GB2312" w:hAnsi="仿宋_GB2312" w:cs="仿宋_GB2312" w:eastAsia="仿宋_GB2312"/>
                <w:sz w:val="24"/>
              </w:rPr>
              <w:t>在重度失能和完全失能评估有效期内的老年人，不再重复评估</w:t>
            </w:r>
            <w:r>
              <w:rPr>
                <w:rFonts w:ascii="仿宋_GB2312" w:hAnsi="仿宋_GB2312" w:cs="仿宋_GB2312" w:eastAsia="仿宋_GB2312"/>
                <w:sz w:val="24"/>
              </w:rPr>
              <w:t>）。</w:t>
            </w:r>
            <w:r>
              <w:rPr>
                <w:rFonts w:ascii="仿宋_GB2312" w:hAnsi="仿宋_GB2312" w:cs="仿宋_GB2312" w:eastAsia="仿宋_GB2312"/>
                <w:sz w:val="24"/>
              </w:rPr>
              <w:t>并</w:t>
            </w:r>
            <w:r>
              <w:rPr>
                <w:rFonts w:ascii="仿宋_GB2312" w:hAnsi="仿宋_GB2312" w:cs="仿宋_GB2312" w:eastAsia="仿宋_GB2312"/>
                <w:sz w:val="24"/>
              </w:rPr>
              <w:t>根据评估结果，为每位</w:t>
            </w:r>
            <w:r>
              <w:rPr>
                <w:rFonts w:ascii="仿宋_GB2312" w:hAnsi="仿宋_GB2312" w:cs="仿宋_GB2312" w:eastAsia="仿宋_GB2312"/>
                <w:sz w:val="24"/>
              </w:rPr>
              <w:t>符合标准的</w:t>
            </w:r>
            <w:r>
              <w:rPr>
                <w:rFonts w:ascii="仿宋_GB2312" w:hAnsi="仿宋_GB2312" w:cs="仿宋_GB2312" w:eastAsia="仿宋_GB2312"/>
                <w:sz w:val="24"/>
              </w:rPr>
              <w:t>老年人量身制定综合照护方案。</w:t>
            </w:r>
          </w:p>
          <w:p>
            <w:pPr>
              <w:pStyle w:val="null3"/>
              <w:ind w:firstLine="480"/>
              <w:jc w:val="both"/>
            </w:pPr>
            <w:r>
              <w:rPr>
                <w:rFonts w:ascii="仿宋_GB2312" w:hAnsi="仿宋_GB2312" w:cs="仿宋_GB2312" w:eastAsia="仿宋_GB2312"/>
                <w:sz w:val="24"/>
              </w:rPr>
              <w:t>经办机构应在接受申请之日起</w:t>
            </w:r>
            <w:r>
              <w:rPr>
                <w:rFonts w:ascii="仿宋_GB2312" w:hAnsi="仿宋_GB2312" w:cs="仿宋_GB2312" w:eastAsia="仿宋_GB2312"/>
                <w:sz w:val="24"/>
              </w:rPr>
              <w:t>7 个工作日内完成能力评估，出具评估报告和综合照护方案。综合照护方案应当一人一策，明确服务项目、服务机构等内容。经办机构将身份认定核实结果、能力评估报告和综合照护方案报区县（开发区）民政部门备案。</w:t>
            </w:r>
          </w:p>
          <w:p>
            <w:pPr>
              <w:pStyle w:val="null3"/>
              <w:ind w:firstLine="482"/>
              <w:jc w:val="both"/>
            </w:pPr>
            <w:r>
              <w:rPr>
                <w:rFonts w:ascii="仿宋_GB2312" w:hAnsi="仿宋_GB2312" w:cs="仿宋_GB2312" w:eastAsia="仿宋_GB2312"/>
                <w:sz w:val="24"/>
                <w:b/>
              </w:rPr>
              <w:t>4</w:t>
            </w:r>
            <w:r>
              <w:rPr>
                <w:rFonts w:ascii="仿宋_GB2312" w:hAnsi="仿宋_GB2312" w:cs="仿宋_GB2312" w:eastAsia="仿宋_GB2312"/>
                <w:sz w:val="24"/>
                <w:b/>
              </w:rPr>
              <w:t xml:space="preserve">. </w:t>
            </w:r>
            <w:r>
              <w:rPr>
                <w:rFonts w:ascii="仿宋_GB2312" w:hAnsi="仿宋_GB2312" w:cs="仿宋_GB2312" w:eastAsia="仿宋_GB2312"/>
                <w:sz w:val="24"/>
                <w:b/>
              </w:rPr>
              <w:t>养老服务补贴</w:t>
            </w:r>
            <w:r>
              <w:rPr>
                <w:rFonts w:ascii="仿宋_GB2312" w:hAnsi="仿宋_GB2312" w:cs="仿宋_GB2312" w:eastAsia="仿宋_GB2312"/>
                <w:sz w:val="24"/>
                <w:b/>
              </w:rPr>
              <w:t>政策宣传与咨询</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加强政策宣传，提高老年人及其家庭对政策的知晓率和理解度；</w:t>
            </w:r>
            <w:r>
              <w:rPr>
                <w:rFonts w:ascii="仿宋_GB2312" w:hAnsi="仿宋_GB2312" w:cs="仿宋_GB2312" w:eastAsia="仿宋_GB2312"/>
                <w:sz w:val="24"/>
              </w:rPr>
              <w:t>经办机构应</w:t>
            </w:r>
            <w:r>
              <w:rPr>
                <w:rFonts w:ascii="仿宋_GB2312" w:hAnsi="仿宋_GB2312" w:cs="仿宋_GB2312" w:eastAsia="仿宋_GB2312"/>
                <w:sz w:val="24"/>
              </w:rPr>
              <w:t>提供及时、专业的咨询服务，解答疑问。</w:t>
            </w:r>
            <w:r>
              <w:rPr>
                <w:rFonts w:ascii="仿宋_GB2312" w:hAnsi="仿宋_GB2312" w:cs="仿宋_GB2312" w:eastAsia="仿宋_GB2312"/>
                <w:sz w:val="24"/>
              </w:rPr>
              <w:t>可</w:t>
            </w:r>
            <w:r>
              <w:rPr>
                <w:rFonts w:ascii="仿宋_GB2312" w:hAnsi="仿宋_GB2312" w:cs="仿宋_GB2312" w:eastAsia="仿宋_GB2312"/>
                <w:sz w:val="24"/>
              </w:rPr>
              <w:t>利用多种媒体平台开展政策宣传；设立专门的咨询热线，配备专业咨询人员。</w:t>
            </w:r>
          </w:p>
          <w:p>
            <w:pPr>
              <w:pStyle w:val="null3"/>
              <w:ind w:firstLine="482"/>
              <w:jc w:val="both"/>
            </w:pPr>
            <w:r>
              <w:rPr>
                <w:rFonts w:ascii="仿宋_GB2312" w:hAnsi="仿宋_GB2312" w:cs="仿宋_GB2312" w:eastAsia="仿宋_GB2312"/>
                <w:sz w:val="24"/>
                <w:b/>
              </w:rPr>
              <w:t>5</w:t>
            </w:r>
            <w:r>
              <w:rPr>
                <w:rFonts w:ascii="仿宋_GB2312" w:hAnsi="仿宋_GB2312" w:cs="仿宋_GB2312" w:eastAsia="仿宋_GB2312"/>
                <w:sz w:val="24"/>
                <w:b/>
              </w:rPr>
              <w:t xml:space="preserve">. </w:t>
            </w:r>
            <w:r>
              <w:rPr>
                <w:rFonts w:ascii="仿宋_GB2312" w:hAnsi="仿宋_GB2312" w:cs="仿宋_GB2312" w:eastAsia="仿宋_GB2312"/>
                <w:sz w:val="24"/>
                <w:b/>
              </w:rPr>
              <w:t>其他相关事项</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积极配合市民政局完成各项相关工作，确保</w:t>
            </w:r>
            <w:r>
              <w:rPr>
                <w:rFonts w:ascii="仿宋_GB2312" w:hAnsi="仿宋_GB2312" w:cs="仿宋_GB2312" w:eastAsia="仿宋_GB2312"/>
                <w:sz w:val="24"/>
              </w:rPr>
              <w:t>本项目</w:t>
            </w:r>
            <w:r>
              <w:rPr>
                <w:rFonts w:ascii="仿宋_GB2312" w:hAnsi="仿宋_GB2312" w:cs="仿宋_GB2312" w:eastAsia="仿宋_GB2312"/>
                <w:sz w:val="24"/>
              </w:rPr>
              <w:t>顺利实施。建立定期沟通机制，及时汇报工作进展，</w:t>
            </w:r>
            <w:r>
              <w:rPr>
                <w:rFonts w:ascii="仿宋_GB2312" w:hAnsi="仿宋_GB2312" w:cs="仿宋_GB2312" w:eastAsia="仿宋_GB2312"/>
                <w:sz w:val="24"/>
              </w:rPr>
              <w:t>并</w:t>
            </w:r>
            <w:r>
              <w:rPr>
                <w:rFonts w:ascii="仿宋_GB2312" w:hAnsi="仿宋_GB2312" w:cs="仿宋_GB2312" w:eastAsia="仿宋_GB2312"/>
                <w:sz w:val="24"/>
              </w:rPr>
              <w:t>提供专业建议。</w:t>
            </w:r>
          </w:p>
          <w:p>
            <w:pPr>
              <w:pStyle w:val="null3"/>
              <w:ind w:firstLine="482"/>
              <w:jc w:val="both"/>
            </w:pPr>
            <w:r>
              <w:rPr>
                <w:rFonts w:ascii="仿宋_GB2312" w:hAnsi="仿宋_GB2312" w:cs="仿宋_GB2312" w:eastAsia="仿宋_GB2312"/>
                <w:sz w:val="24"/>
                <w:b/>
              </w:rPr>
              <w:t>三、其他要求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人员配置</w:t>
            </w:r>
            <w:r>
              <w:rPr>
                <w:rFonts w:ascii="仿宋_GB2312" w:hAnsi="仿宋_GB2312" w:cs="仿宋_GB2312" w:eastAsia="仿宋_GB2312"/>
                <w:sz w:val="24"/>
              </w:rPr>
              <w:t>：经办机构需配备足够数量的专业人员，包括审核人员、评估人员、管理人员等，确保各项工作的顺利开展。</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培训与提升</w:t>
            </w:r>
            <w:r>
              <w:rPr>
                <w:rFonts w:ascii="仿宋_GB2312" w:hAnsi="仿宋_GB2312" w:cs="仿宋_GB2312" w:eastAsia="仿宋_GB2312"/>
                <w:sz w:val="24"/>
              </w:rPr>
              <w:t>：经办机构应定期组织内部培训，提高员工的专业素养和服务水平；同时，关注行业动态，及时引进先进的服务理念和技术手段。</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根据项目情况合理配置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根据项目情况合理配置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供应商应遵照国家标准、规范及技术服务内容和要求作出明确承诺</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单位应负责在项目验收前将项目过程中产生的全部资料整理归档（电子和纸质），并提交至采购方。2.对整个项目的验收包括是否实现了采购人在招标文件中所要求的服务内容,是否与成交单位提出的解决方案中既定目标功能完全一致。 3.本项目的最终验收由采购人、成交单位共同进行。 4.验收依据（1）合同文本及合同补充文件（条款）（2）竞争性磋商文件（3）竞争性磋商响应文件。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2025年12月20日前</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2.未按合同要求提供服务方案或服务方案质量不能满足采购技术要求，采购人有权终止合同，并对成交单位违约行为进行追究，同时按《中华人民共和国政府采购法》的有关规定进行处罚。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成交人在领取成交通知书时提供一正两副纸质竞争性磋商响应文件，纸质竞争性磋商响应文件采用书籍（胶装）方式装订成册，与电子竞争性磋商响应文件一致的签字、盖章的完整版本。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提供截止至开标时间前一年内任意一个月的缴纳凭据（增值税、企业所得税至少提供一种，依法免税的供应商应提供相关文件证明）。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提供具有履行本合同所必需的设备和专业技术能力的说明或承诺</w:t>
            </w:r>
          </w:p>
        </w:tc>
        <w:tc>
          <w:tcPr>
            <w:tcW w:type="dxa" w:w="3322"/>
          </w:tcPr>
          <w:p>
            <w:pPr>
              <w:pStyle w:val="null3"/>
            </w:pPr>
            <w:r>
              <w:rPr>
                <w:rFonts w:ascii="仿宋_GB2312" w:hAnsi="仿宋_GB2312" w:cs="仿宋_GB2312" w:eastAsia="仿宋_GB2312"/>
              </w:rPr>
              <w:t>提供具有履行本合同所必需的设备和专业技术能力的说明或承诺（提供书面说明或承诺，加盖供应商公章）。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法定代表人/负责人授权委托书</w:t>
            </w:r>
          </w:p>
        </w:tc>
        <w:tc>
          <w:tcPr>
            <w:tcW w:type="dxa" w:w="3322"/>
          </w:tcPr>
          <w:p>
            <w:pPr>
              <w:pStyle w:val="null3"/>
            </w:pPr>
            <w:r>
              <w:rPr>
                <w:rFonts w:ascii="仿宋_GB2312" w:hAnsi="仿宋_GB2312" w:cs="仿宋_GB2312" w:eastAsia="仿宋_GB2312"/>
              </w:rPr>
              <w:t>法定代表人/负责人授权委托书（附法定代表人/负责人身份证复印件及被授权人身份证复印件）；法定代表人/负责人直接参加投标提供法定代表人资格证明书（附法定代表人/负责人身份证复印件）；采购文件凡是法定代表人/负责人之处，非法人单位的负责人均参照执行（式样见投标文件格式）。</w:t>
            </w:r>
          </w:p>
        </w:tc>
        <w:tc>
          <w:tcPr>
            <w:tcW w:type="dxa" w:w="1661"/>
          </w:tcPr>
          <w:p>
            <w:pPr>
              <w:pStyle w:val="null3"/>
            </w:pPr>
            <w:r>
              <w:rPr>
                <w:rFonts w:ascii="仿宋_GB2312" w:hAnsi="仿宋_GB2312" w:cs="仿宋_GB2312" w:eastAsia="仿宋_GB2312"/>
              </w:rPr>
              <w:t>资格证明材料.docx 法定代表人授权书（格式）.docx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控股关系查询或声明</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除明确允许供应商可以自行编写的外，磋商响应文件须按照磋商文件给定的格式编制</w:t>
            </w:r>
          </w:p>
        </w:tc>
        <w:tc>
          <w:tcPr>
            <w:tcW w:type="dxa" w:w="3322"/>
          </w:tcPr>
          <w:p>
            <w:pPr>
              <w:pStyle w:val="null3"/>
            </w:pPr>
            <w:r>
              <w:rPr>
                <w:rFonts w:ascii="仿宋_GB2312" w:hAnsi="仿宋_GB2312" w:cs="仿宋_GB2312" w:eastAsia="仿宋_GB2312"/>
              </w:rPr>
              <w:t>除明确允许供应商可以自行编写的外，磋商响应文件是否按照磋商文件给定的格式编制</w:t>
            </w:r>
          </w:p>
        </w:tc>
        <w:tc>
          <w:tcPr>
            <w:tcW w:type="dxa" w:w="1661"/>
          </w:tcPr>
          <w:p>
            <w:pPr>
              <w:pStyle w:val="null3"/>
            </w:pPr>
            <w:r>
              <w:rPr>
                <w:rFonts w:ascii="仿宋_GB2312" w:hAnsi="仿宋_GB2312" w:cs="仿宋_GB2312" w:eastAsia="仿宋_GB2312"/>
              </w:rPr>
              <w:t>响应文件封面 服务内容及要求响应偏离表（格式）.docx 《拒绝政府采购领域商业贿赂承诺书》（格式）.docx 供应商参与政府采购活动的承诺函（格式）.docx 商务应答表（格式）.docx 供应商有必要说明的其他事项（若有）.docx 标的清单 报价表 法定代表人授权书（格式）.docx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磋商响应文件须按照磋商文件的要求盖章签字</w:t>
            </w:r>
          </w:p>
        </w:tc>
        <w:tc>
          <w:tcPr>
            <w:tcW w:type="dxa" w:w="3322"/>
          </w:tcPr>
          <w:p>
            <w:pPr>
              <w:pStyle w:val="null3"/>
            </w:pPr>
            <w:r>
              <w:rPr>
                <w:rFonts w:ascii="仿宋_GB2312" w:hAnsi="仿宋_GB2312" w:cs="仿宋_GB2312" w:eastAsia="仿宋_GB2312"/>
              </w:rPr>
              <w:t>磋商响应文件是否按照磋商文件的要求盖章签字</w:t>
            </w:r>
          </w:p>
        </w:tc>
        <w:tc>
          <w:tcPr>
            <w:tcW w:type="dxa" w:w="1661"/>
          </w:tcPr>
          <w:p>
            <w:pPr>
              <w:pStyle w:val="null3"/>
            </w:pPr>
            <w:r>
              <w:rPr>
                <w:rFonts w:ascii="仿宋_GB2312" w:hAnsi="仿宋_GB2312" w:cs="仿宋_GB2312" w:eastAsia="仿宋_GB2312"/>
              </w:rPr>
              <w:t>老年人能力评估方案.docx 业绩.docx 服务内容及要求响应偏离表（格式）.docx 《拒绝政府采购领域商业贿赂承诺书》（格式）.docx 供应商参与政府采购活动的承诺函（格式）.docx 内部管理制度建设.docx 中小企业声明函 报价表 拟派项目团队主要成员.docx 法定代表人授权书（格式）.docx 合理化建议.docx 响应文件封面 服务质量保证.docx 项目团队组织架构及岗位职责.docx 商务应答表（格式）.docx 残疾人福利性单位声明函 供应商有必要说明的其他事项（若有）.docx 标的清单 重点、难点分析.docx 服务机构管理方案.docx 资格证明材料.docx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磋商报价是否超过采购预算</w:t>
            </w:r>
          </w:p>
        </w:tc>
        <w:tc>
          <w:tcPr>
            <w:tcW w:type="dxa" w:w="3322"/>
          </w:tcPr>
          <w:p>
            <w:pPr>
              <w:pStyle w:val="null3"/>
            </w:pPr>
            <w:r>
              <w:rPr>
                <w:rFonts w:ascii="仿宋_GB2312" w:hAnsi="仿宋_GB2312" w:cs="仿宋_GB2312" w:eastAsia="仿宋_GB2312"/>
              </w:rPr>
              <w:t>磋商报价不得超过采购预算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对磋商文件商务要求须作出明确且实质性响应</w:t>
            </w:r>
          </w:p>
        </w:tc>
        <w:tc>
          <w:tcPr>
            <w:tcW w:type="dxa" w:w="3322"/>
          </w:tcPr>
          <w:p>
            <w:pPr>
              <w:pStyle w:val="null3"/>
            </w:pPr>
            <w:r>
              <w:rPr>
                <w:rFonts w:ascii="仿宋_GB2312" w:hAnsi="仿宋_GB2312" w:cs="仿宋_GB2312" w:eastAsia="仿宋_GB2312"/>
              </w:rPr>
              <w:t>对磋商文件商务要求是否作出明确且实质性响应</w:t>
            </w:r>
          </w:p>
        </w:tc>
        <w:tc>
          <w:tcPr>
            <w:tcW w:type="dxa" w:w="1661"/>
          </w:tcPr>
          <w:p>
            <w:pPr>
              <w:pStyle w:val="null3"/>
            </w:pPr>
            <w:r>
              <w:rPr>
                <w:rFonts w:ascii="仿宋_GB2312" w:hAnsi="仿宋_GB2312" w:cs="仿宋_GB2312" w:eastAsia="仿宋_GB2312"/>
              </w:rPr>
              <w:t>商务应答表（格式）.docx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对磋商文件服务内容和要求未作出明确响应，对不得偏离的要求须作实质性响应</w:t>
            </w:r>
          </w:p>
        </w:tc>
        <w:tc>
          <w:tcPr>
            <w:tcW w:type="dxa" w:w="3322"/>
          </w:tcPr>
          <w:p>
            <w:pPr>
              <w:pStyle w:val="null3"/>
            </w:pPr>
            <w:r>
              <w:rPr>
                <w:rFonts w:ascii="仿宋_GB2312" w:hAnsi="仿宋_GB2312" w:cs="仿宋_GB2312" w:eastAsia="仿宋_GB2312"/>
              </w:rPr>
              <w:t>对磋商文件服务内容和要求是否作出明确响应，对不得偏离的要求是否作了实质性响应</w:t>
            </w:r>
          </w:p>
        </w:tc>
        <w:tc>
          <w:tcPr>
            <w:tcW w:type="dxa" w:w="1661"/>
          </w:tcPr>
          <w:p>
            <w:pPr>
              <w:pStyle w:val="null3"/>
            </w:pPr>
            <w:r>
              <w:rPr>
                <w:rFonts w:ascii="仿宋_GB2312" w:hAnsi="仿宋_GB2312" w:cs="仿宋_GB2312" w:eastAsia="仿宋_GB2312"/>
              </w:rPr>
              <w:t>服务内容及要求响应偏离表（格式）.docx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是否有法律、法规和磋商文件规定的其他无效响应情形</w:t>
            </w:r>
          </w:p>
        </w:tc>
        <w:tc>
          <w:tcPr>
            <w:tcW w:type="dxa" w:w="1661"/>
          </w:tcPr>
          <w:p>
            <w:pPr>
              <w:pStyle w:val="null3"/>
            </w:pPr>
            <w:r>
              <w:rPr>
                <w:rFonts w:ascii="仿宋_GB2312" w:hAnsi="仿宋_GB2312" w:cs="仿宋_GB2312" w:eastAsia="仿宋_GB2312"/>
              </w:rPr>
              <w:t>老年人能力评估方案.docx 业绩.docx 服务内容及要求响应偏离表（格式）.docx 《拒绝政府采购领域商业贿赂承诺书》（格式）.docx 供应商参与政府采购活动的承诺函（格式）.docx 内部管理制度建设.docx 中小企业声明函 报价表 拟派项目团队主要成员.docx 法定代表人授权书（格式）.docx 合理化建议.docx 响应文件封面 服务质量保证.docx 项目团队组织架构及岗位职责.docx 商务应答表（格式）.docx 残疾人福利性单位声明函 供应商有必要说明的其他事项（若有）.docx 标的清单 重点、难点分析.docx 服务机构管理方案.docx 资格证明材料.docx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全面理解该项目的需求及目的，对本项目的关键点、重点和难点做出有针对性的分析，并提出解决方案。 ①内容完善，重难点分析到位，方案切实可行，完全能够保证工作顺利实施的计8分； ②分析内容有欠缺、未突出重难点，分析不到位的计4分； ③只提供框架，无详细内容的或内容不符合本项目实际情况的计1分； ④未提供相关内容的不计分。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重点、难点分析.docx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制定项目实施计划、总体服务流程、系统搭建、培训及宣传计划、设施设备配备情况等。 ①内容详细、具体全面的，计10分； ②只有框架，无实质性内容或条理不清晰的，计8分； ③内容有缺项或只有简单概括、表述模糊的，计4分； ④无此项内容不计分。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服务机构管理方案</w:t>
            </w:r>
          </w:p>
        </w:tc>
        <w:tc>
          <w:tcPr>
            <w:tcW w:type="dxa" w:w="2492"/>
          </w:tcPr>
          <w:p>
            <w:pPr>
              <w:pStyle w:val="null3"/>
            </w:pPr>
            <w:r>
              <w:rPr>
                <w:rFonts w:ascii="仿宋_GB2312" w:hAnsi="仿宋_GB2312" w:cs="仿宋_GB2312" w:eastAsia="仿宋_GB2312"/>
              </w:rPr>
              <w:t>提供针对服务机构的日常管理方案、绩效考核标准及管理制度等； ①内容详细、具体全面的，计10分； ②只有框架，无实质性内容或条理不清晰的，计8分； ③内容有缺项或只有简单概括、表述模糊的，计4分； ④无此项内容的不计分。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服务机构管理方案.docx</w:t>
            </w:r>
          </w:p>
        </w:tc>
      </w:tr>
      <w:tr>
        <w:tc>
          <w:tcPr>
            <w:tcW w:type="dxa" w:w="831"/>
            <w:vMerge/>
          </w:tcPr>
          <w:p/>
        </w:tc>
        <w:tc>
          <w:tcPr>
            <w:tcW w:type="dxa" w:w="1661"/>
          </w:tcPr>
          <w:p>
            <w:pPr>
              <w:pStyle w:val="null3"/>
            </w:pPr>
            <w:r>
              <w:rPr>
                <w:rFonts w:ascii="仿宋_GB2312" w:hAnsi="仿宋_GB2312" w:cs="仿宋_GB2312" w:eastAsia="仿宋_GB2312"/>
              </w:rPr>
              <w:t>老年人能力评估方案</w:t>
            </w:r>
          </w:p>
        </w:tc>
        <w:tc>
          <w:tcPr>
            <w:tcW w:type="dxa" w:w="2492"/>
          </w:tcPr>
          <w:p>
            <w:pPr>
              <w:pStyle w:val="null3"/>
            </w:pPr>
            <w:r>
              <w:rPr>
                <w:rFonts w:ascii="仿宋_GB2312" w:hAnsi="仿宋_GB2312" w:cs="仿宋_GB2312" w:eastAsia="仿宋_GB2312"/>
              </w:rPr>
              <w:t>供应商根据相关规定和标准以专业的角度提供科学客观公正的老年人能力评估方案。 ①方案内容详细、具体全面的，计10分； ②只有框架，无实质性内容或条理不清晰的，计8分； ③内容有缺项或只有简单概括、表述模糊的，计4分； ④无此项内容的不计分。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老年人能力评估方案.docx</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提供针对本项目的质量保证承诺和措施，能确保项目在规定的时间内保质保量的顺利完成。 ①具有完善的承诺和措施，完全能够保证项目的顺利实施的，计10分； ②方案内容有欠缺的或只有书面承诺，缺少具体措施办法的计8分； ③方案内容只有框架或存在缺陷的计4分； ④未提供相关内容的不计分；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服务质量保证.docx</w:t>
            </w:r>
          </w:p>
        </w:tc>
      </w:tr>
      <w:tr>
        <w:tc>
          <w:tcPr>
            <w:tcW w:type="dxa" w:w="831"/>
            <w:vMerge/>
          </w:tcPr>
          <w:p/>
        </w:tc>
        <w:tc>
          <w:tcPr>
            <w:tcW w:type="dxa" w:w="1661"/>
          </w:tcPr>
          <w:p>
            <w:pPr>
              <w:pStyle w:val="null3"/>
            </w:pPr>
            <w:r>
              <w:rPr>
                <w:rFonts w:ascii="仿宋_GB2312" w:hAnsi="仿宋_GB2312" w:cs="仿宋_GB2312" w:eastAsia="仿宋_GB2312"/>
              </w:rPr>
              <w:t>拟派项目团队主要人员</w:t>
            </w:r>
          </w:p>
        </w:tc>
        <w:tc>
          <w:tcPr>
            <w:tcW w:type="dxa" w:w="2492"/>
          </w:tcPr>
          <w:p>
            <w:pPr>
              <w:pStyle w:val="null3"/>
            </w:pPr>
            <w:r>
              <w:rPr>
                <w:rFonts w:ascii="仿宋_GB2312" w:hAnsi="仿宋_GB2312" w:cs="仿宋_GB2312" w:eastAsia="仿宋_GB2312"/>
              </w:rPr>
              <w:t>拟派项目团队主要人员需具备本项目的服务能力，提供合法有效的包括但不限于社会工作者职业资格证书、老年人能力评估专员证书、老年人能力评估师证或医学专业类相关证明等，项目团队每一人具备以上相关证书的计1分，共计10分。（提供证书复印件） 注：项目团队中若有一人持两证或以上的只计1分。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拟派项目团队主要成员.docx</w:t>
            </w:r>
          </w:p>
        </w:tc>
      </w:tr>
      <w:tr>
        <w:tc>
          <w:tcPr>
            <w:tcW w:type="dxa" w:w="831"/>
            <w:vMerge/>
          </w:tcPr>
          <w:p/>
        </w:tc>
        <w:tc>
          <w:tcPr>
            <w:tcW w:type="dxa" w:w="1661"/>
          </w:tcPr>
          <w:p>
            <w:pPr>
              <w:pStyle w:val="null3"/>
            </w:pPr>
            <w:r>
              <w:rPr>
                <w:rFonts w:ascii="仿宋_GB2312" w:hAnsi="仿宋_GB2312" w:cs="仿宋_GB2312" w:eastAsia="仿宋_GB2312"/>
              </w:rPr>
              <w:t>项目团队组织架构及岗位职责</w:t>
            </w:r>
          </w:p>
        </w:tc>
        <w:tc>
          <w:tcPr>
            <w:tcW w:type="dxa" w:w="2492"/>
          </w:tcPr>
          <w:p>
            <w:pPr>
              <w:pStyle w:val="null3"/>
            </w:pPr>
            <w:r>
              <w:rPr>
                <w:rFonts w:ascii="仿宋_GB2312" w:hAnsi="仿宋_GB2312" w:cs="仿宋_GB2312" w:eastAsia="仿宋_GB2312"/>
              </w:rPr>
              <w:t>提供拟派项目团队的详细组织架构、人员配置及岗位职责。 ①人员配置合理，岗位职责明确，完全满足项目需求的计10分； ②人员配置不够完整，岗位职责不明确，基本满足项目需求的计8分； ③人员配置不合理，岗位划分内容缺项的或只有简单概括的，计4分； ④没有提供此项内容的不计分。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项目团队组织架构及岗位职责.docx</w:t>
            </w:r>
          </w:p>
        </w:tc>
      </w:tr>
      <w:tr>
        <w:tc>
          <w:tcPr>
            <w:tcW w:type="dxa" w:w="831"/>
            <w:vMerge/>
          </w:tcPr>
          <w:p/>
        </w:tc>
        <w:tc>
          <w:tcPr>
            <w:tcW w:type="dxa" w:w="1661"/>
          </w:tcPr>
          <w:p>
            <w:pPr>
              <w:pStyle w:val="null3"/>
            </w:pPr>
            <w:r>
              <w:rPr>
                <w:rFonts w:ascii="仿宋_GB2312" w:hAnsi="仿宋_GB2312" w:cs="仿宋_GB2312" w:eastAsia="仿宋_GB2312"/>
              </w:rPr>
              <w:t>内部管理制度建设</w:t>
            </w:r>
          </w:p>
        </w:tc>
        <w:tc>
          <w:tcPr>
            <w:tcW w:type="dxa" w:w="2492"/>
          </w:tcPr>
          <w:p>
            <w:pPr>
              <w:pStyle w:val="null3"/>
            </w:pPr>
            <w:r>
              <w:rPr>
                <w:rFonts w:ascii="仿宋_GB2312" w:hAnsi="仿宋_GB2312" w:cs="仿宋_GB2312" w:eastAsia="仿宋_GB2312"/>
              </w:rPr>
              <w:t>根据服务内容及要求，建立相应的工作制度，包括但不限于人员管理制度、财务制度管理、项目运行管理等配套制度等。 ①制度内容详细、全面、切实可行的，计6分； ②只有框架，无实质性内容的或条理不清晰的，计3分； ③内容缺项的或只有简单概括的，计1分； ④没有提供此项内容的不计分。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内部管理制度建设.docx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根据本项目的特点，对本项目的开展和顺利实施提出切合实际有针对性的合理化建议。 ①根据建议可行性，符合项目实际需求计6分； ②欠缺的或建议不够具体详细的计3分； ③建议不符合实际的计1分； ④没有提供此项内容的不计分。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提供2022年01月01日至响应文件截止时间前的类似业绩，每提供一项计2分，计满10分为止。 注：业绩证明材料为合同或中标通知书，时间以合同或中标通知书签订或发出时间为准。合同扫描件至少应包含合同首页、合同金额所在页及签字盖章页，否则不予认可。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详见附件：法定代表人授权书（格式）.docx</w:t>
      </w:r>
    </w:p>
    <w:p>
      <w:pPr>
        <w:pStyle w:val="null3"/>
        <w:ind w:firstLine="960"/>
      </w:pPr>
      <w:r>
        <w:rPr>
          <w:rFonts w:ascii="仿宋_GB2312" w:hAnsi="仿宋_GB2312" w:cs="仿宋_GB2312" w:eastAsia="仿宋_GB2312"/>
        </w:rPr>
        <w:t>详见附件：供应商参与政府采购活动的承诺函（格式）.docx</w:t>
      </w:r>
    </w:p>
    <w:p>
      <w:pPr>
        <w:pStyle w:val="null3"/>
        <w:ind w:firstLine="960"/>
      </w:pPr>
      <w:r>
        <w:rPr>
          <w:rFonts w:ascii="仿宋_GB2312" w:hAnsi="仿宋_GB2312" w:cs="仿宋_GB2312" w:eastAsia="仿宋_GB2312"/>
        </w:rPr>
        <w:t>详见附件：服务内容及要求响应偏离表（格式）.docx</w:t>
      </w:r>
    </w:p>
    <w:p>
      <w:pPr>
        <w:pStyle w:val="null3"/>
        <w:ind w:firstLine="960"/>
      </w:pPr>
      <w:r>
        <w:rPr>
          <w:rFonts w:ascii="仿宋_GB2312" w:hAnsi="仿宋_GB2312" w:cs="仿宋_GB2312" w:eastAsia="仿宋_GB2312"/>
        </w:rPr>
        <w:t>详见附件：重点、难点分析.docx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详见附件：服务机构管理方案.docx</w:t>
      </w:r>
    </w:p>
    <w:p>
      <w:pPr>
        <w:pStyle w:val="null3"/>
        <w:ind w:firstLine="960"/>
      </w:pPr>
      <w:r>
        <w:rPr>
          <w:rFonts w:ascii="仿宋_GB2312" w:hAnsi="仿宋_GB2312" w:cs="仿宋_GB2312" w:eastAsia="仿宋_GB2312"/>
        </w:rPr>
        <w:t>详见附件：老年人能力评估方案.docx</w:t>
      </w:r>
    </w:p>
    <w:p>
      <w:pPr>
        <w:pStyle w:val="null3"/>
        <w:ind w:firstLine="960"/>
      </w:pPr>
      <w:r>
        <w:rPr>
          <w:rFonts w:ascii="仿宋_GB2312" w:hAnsi="仿宋_GB2312" w:cs="仿宋_GB2312" w:eastAsia="仿宋_GB2312"/>
        </w:rPr>
        <w:t>详见附件：服务质量保证.docx</w:t>
      </w:r>
    </w:p>
    <w:p>
      <w:pPr>
        <w:pStyle w:val="null3"/>
        <w:ind w:firstLine="960"/>
      </w:pPr>
      <w:r>
        <w:rPr>
          <w:rFonts w:ascii="仿宋_GB2312" w:hAnsi="仿宋_GB2312" w:cs="仿宋_GB2312" w:eastAsia="仿宋_GB2312"/>
        </w:rPr>
        <w:t>详见附件：拟派项目团队主要成员.docx</w:t>
      </w:r>
    </w:p>
    <w:p>
      <w:pPr>
        <w:pStyle w:val="null3"/>
        <w:ind w:firstLine="960"/>
      </w:pPr>
      <w:r>
        <w:rPr>
          <w:rFonts w:ascii="仿宋_GB2312" w:hAnsi="仿宋_GB2312" w:cs="仿宋_GB2312" w:eastAsia="仿宋_GB2312"/>
        </w:rPr>
        <w:t>详见附件：项目团队组织架构及岗位职责.docx</w:t>
      </w:r>
    </w:p>
    <w:p>
      <w:pPr>
        <w:pStyle w:val="null3"/>
        <w:ind w:firstLine="960"/>
      </w:pPr>
      <w:r>
        <w:rPr>
          <w:rFonts w:ascii="仿宋_GB2312" w:hAnsi="仿宋_GB2312" w:cs="仿宋_GB2312" w:eastAsia="仿宋_GB2312"/>
        </w:rPr>
        <w:t>详见附件：内部管理制度建设.docx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详见附件：商务应答表（格式）.docx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详见附件：供应商有必要说明的其他事项（若有）.docx</w:t>
      </w:r>
    </w:p>
    <w:p>
      <w:pPr>
        <w:pStyle w:val="null3"/>
        <w:ind w:firstLine="960"/>
      </w:pPr>
      <w:r>
        <w:rPr>
          <w:rFonts w:ascii="仿宋_GB2312" w:hAnsi="仿宋_GB2312" w:cs="仿宋_GB2312" w:eastAsia="仿宋_GB2312"/>
        </w:rPr>
        <w:t>详见附件：《拒绝政府采购领域商业贿赂承诺书》（格式）.docx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详见附件：经办项目服务合同.docx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