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版本号：ZC2025-FW-09120250616001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不动产登记业务资料数据加工处理服务项目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ZC2025-FW-091</w:t>
      </w:r>
      <w:r>
        <w:br/>
      </w:r>
      <w:r>
        <w:br/>
      </w:r>
      <w:r>
        <w:br/>
      </w:r>
    </w:p>
    <w:p>
      <w:pPr>
        <w:pStyle w:val="null3"/>
        <w:jc w:val="center"/>
        <w:outlineLvl w:val="2"/>
      </w:pPr>
      <w:r>
        <w:rPr>
          <w:rFonts w:ascii="仿宋_GB2312" w:hAnsi="仿宋_GB2312" w:cs="仿宋_GB2312" w:eastAsia="仿宋_GB2312"/>
          <w:sz w:val="28"/>
          <w:b/>
        </w:rPr>
        <w:t>西安市不动产登记服务中心</w:t>
      </w:r>
    </w:p>
    <w:p>
      <w:pPr>
        <w:pStyle w:val="null3"/>
        <w:jc w:val="center"/>
        <w:outlineLvl w:val="2"/>
      </w:pPr>
      <w:r>
        <w:rPr>
          <w:rFonts w:ascii="仿宋_GB2312" w:hAnsi="仿宋_GB2312" w:cs="仿宋_GB2312" w:eastAsia="仿宋_GB2312"/>
          <w:sz w:val="28"/>
          <w:b/>
        </w:rPr>
        <w:t>陕西中采项目管理有限公司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陕西中采项目管理有限公司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西安市不动产登记服务中心</w:t>
      </w:r>
      <w:r>
        <w:rPr>
          <w:rFonts w:ascii="仿宋_GB2312" w:hAnsi="仿宋_GB2312" w:cs="仿宋_GB2312" w:eastAsia="仿宋_GB2312"/>
        </w:rPr>
        <w:t>委托，拟对</w:t>
      </w:r>
      <w:r>
        <w:rPr>
          <w:rFonts w:ascii="仿宋_GB2312" w:hAnsi="仿宋_GB2312" w:cs="仿宋_GB2312" w:eastAsia="仿宋_GB2312"/>
        </w:rPr>
        <w:t>不动产登记业务资料数据加工处理服务项目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ZC2025-FW-091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不动产登记业务资料数据加工处理服务项目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持续完善不动产登记系统数据管理，及时向相关部门共享不动产登记数据信息和成果应用，需将2025年度日常工作中产生的不动产登记相关业务资料，及时整理、完善、编目、扫描，并上传至不动产登记管理系统，以确保不动产登记信息数据的完整和利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采购包1（不动产登记业务资料数据加工处理服务项目）：属于专门面向中小企业采购。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主体证明资料：供应商应为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p>
    <w:p>
      <w:pPr>
        <w:pStyle w:val="null3"/>
      </w:pPr>
      <w:r>
        <w:rPr>
          <w:rFonts w:ascii="仿宋_GB2312" w:hAnsi="仿宋_GB2312" w:cs="仿宋_GB2312" w:eastAsia="仿宋_GB2312"/>
        </w:rPr>
        <w:t>2、财务状况报告：供应商须提供会计师事务所出具的2024年度审计报告或提交响应文件截止时间前6个月内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税收缴纳证明：供应商须提供税款所属时间为投标文件截止时间前6个月内，至少一个月纳税证明或完税证明（包含增值税或企业所得税至少一种），纳税证明或完税证明上应有代收机构或税务机关的公章或业务专用章；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4、社会保障资金缴纳证明：供应商须提供缴费月份为投标文件截止时间前6个月内，至少一个月已缴纳的社会保障资金的证明（社会保障资金缴存单据或社保机构开具的社会保险参保缴费情况证明等）；依法不需要缴纳社会保障资金的供应商应提供相关文件证明；依法不需要缴纳社会保障资金的应提供相关文件证明。供应商需在项目电子化交易系统中按要求上传相应证明文件并进行电子签章；</w:t>
      </w:r>
    </w:p>
    <w:p>
      <w:pPr>
        <w:pStyle w:val="null3"/>
      </w:pPr>
      <w:r>
        <w:rPr>
          <w:rFonts w:ascii="仿宋_GB2312" w:hAnsi="仿宋_GB2312" w:cs="仿宋_GB2312" w:eastAsia="仿宋_GB2312"/>
        </w:rPr>
        <w:t>5、供应商提供具有履行本合同所必需的设备和专业技术能力的承诺函：供应商须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6、信用证明：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供应商需在项目电子化交易系统中按要求上传相应证明文件并进行电子签章（不强制要求供应商提供查询截图，以开标当天网上查询结果为评审依据）；</w:t>
      </w:r>
    </w:p>
    <w:p>
      <w:pPr>
        <w:pStyle w:val="null3"/>
      </w:pPr>
      <w:r>
        <w:rPr>
          <w:rFonts w:ascii="仿宋_GB2312" w:hAnsi="仿宋_GB2312" w:cs="仿宋_GB2312" w:eastAsia="仿宋_GB2312"/>
        </w:rPr>
        <w:t>7、法定代表人或法定代表人授权书：供应商应授权合法的人员参加磋商全过程，其中法定代表人直接参加磋商的，须出具法人身份证明，且与营业执照或其他证明资料上信息一致。法定代表人授权代表参加磋商的，须出具法定代表人授权书及授权代表身份证复印件或扫描件；自然人参加磋商的须提供身份证复印件或扫描件。供应商需在项目电子化交易系统中按要求上传相应证明文件并进行电子签章；</w:t>
      </w:r>
    </w:p>
    <w:p>
      <w:pPr>
        <w:pStyle w:val="null3"/>
      </w:pPr>
      <w:r>
        <w:rPr>
          <w:rFonts w:ascii="仿宋_GB2312" w:hAnsi="仿宋_GB2312" w:cs="仿宋_GB2312" w:eastAsia="仿宋_GB2312"/>
        </w:rPr>
        <w:t>8、联合体磋商：本项目不接受联合体磋商（注：以响应文件中提供的非联合体磋商的声明为准）。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西安市不动产登记服务中心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西安市雁塔区朱雀大街中段21号朱雀云天大厦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029-85569560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西安市高新区高新三路9号新时代大厦西四楼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张小鸽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029-88856058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说明：合同签订后，供应商须向采购代理公司缴纳合同金额10%的履约保证金。项目整体经采购人验收合格后，并经采购人同意后退还履约保证金。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员会办公厅颁发的《关于招标代理服务收费有关问题的通知》规定的服务类标准收取，不足5000.00元按5000.00元收取。由成交供应商在领取成交通知书之前一次性向采购代理机构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西安市不动产登记服务中心</w:t>
      </w:r>
      <w:r>
        <w:rPr>
          <w:rFonts w:ascii="仿宋_GB2312" w:hAnsi="仿宋_GB2312" w:cs="仿宋_GB2312" w:eastAsia="仿宋_GB2312"/>
        </w:rPr>
        <w:t>和</w:t>
      </w:r>
      <w:r>
        <w:rPr>
          <w:rFonts w:ascii="仿宋_GB2312" w:hAnsi="仿宋_GB2312" w:cs="仿宋_GB2312" w:eastAsia="仿宋_GB2312"/>
        </w:rPr>
        <w:t>陕西中采项目管理有限公司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西安市不动产登记服务中心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西安市不动产登记服务中心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符合国家、省、市及行业标准要求，符合采购人要求。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联系人：张小鸽</w:t>
      </w:r>
    </w:p>
    <w:p>
      <w:pPr>
        <w:pStyle w:val="null3"/>
      </w:pPr>
      <w:r>
        <w:rPr>
          <w:rFonts w:ascii="仿宋_GB2312" w:hAnsi="仿宋_GB2312" w:cs="仿宋_GB2312" w:eastAsia="仿宋_GB2312"/>
        </w:rPr>
        <w:t>联系电话：029-88856058</w:t>
      </w:r>
    </w:p>
    <w:p>
      <w:pPr>
        <w:pStyle w:val="null3"/>
      </w:pPr>
      <w:r>
        <w:rPr>
          <w:rFonts w:ascii="仿宋_GB2312" w:hAnsi="仿宋_GB2312" w:cs="仿宋_GB2312" w:eastAsia="仿宋_GB2312"/>
        </w:rPr>
        <w:t>地址：西安市高新区高新三路9号新时代大厦西四楼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持续完善不动产登记系统数据管理，及时向相关部门共享不动产登记数据信息和成果应用，需将2025年度日常工作中产生的不动产登记相关业务资料，及时整理、完善、编目、扫描，并上传至不动产登记管理系统，以确保不动产登记信息数据的完整和利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登记业务资料数据处理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标的名称：登记业务资料数据处理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FF"/>
              </w:rPr>
              <w:t>一</w:t>
            </w:r>
            <w:r>
              <w:rPr>
                <w:rFonts w:ascii="仿宋_GB2312" w:hAnsi="仿宋_GB2312" w:cs="仿宋_GB2312" w:eastAsia="仿宋_GB2312"/>
                <w:sz w:val="21"/>
                <w:b/>
                <w:color w:val="0000FF"/>
              </w:rPr>
              <w:t>、</w:t>
            </w:r>
            <w:r>
              <w:rPr>
                <w:rFonts w:ascii="仿宋_GB2312" w:hAnsi="仿宋_GB2312" w:cs="仿宋_GB2312" w:eastAsia="仿宋_GB2312"/>
                <w:sz w:val="21"/>
                <w:b/>
                <w:color w:val="0000FF"/>
              </w:rPr>
              <w:t>项目概况</w:t>
            </w:r>
          </w:p>
          <w:p>
            <w:pPr>
              <w:pStyle w:val="null3"/>
              <w:ind w:firstLine="420"/>
              <w:jc w:val="both"/>
            </w:pPr>
            <w:r>
              <w:rPr>
                <w:rFonts w:ascii="仿宋_GB2312" w:hAnsi="仿宋_GB2312" w:cs="仿宋_GB2312" w:eastAsia="仿宋_GB2312"/>
                <w:sz w:val="21"/>
                <w:color w:val="0000FF"/>
              </w:rPr>
              <w:t>为了持续完善不动产登记系统数据管理，及时向相关部门共享不动产登记数据信息和成果应用，需将</w:t>
            </w:r>
            <w:r>
              <w:rPr>
                <w:rFonts w:ascii="仿宋_GB2312" w:hAnsi="仿宋_GB2312" w:cs="仿宋_GB2312" w:eastAsia="仿宋_GB2312"/>
                <w:sz w:val="21"/>
                <w:color w:val="0000FF"/>
              </w:rPr>
              <w:t>2025年度日常工作中产生的不动产登记相关业务资料，及时整理、完善、编目、扫描，并上传至不动产登记管理系统，以确保不动产登记信息数据的完整和利用。</w:t>
            </w:r>
          </w:p>
          <w:p>
            <w:pPr>
              <w:pStyle w:val="null3"/>
              <w:jc w:val="both"/>
            </w:pPr>
            <w:r>
              <w:rPr>
                <w:rFonts w:ascii="仿宋_GB2312" w:hAnsi="仿宋_GB2312" w:cs="仿宋_GB2312" w:eastAsia="仿宋_GB2312"/>
                <w:sz w:val="21"/>
                <w:b/>
                <w:color w:val="0000FF"/>
              </w:rPr>
              <w:t>二、</w:t>
            </w:r>
            <w:r>
              <w:rPr>
                <w:rFonts w:ascii="仿宋_GB2312" w:hAnsi="仿宋_GB2312" w:cs="仿宋_GB2312" w:eastAsia="仿宋_GB2312"/>
                <w:sz w:val="21"/>
                <w:b/>
                <w:color w:val="0000FF"/>
              </w:rPr>
              <w:t>服务内容</w:t>
            </w:r>
            <w:r>
              <w:rPr>
                <w:rFonts w:ascii="仿宋_GB2312" w:hAnsi="仿宋_GB2312" w:cs="仿宋_GB2312" w:eastAsia="仿宋_GB2312"/>
                <w:sz w:val="21"/>
                <w:b/>
                <w:color w:val="0000FF"/>
              </w:rPr>
              <w:t>及技术要求</w:t>
            </w:r>
          </w:p>
          <w:p>
            <w:pPr>
              <w:pStyle w:val="null3"/>
              <w:ind w:firstLine="422"/>
              <w:jc w:val="both"/>
            </w:pPr>
            <w:r>
              <w:rPr>
                <w:rFonts w:ascii="仿宋_GB2312" w:hAnsi="仿宋_GB2312" w:cs="仿宋_GB2312" w:eastAsia="仿宋_GB2312"/>
                <w:sz w:val="21"/>
                <w:b/>
                <w:color w:val="0000FF"/>
              </w:rPr>
              <w:t>(一)服务内容</w:t>
            </w:r>
          </w:p>
          <w:p>
            <w:pPr>
              <w:pStyle w:val="null3"/>
              <w:ind w:firstLine="420"/>
              <w:jc w:val="both"/>
            </w:pPr>
            <w:r>
              <w:rPr>
                <w:rFonts w:ascii="仿宋_GB2312" w:hAnsi="仿宋_GB2312" w:cs="仿宋_GB2312" w:eastAsia="仿宋_GB2312"/>
                <w:sz w:val="21"/>
                <w:color w:val="0000FF"/>
              </w:rPr>
              <w:t>供应商需将</w:t>
            </w:r>
            <w:r>
              <w:rPr>
                <w:rFonts w:ascii="仿宋_GB2312" w:hAnsi="仿宋_GB2312" w:cs="仿宋_GB2312" w:eastAsia="仿宋_GB2312"/>
                <w:sz w:val="21"/>
                <w:color w:val="0000FF"/>
              </w:rPr>
              <w:t>2025年度日常工作中产生的不动产登记相关业务档案资料(预估约24万卷)完成整理扫描、系统挂接等工作，将资料及时整理、上传至不动产登记管理系统。</w:t>
            </w:r>
          </w:p>
          <w:p>
            <w:pPr>
              <w:pStyle w:val="null3"/>
              <w:ind w:firstLine="422"/>
              <w:jc w:val="both"/>
            </w:pPr>
            <w:r>
              <w:rPr>
                <w:rFonts w:ascii="仿宋_GB2312" w:hAnsi="仿宋_GB2312" w:cs="仿宋_GB2312" w:eastAsia="仿宋_GB2312"/>
                <w:sz w:val="21"/>
                <w:b/>
                <w:color w:val="0000FF"/>
              </w:rPr>
              <w:t>(二)技术要求</w:t>
            </w:r>
          </w:p>
          <w:p>
            <w:pPr>
              <w:pStyle w:val="null3"/>
              <w:ind w:firstLine="420"/>
              <w:jc w:val="both"/>
            </w:pPr>
            <w:r>
              <w:rPr>
                <w:rFonts w:ascii="仿宋_GB2312" w:hAnsi="仿宋_GB2312" w:cs="仿宋_GB2312" w:eastAsia="仿宋_GB2312"/>
                <w:sz w:val="21"/>
                <w:color w:val="0000FF"/>
              </w:rPr>
              <w:t>本项目依据行业的有关标准规范实施，参照规范包括但不限于如下：</w:t>
            </w:r>
          </w:p>
          <w:p>
            <w:pPr>
              <w:pStyle w:val="null3"/>
              <w:ind w:firstLine="420"/>
              <w:jc w:val="both"/>
            </w:pPr>
            <w:r>
              <w:rPr>
                <w:rFonts w:ascii="仿宋_GB2312" w:hAnsi="仿宋_GB2312" w:cs="仿宋_GB2312" w:eastAsia="仿宋_GB2312"/>
                <w:sz w:val="21"/>
                <w:color w:val="0000FF"/>
              </w:rPr>
              <w:t>1.DA/T 31-2017中华人民共和国档案行业标准《纸质档案数字化规范》；</w:t>
            </w:r>
          </w:p>
          <w:p>
            <w:pPr>
              <w:pStyle w:val="null3"/>
              <w:ind w:firstLine="420"/>
              <w:jc w:val="both"/>
            </w:pPr>
            <w:r>
              <w:rPr>
                <w:rFonts w:ascii="仿宋_GB2312" w:hAnsi="仿宋_GB2312" w:cs="仿宋_GB2312" w:eastAsia="仿宋_GB2312"/>
                <w:sz w:val="21"/>
                <w:color w:val="0000FF"/>
              </w:rPr>
              <w:t>2.DA/T18-2022《档案著录规则》；</w:t>
            </w:r>
          </w:p>
          <w:p>
            <w:pPr>
              <w:pStyle w:val="null3"/>
              <w:ind w:firstLine="420"/>
              <w:jc w:val="both"/>
            </w:pPr>
            <w:r>
              <w:rPr>
                <w:rFonts w:ascii="仿宋_GB2312" w:hAnsi="仿宋_GB2312" w:cs="仿宋_GB2312" w:eastAsia="仿宋_GB2312"/>
                <w:sz w:val="21"/>
                <w:color w:val="0000FF"/>
              </w:rPr>
              <w:t>3.GB/T 18894-2016《电子文件归档与电子档案管理规范》；</w:t>
            </w:r>
          </w:p>
          <w:p>
            <w:pPr>
              <w:pStyle w:val="null3"/>
              <w:ind w:firstLine="420"/>
              <w:jc w:val="both"/>
            </w:pPr>
            <w:r>
              <w:rPr>
                <w:rFonts w:ascii="仿宋_GB2312" w:hAnsi="仿宋_GB2312" w:cs="仿宋_GB2312" w:eastAsia="仿宋_GB2312"/>
                <w:sz w:val="21"/>
                <w:color w:val="0000FF"/>
              </w:rPr>
              <w:t>4.《中华人民共和国档案法》；</w:t>
            </w:r>
          </w:p>
          <w:p>
            <w:pPr>
              <w:pStyle w:val="null3"/>
              <w:ind w:firstLine="420"/>
              <w:jc w:val="both"/>
            </w:pPr>
            <w:r>
              <w:rPr>
                <w:rFonts w:ascii="仿宋_GB2312" w:hAnsi="仿宋_GB2312" w:cs="仿宋_GB2312" w:eastAsia="仿宋_GB2312"/>
                <w:sz w:val="21"/>
                <w:color w:val="0000FF"/>
              </w:rPr>
              <w:t>5.GB/T7156-2003《文献保密等级代码与标识》；</w:t>
            </w:r>
          </w:p>
          <w:p>
            <w:pPr>
              <w:pStyle w:val="null3"/>
              <w:ind w:firstLine="420"/>
              <w:jc w:val="both"/>
            </w:pPr>
            <w:r>
              <w:rPr>
                <w:rFonts w:ascii="仿宋_GB2312" w:hAnsi="仿宋_GB2312" w:cs="仿宋_GB2312" w:eastAsia="仿宋_GB2312"/>
                <w:sz w:val="21"/>
                <w:color w:val="0000FF"/>
              </w:rPr>
              <w:t>6.《信息技术连续色调静态图像的数字压缩及编码第1部分:要求和指南》GB/T 17235.1-1998；</w:t>
            </w:r>
          </w:p>
          <w:p>
            <w:pPr>
              <w:pStyle w:val="null3"/>
              <w:ind w:firstLine="420"/>
              <w:jc w:val="both"/>
            </w:pPr>
            <w:r>
              <w:rPr>
                <w:rFonts w:ascii="仿宋_GB2312" w:hAnsi="仿宋_GB2312" w:cs="仿宋_GB2312" w:eastAsia="仿宋_GB2312"/>
                <w:sz w:val="21"/>
                <w:color w:val="0000FF"/>
              </w:rPr>
              <w:t>7.《信息技术连续色调静态图像的数字压缩及编码第2部分:一致性测试》GB/T17235.2-1998。</w:t>
            </w:r>
            <w:r>
              <w:rPr>
                <w:rFonts w:ascii="仿宋_GB2312" w:hAnsi="仿宋_GB2312" w:cs="仿宋_GB2312" w:eastAsia="仿宋_GB2312"/>
              </w:rPr>
              <w:t xml:space="preserve"> </w:t>
            </w:r>
          </w:p>
          <w:p>
            <w:pPr>
              <w:pStyle w:val="null3"/>
              <w:ind w:firstLine="422"/>
              <w:jc w:val="both"/>
            </w:pPr>
            <w:r>
              <w:rPr>
                <w:rFonts w:ascii="仿宋_GB2312" w:hAnsi="仿宋_GB2312" w:cs="仿宋_GB2312" w:eastAsia="仿宋_GB2312"/>
                <w:sz w:val="21"/>
                <w:b/>
                <w:color w:val="0000FF"/>
              </w:rPr>
              <w:t>三、服务要求</w:t>
            </w:r>
          </w:p>
          <w:p>
            <w:pPr>
              <w:pStyle w:val="null3"/>
              <w:ind w:firstLine="420"/>
              <w:jc w:val="both"/>
            </w:pPr>
            <w:r>
              <w:rPr>
                <w:rFonts w:ascii="仿宋_GB2312" w:hAnsi="仿宋_GB2312" w:cs="仿宋_GB2312" w:eastAsia="仿宋_GB2312"/>
                <w:sz w:val="21"/>
                <w:color w:val="0000FF"/>
              </w:rPr>
              <w:t>需将</w:t>
            </w:r>
            <w:r>
              <w:rPr>
                <w:rFonts w:ascii="仿宋_GB2312" w:hAnsi="仿宋_GB2312" w:cs="仿宋_GB2312" w:eastAsia="仿宋_GB2312"/>
                <w:sz w:val="21"/>
                <w:color w:val="0000FF"/>
              </w:rPr>
              <w:t>2025年度日常工作中产生的不动产登记相关业务档案资料(预估约24万卷)完成整理扫描及系统挂接工作</w:t>
            </w:r>
            <w:r>
              <w:rPr>
                <w:rFonts w:ascii="仿宋_GB2312" w:hAnsi="仿宋_GB2312" w:cs="仿宋_GB2312" w:eastAsia="仿宋_GB2312"/>
                <w:sz w:val="21"/>
                <w:color w:val="0000FF"/>
              </w:rPr>
              <w:t>：</w:t>
            </w:r>
            <w:r>
              <w:rPr>
                <w:rFonts w:ascii="仿宋_GB2312" w:hAnsi="仿宋_GB2312" w:cs="仿宋_GB2312" w:eastAsia="仿宋_GB2312"/>
                <w:sz w:val="21"/>
                <w:color w:val="0000FF"/>
              </w:rPr>
              <w:t>将全部不动产登记业务纸质资料进行整理、完善、编目、扫描，并在不动产信息管理平台中挂接扫描图像。要求资料扫描加工处理流程设计合理，录入与图像扫描处理功能完整，保证数字化加工质量，严格质检方法、数据准确性和完整性，实体档案的安全和原始性，并对业务资料数据进行保密。</w:t>
            </w:r>
          </w:p>
          <w:p>
            <w:pPr>
              <w:pStyle w:val="null3"/>
              <w:ind w:firstLine="420"/>
              <w:jc w:val="both"/>
            </w:pPr>
            <w:r>
              <w:rPr>
                <w:rFonts w:ascii="仿宋_GB2312" w:hAnsi="仿宋_GB2312" w:cs="仿宋_GB2312" w:eastAsia="仿宋_GB2312"/>
                <w:sz w:val="21"/>
                <w:color w:val="0000FF"/>
              </w:rPr>
              <w:t>3.1电子化技术参数</w:t>
            </w:r>
          </w:p>
          <w:p>
            <w:pPr>
              <w:pStyle w:val="null3"/>
              <w:ind w:firstLine="420"/>
              <w:jc w:val="both"/>
            </w:pPr>
            <w:r>
              <w:rPr>
                <w:rFonts w:ascii="仿宋_GB2312" w:hAnsi="仿宋_GB2312" w:cs="仿宋_GB2312" w:eastAsia="仿宋_GB2312"/>
                <w:sz w:val="21"/>
                <w:color w:val="0000FF"/>
              </w:rPr>
              <w:t>(1)扫描模式</w:t>
            </w:r>
            <w:r>
              <w:rPr>
                <w:rFonts w:ascii="仿宋_GB2312" w:hAnsi="仿宋_GB2312" w:cs="仿宋_GB2312" w:eastAsia="仿宋_GB2312"/>
                <w:sz w:val="21"/>
                <w:color w:val="0000FF"/>
              </w:rPr>
              <w:t>：</w:t>
            </w:r>
            <w:r>
              <w:rPr>
                <w:rFonts w:ascii="仿宋_GB2312" w:hAnsi="仿宋_GB2312" w:cs="仿宋_GB2312" w:eastAsia="仿宋_GB2312"/>
                <w:sz w:val="21"/>
                <w:color w:val="0000FF"/>
              </w:rPr>
              <w:t>要求</w:t>
            </w:r>
            <w:r>
              <w:rPr>
                <w:rFonts w:ascii="仿宋_GB2312" w:hAnsi="仿宋_GB2312" w:cs="仿宋_GB2312" w:eastAsia="仿宋_GB2312"/>
                <w:sz w:val="21"/>
                <w:color w:val="0000FF"/>
              </w:rPr>
              <w:t>24位彩色扫描。</w:t>
            </w:r>
          </w:p>
          <w:p>
            <w:pPr>
              <w:pStyle w:val="null3"/>
              <w:ind w:firstLine="420"/>
              <w:jc w:val="both"/>
            </w:pPr>
            <w:r>
              <w:rPr>
                <w:rFonts w:ascii="仿宋_GB2312" w:hAnsi="仿宋_GB2312" w:cs="仿宋_GB2312" w:eastAsia="仿宋_GB2312"/>
                <w:sz w:val="21"/>
                <w:color w:val="0000FF"/>
              </w:rPr>
              <w:t>(2)图片分辨率</w:t>
            </w:r>
            <w:r>
              <w:rPr>
                <w:rFonts w:ascii="仿宋_GB2312" w:hAnsi="仿宋_GB2312" w:cs="仿宋_GB2312" w:eastAsia="仿宋_GB2312"/>
                <w:sz w:val="21"/>
                <w:color w:val="0000FF"/>
              </w:rPr>
              <w:t>：</w:t>
            </w:r>
            <w:r>
              <w:rPr>
                <w:rFonts w:ascii="仿宋_GB2312" w:hAnsi="仿宋_GB2312" w:cs="仿宋_GB2312" w:eastAsia="仿宋_GB2312"/>
                <w:sz w:val="21"/>
                <w:color w:val="0000FF"/>
              </w:rPr>
              <w:t>正常情况下不低于</w:t>
            </w:r>
            <w:r>
              <w:rPr>
                <w:rFonts w:ascii="仿宋_GB2312" w:hAnsi="仿宋_GB2312" w:cs="仿宋_GB2312" w:eastAsia="仿宋_GB2312"/>
                <w:sz w:val="21"/>
                <w:color w:val="0000FF"/>
              </w:rPr>
              <w:t>300dpi，对于原件不清晰的资料，可适当调高分辨率，以保证扫描图像清晰可见。</w:t>
            </w:r>
          </w:p>
          <w:p>
            <w:pPr>
              <w:pStyle w:val="null3"/>
              <w:ind w:firstLine="420"/>
              <w:jc w:val="both"/>
            </w:pPr>
            <w:r>
              <w:rPr>
                <w:rFonts w:ascii="仿宋_GB2312" w:hAnsi="仿宋_GB2312" w:cs="仿宋_GB2312" w:eastAsia="仿宋_GB2312"/>
                <w:sz w:val="21"/>
                <w:color w:val="0000FF"/>
              </w:rPr>
              <w:t>(3)图像存储格式</w:t>
            </w:r>
            <w:r>
              <w:rPr>
                <w:rFonts w:ascii="仿宋_GB2312" w:hAnsi="仿宋_GB2312" w:cs="仿宋_GB2312" w:eastAsia="仿宋_GB2312"/>
                <w:sz w:val="21"/>
                <w:color w:val="0000FF"/>
              </w:rPr>
              <w:t>：</w:t>
            </w:r>
            <w:r>
              <w:rPr>
                <w:rFonts w:ascii="仿宋_GB2312" w:hAnsi="仿宋_GB2312" w:cs="仿宋_GB2312" w:eastAsia="仿宋_GB2312"/>
                <w:sz w:val="21"/>
                <w:color w:val="0000FF"/>
              </w:rPr>
              <w:t>图像以页为单位分别存储，图像存储格式为</w:t>
            </w:r>
            <w:r>
              <w:rPr>
                <w:rFonts w:ascii="仿宋_GB2312" w:hAnsi="仿宋_GB2312" w:cs="仿宋_GB2312" w:eastAsia="仿宋_GB2312"/>
                <w:sz w:val="21"/>
                <w:color w:val="0000FF"/>
              </w:rPr>
              <w:t>JPEG，图像数据原文件保存为ZIP压缩的JPEG格式。</w:t>
            </w:r>
          </w:p>
          <w:p>
            <w:pPr>
              <w:pStyle w:val="null3"/>
              <w:ind w:firstLine="420"/>
              <w:jc w:val="both"/>
            </w:pPr>
            <w:r>
              <w:rPr>
                <w:rFonts w:ascii="仿宋_GB2312" w:hAnsi="仿宋_GB2312" w:cs="仿宋_GB2312" w:eastAsia="仿宋_GB2312"/>
                <w:sz w:val="21"/>
                <w:color w:val="0000FF"/>
              </w:rPr>
              <w:t>3.2设备要求</w:t>
            </w:r>
          </w:p>
          <w:p>
            <w:pPr>
              <w:pStyle w:val="null3"/>
              <w:ind w:firstLine="4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1）</w:t>
            </w:r>
            <w:r>
              <w:rPr>
                <w:rFonts w:ascii="仿宋_GB2312" w:hAnsi="仿宋_GB2312" w:cs="仿宋_GB2312" w:eastAsia="仿宋_GB2312"/>
                <w:sz w:val="21"/>
                <w:color w:val="0000FF"/>
              </w:rPr>
              <w:t>采用扫描设备和扫描方法进行扫描，不得对业务资料和图纸造成损坏，避免纸张褶皱、破损等损坏情况。</w:t>
            </w:r>
          </w:p>
          <w:p>
            <w:pPr>
              <w:pStyle w:val="null3"/>
              <w:ind w:firstLine="420"/>
              <w:jc w:val="both"/>
            </w:pPr>
            <w:r>
              <w:rPr>
                <w:rFonts w:ascii="仿宋_GB2312" w:hAnsi="仿宋_GB2312" w:cs="仿宋_GB2312" w:eastAsia="仿宋_GB2312"/>
                <w:sz w:val="21"/>
                <w:color w:val="0000FF"/>
              </w:rPr>
              <w:t>(2)供应商须自行配备扫描设备，包含配备不需要拆装原卷进行扫描的设备，以保证不宜拆装的老旧资料及硬壳资料的及时扫描完成。</w:t>
            </w:r>
          </w:p>
          <w:p>
            <w:pPr>
              <w:pStyle w:val="null3"/>
              <w:ind w:firstLine="420"/>
              <w:jc w:val="both"/>
            </w:pPr>
            <w:r>
              <w:rPr>
                <w:rFonts w:ascii="仿宋_GB2312" w:hAnsi="仿宋_GB2312" w:cs="仿宋_GB2312" w:eastAsia="仿宋_GB2312"/>
                <w:sz w:val="21"/>
                <w:color w:val="0000FF"/>
              </w:rPr>
              <w:t>3.3 扫描内容要求</w:t>
            </w:r>
          </w:p>
          <w:p>
            <w:pPr>
              <w:pStyle w:val="null3"/>
              <w:ind w:firstLine="420"/>
              <w:jc w:val="both"/>
            </w:pPr>
            <w:r>
              <w:rPr>
                <w:rFonts w:ascii="仿宋_GB2312" w:hAnsi="仿宋_GB2312" w:cs="仿宋_GB2312" w:eastAsia="仿宋_GB2312"/>
                <w:sz w:val="21"/>
                <w:color w:val="0000FF"/>
              </w:rPr>
              <w:t>数字化图像需完整，图片应与纸质资料数量一致，不能漏扫、重扫、多扫，不动产信息管理平台上传的扫描图像文件与纸质资料清单一一对应，必须保证平台目录数据库与图像文件</w:t>
            </w:r>
            <w:r>
              <w:rPr>
                <w:rFonts w:ascii="仿宋_GB2312" w:hAnsi="仿宋_GB2312" w:cs="仿宋_GB2312" w:eastAsia="仿宋_GB2312"/>
                <w:sz w:val="21"/>
                <w:color w:val="0000FF"/>
              </w:rPr>
              <w:t>一一</w:t>
            </w:r>
            <w:r>
              <w:rPr>
                <w:rFonts w:ascii="仿宋_GB2312" w:hAnsi="仿宋_GB2312" w:cs="仿宋_GB2312" w:eastAsia="仿宋_GB2312"/>
                <w:sz w:val="21"/>
                <w:color w:val="0000FF"/>
              </w:rPr>
              <w:t>匹配，不得有错挂、漏挂、重复的情况存在，扫描过程中不能确定文件类型的，需与采购</w:t>
            </w:r>
            <w:r>
              <w:rPr>
                <w:rFonts w:ascii="仿宋_GB2312" w:hAnsi="仿宋_GB2312" w:cs="仿宋_GB2312" w:eastAsia="仿宋_GB2312"/>
                <w:sz w:val="21"/>
                <w:color w:val="0000FF"/>
              </w:rPr>
              <w:t>人</w:t>
            </w:r>
            <w:r>
              <w:rPr>
                <w:rFonts w:ascii="仿宋_GB2312" w:hAnsi="仿宋_GB2312" w:cs="仿宋_GB2312" w:eastAsia="仿宋_GB2312"/>
                <w:sz w:val="21"/>
                <w:color w:val="0000FF"/>
              </w:rPr>
              <w:t>核实确认后进行扫描归类。</w:t>
            </w:r>
          </w:p>
          <w:p>
            <w:pPr>
              <w:pStyle w:val="null3"/>
              <w:ind w:firstLine="420"/>
              <w:jc w:val="both"/>
            </w:pPr>
            <w:r>
              <w:rPr>
                <w:rFonts w:ascii="仿宋_GB2312" w:hAnsi="仿宋_GB2312" w:cs="仿宋_GB2312" w:eastAsia="仿宋_GB2312"/>
                <w:sz w:val="21"/>
                <w:color w:val="0000FF"/>
              </w:rPr>
              <w:t>3.4 扫描顺序及数量要求</w:t>
            </w:r>
          </w:p>
          <w:p>
            <w:pPr>
              <w:pStyle w:val="null3"/>
              <w:ind w:firstLine="420"/>
              <w:jc w:val="both"/>
            </w:pPr>
            <w:r>
              <w:rPr>
                <w:rFonts w:ascii="仿宋_GB2312" w:hAnsi="仿宋_GB2312" w:cs="仿宋_GB2312" w:eastAsia="仿宋_GB2312"/>
                <w:sz w:val="21"/>
                <w:color w:val="0000FF"/>
              </w:rPr>
              <w:t>扫描时，按事先整理好的资料顺序参照平台目录逐项对应扫描，顺序不可颠倒</w:t>
            </w:r>
            <w:r>
              <w:rPr>
                <w:rFonts w:ascii="仿宋_GB2312" w:hAnsi="仿宋_GB2312" w:cs="仿宋_GB2312" w:eastAsia="仿宋_GB2312"/>
                <w:sz w:val="21"/>
                <w:color w:val="0000FF"/>
              </w:rPr>
              <w:t>；</w:t>
            </w:r>
            <w:r>
              <w:rPr>
                <w:rFonts w:ascii="仿宋_GB2312" w:hAnsi="仿宋_GB2312" w:cs="仿宋_GB2312" w:eastAsia="仿宋_GB2312"/>
                <w:sz w:val="21"/>
                <w:color w:val="0000FF"/>
              </w:rPr>
              <w:t>上传的图像与纸质内容数量一致。</w:t>
            </w:r>
          </w:p>
          <w:p>
            <w:pPr>
              <w:pStyle w:val="null3"/>
              <w:ind w:firstLine="420"/>
              <w:jc w:val="both"/>
            </w:pPr>
            <w:r>
              <w:rPr>
                <w:rFonts w:ascii="仿宋_GB2312" w:hAnsi="仿宋_GB2312" w:cs="仿宋_GB2312" w:eastAsia="仿宋_GB2312"/>
                <w:sz w:val="21"/>
                <w:color w:val="0000FF"/>
              </w:rPr>
              <w:t>(1)对于需拆装扫描的资料，确保扫描的文件内容顺序一致、页码完整，避免重扫、漏扫情况发生，扫描完成后及时按拆装前装订方式进行装订，确保资料内容顺序一致、页码完整，无正反颠倒、页码混乱、漏订等情况。</w:t>
            </w:r>
          </w:p>
          <w:p>
            <w:pPr>
              <w:pStyle w:val="null3"/>
              <w:ind w:firstLine="420"/>
              <w:jc w:val="both"/>
            </w:pPr>
            <w:r>
              <w:rPr>
                <w:rFonts w:ascii="仿宋_GB2312" w:hAnsi="仿宋_GB2312" w:cs="仿宋_GB2312" w:eastAsia="仿宋_GB2312"/>
                <w:sz w:val="21"/>
                <w:color w:val="0000FF"/>
              </w:rPr>
              <w:t>(2)针对老旧资料，须以保护纸质档案为原则，采用不拆卷扫描设备和方法进行扫描。对于轻度破损的档案资料，应采取数字化前修复处理</w:t>
            </w:r>
            <w:r>
              <w:rPr>
                <w:rFonts w:ascii="仿宋_GB2312" w:hAnsi="仿宋_GB2312" w:cs="仿宋_GB2312" w:eastAsia="仿宋_GB2312"/>
                <w:sz w:val="21"/>
                <w:color w:val="0000FF"/>
              </w:rPr>
              <w:t>；</w:t>
            </w:r>
            <w:r>
              <w:rPr>
                <w:rFonts w:ascii="仿宋_GB2312" w:hAnsi="仿宋_GB2312" w:cs="仿宋_GB2312" w:eastAsia="仿宋_GB2312"/>
                <w:sz w:val="21"/>
                <w:color w:val="0000FF"/>
              </w:rPr>
              <w:t>对于严重损坏，不能进行修复的档案资料，应及时报请采购人会商解决方案。</w:t>
            </w:r>
          </w:p>
          <w:p>
            <w:pPr>
              <w:pStyle w:val="null3"/>
              <w:ind w:firstLine="420"/>
              <w:jc w:val="both"/>
            </w:pPr>
            <w:r>
              <w:rPr>
                <w:rFonts w:ascii="仿宋_GB2312" w:hAnsi="仿宋_GB2312" w:cs="仿宋_GB2312" w:eastAsia="仿宋_GB2312"/>
                <w:sz w:val="21"/>
                <w:color w:val="0000FF"/>
              </w:rPr>
              <w:t>3.5扫描图像质量要求</w:t>
            </w:r>
          </w:p>
          <w:p>
            <w:pPr>
              <w:pStyle w:val="null3"/>
              <w:ind w:firstLine="420"/>
              <w:jc w:val="both"/>
            </w:pPr>
            <w:r>
              <w:rPr>
                <w:rFonts w:ascii="仿宋_GB2312" w:hAnsi="仿宋_GB2312" w:cs="仿宋_GB2312" w:eastAsia="仿宋_GB2312"/>
                <w:sz w:val="21"/>
                <w:color w:val="0000FF"/>
              </w:rPr>
              <w:t>扫描的数字图像应清晰、完整、不失真，图像效果最接近档案资料原貌，图像内容与资料实体内容、数量相符合，不能有明显的黑边</w:t>
            </w:r>
            <w:r>
              <w:rPr>
                <w:rFonts w:ascii="仿宋_GB2312" w:hAnsi="仿宋_GB2312" w:cs="仿宋_GB2312" w:eastAsia="仿宋_GB2312"/>
                <w:sz w:val="21"/>
                <w:color w:val="0000FF"/>
              </w:rPr>
              <w:t>、</w:t>
            </w:r>
            <w:r>
              <w:rPr>
                <w:rFonts w:ascii="仿宋_GB2312" w:hAnsi="仿宋_GB2312" w:cs="仿宋_GB2312" w:eastAsia="仿宋_GB2312"/>
                <w:sz w:val="21"/>
                <w:color w:val="0000FF"/>
              </w:rPr>
              <w:t>污点、卷曲、折痕，页面及内容端正。根据档案资料扫描后的具体情况，进行如下图像处理</w:t>
            </w:r>
            <w:r>
              <w:rPr>
                <w:rFonts w:ascii="仿宋_GB2312" w:hAnsi="仿宋_GB2312" w:cs="仿宋_GB2312" w:eastAsia="仿宋_GB2312"/>
                <w:sz w:val="21"/>
                <w:color w:val="0000FF"/>
              </w:rPr>
              <w:t>:</w:t>
            </w:r>
          </w:p>
          <w:p>
            <w:pPr>
              <w:pStyle w:val="null3"/>
              <w:ind w:firstLine="420"/>
            </w:pPr>
            <w:r>
              <w:rPr>
                <w:rFonts w:ascii="仿宋_GB2312" w:hAnsi="仿宋_GB2312" w:cs="仿宋_GB2312" w:eastAsia="仿宋_GB2312"/>
                <w:sz w:val="21"/>
                <w:color w:val="0000FF"/>
              </w:rPr>
              <w:t>（</w:t>
            </w:r>
            <w:r>
              <w:rPr>
                <w:rFonts w:ascii="仿宋_GB2312" w:hAnsi="仿宋_GB2312" w:cs="仿宋_GB2312" w:eastAsia="仿宋_GB2312"/>
                <w:sz w:val="21"/>
                <w:color w:val="0000FF"/>
              </w:rPr>
              <w:t>1）图像剪裁、纠偏：采用自动或手动纠偏功能，调整图像角度。所有页面旋转到正常阅读角度，页面上字迹和线条如原件一样横平竖直、无扭曲、偏斜现象。</w:t>
            </w:r>
          </w:p>
          <w:p>
            <w:pPr>
              <w:pStyle w:val="null3"/>
              <w:ind w:firstLine="420"/>
            </w:pPr>
            <w:r>
              <w:rPr>
                <w:rFonts w:ascii="仿宋_GB2312" w:hAnsi="仿宋_GB2312" w:cs="仿宋_GB2312" w:eastAsia="仿宋_GB2312"/>
                <w:sz w:val="21"/>
                <w:color w:val="0000FF"/>
              </w:rPr>
              <w:t>（</w:t>
            </w:r>
            <w:r>
              <w:rPr>
                <w:rFonts w:ascii="仿宋_GB2312" w:hAnsi="仿宋_GB2312" w:cs="仿宋_GB2312" w:eastAsia="仿宋_GB2312"/>
                <w:sz w:val="21"/>
                <w:color w:val="0000FF"/>
              </w:rPr>
              <w:t>2）图像脏点、脏斑、去黑边等：对图像页面中出现的影响图像质量的杂质如黑点、黑线、黑边等应进行去污处理。处理过程中应遵循保持档案原貌原则。</w:t>
            </w:r>
          </w:p>
          <w:p>
            <w:pPr>
              <w:pStyle w:val="null3"/>
              <w:ind w:firstLine="420"/>
            </w:pPr>
            <w:r>
              <w:rPr>
                <w:rFonts w:ascii="仿宋_GB2312" w:hAnsi="仿宋_GB2312" w:cs="仿宋_GB2312" w:eastAsia="仿宋_GB2312"/>
                <w:sz w:val="21"/>
                <w:color w:val="0000FF"/>
              </w:rPr>
              <w:t>（</w:t>
            </w:r>
            <w:r>
              <w:rPr>
                <w:rFonts w:ascii="仿宋_GB2312" w:hAnsi="仿宋_GB2312" w:cs="仿宋_GB2312" w:eastAsia="仿宋_GB2312"/>
                <w:sz w:val="21"/>
                <w:color w:val="0000FF"/>
              </w:rPr>
              <w:t>3）字迹洇透：采用字迹锐化的功能，清晰字迹笔画。</w:t>
            </w:r>
          </w:p>
          <w:p>
            <w:pPr>
              <w:pStyle w:val="null3"/>
              <w:ind w:firstLine="420"/>
            </w:pPr>
            <w:r>
              <w:rPr>
                <w:rFonts w:ascii="仿宋_GB2312" w:hAnsi="仿宋_GB2312" w:cs="仿宋_GB2312" w:eastAsia="仿宋_GB2312"/>
                <w:sz w:val="21"/>
                <w:color w:val="0000FF"/>
              </w:rPr>
              <w:t>（</w:t>
            </w:r>
            <w:r>
              <w:rPr>
                <w:rFonts w:ascii="仿宋_GB2312" w:hAnsi="仿宋_GB2312" w:cs="仿宋_GB2312" w:eastAsia="仿宋_GB2312"/>
                <w:sz w:val="21"/>
                <w:color w:val="0000FF"/>
              </w:rPr>
              <w:t>4）图像深浅不一：采用平衡功能，调整图像深浅一致。</w:t>
            </w:r>
          </w:p>
          <w:p>
            <w:pPr>
              <w:pStyle w:val="null3"/>
              <w:ind w:firstLine="420"/>
            </w:pPr>
            <w:r>
              <w:rPr>
                <w:rFonts w:ascii="仿宋_GB2312" w:hAnsi="仿宋_GB2312" w:cs="仿宋_GB2312" w:eastAsia="仿宋_GB2312"/>
                <w:sz w:val="21"/>
                <w:color w:val="0000FF"/>
              </w:rPr>
              <w:t>（</w:t>
            </w:r>
            <w:r>
              <w:rPr>
                <w:rFonts w:ascii="仿宋_GB2312" w:hAnsi="仿宋_GB2312" w:cs="仿宋_GB2312" w:eastAsia="仿宋_GB2312"/>
                <w:sz w:val="21"/>
                <w:color w:val="0000FF"/>
              </w:rPr>
              <w:t>5）图像拼接处信息要完整，不可缺少信息。</w:t>
            </w:r>
          </w:p>
          <w:p>
            <w:pPr>
              <w:pStyle w:val="null3"/>
              <w:ind w:firstLine="420"/>
            </w:pPr>
            <w:r>
              <w:rPr>
                <w:rFonts w:ascii="仿宋_GB2312" w:hAnsi="仿宋_GB2312" w:cs="仿宋_GB2312" w:eastAsia="仿宋_GB2312"/>
                <w:sz w:val="21"/>
                <w:color w:val="0000FF"/>
              </w:rPr>
              <w:t>3.6数据挂接的时限</w:t>
            </w:r>
          </w:p>
          <w:p>
            <w:pPr>
              <w:pStyle w:val="null3"/>
              <w:ind w:firstLine="420"/>
            </w:pPr>
            <w:r>
              <w:rPr>
                <w:rFonts w:ascii="仿宋_GB2312" w:hAnsi="仿宋_GB2312" w:cs="仿宋_GB2312" w:eastAsia="仿宋_GB2312"/>
                <w:sz w:val="21"/>
                <w:color w:val="0000FF"/>
              </w:rPr>
              <w:t>每天收到的业务资料必须在</w:t>
            </w:r>
            <w:r>
              <w:rPr>
                <w:rFonts w:ascii="仿宋_GB2312" w:hAnsi="仿宋_GB2312" w:cs="仿宋_GB2312" w:eastAsia="仿宋_GB2312"/>
                <w:sz w:val="21"/>
                <w:color w:val="0000FF"/>
              </w:rPr>
              <w:t>1个工作日内完成数据的扫描、图像的处理、图像的质检、数据的系统挂接。</w:t>
            </w:r>
          </w:p>
          <w:p>
            <w:pPr>
              <w:pStyle w:val="null3"/>
              <w:ind w:firstLine="420"/>
            </w:pPr>
            <w:r>
              <w:rPr>
                <w:rFonts w:ascii="仿宋_GB2312" w:hAnsi="仿宋_GB2312" w:cs="仿宋_GB2312" w:eastAsia="仿宋_GB2312"/>
                <w:sz w:val="21"/>
                <w:color w:val="0000FF"/>
              </w:rPr>
              <w:t>3.7质量要求</w:t>
            </w:r>
          </w:p>
          <w:p>
            <w:pPr>
              <w:pStyle w:val="null3"/>
              <w:ind w:firstLine="420"/>
            </w:pPr>
            <w:r>
              <w:rPr>
                <w:rFonts w:ascii="仿宋_GB2312" w:hAnsi="仿宋_GB2312" w:cs="仿宋_GB2312" w:eastAsia="仿宋_GB2312"/>
                <w:sz w:val="21"/>
                <w:color w:val="0000FF"/>
              </w:rPr>
              <w:t>(1)保证业务资料及档案资料数字化的完整性、准确性、及时性、一致性，对纸质资料从封面至封底进行完整数字化，保证电子档案与实体资料的内容完全一致。</w:t>
            </w:r>
          </w:p>
          <w:p>
            <w:pPr>
              <w:pStyle w:val="null3"/>
              <w:ind w:firstLine="420"/>
            </w:pPr>
            <w:r>
              <w:rPr>
                <w:rFonts w:ascii="仿宋_GB2312" w:hAnsi="仿宋_GB2312" w:cs="仿宋_GB2312" w:eastAsia="仿宋_GB2312"/>
                <w:sz w:val="21"/>
                <w:color w:val="0000FF"/>
              </w:rPr>
              <w:t>(2)需确保实体资料的安全，无丢失、无损毁、无差错。</w:t>
            </w:r>
          </w:p>
          <w:p>
            <w:pPr>
              <w:pStyle w:val="null3"/>
              <w:ind w:firstLine="420"/>
            </w:pPr>
            <w:r>
              <w:rPr>
                <w:rFonts w:ascii="仿宋_GB2312" w:hAnsi="仿宋_GB2312" w:cs="仿宋_GB2312" w:eastAsia="仿宋_GB2312"/>
                <w:sz w:val="21"/>
                <w:color w:val="0000FF"/>
              </w:rPr>
              <w:t>(3)遵守国家保密管理有关规定，保证电子数据的安全，保守业务资料信息秘密。</w:t>
            </w:r>
          </w:p>
          <w:p>
            <w:pPr>
              <w:pStyle w:val="null3"/>
              <w:ind w:firstLine="420"/>
            </w:pPr>
            <w:r>
              <w:rPr>
                <w:rFonts w:ascii="仿宋_GB2312" w:hAnsi="仿宋_GB2312" w:cs="仿宋_GB2312" w:eastAsia="仿宋_GB2312"/>
                <w:sz w:val="21"/>
                <w:color w:val="0000FF"/>
              </w:rPr>
              <w:t>3.8扫描质量核查</w:t>
            </w:r>
          </w:p>
          <w:p>
            <w:pPr>
              <w:pStyle w:val="null3"/>
              <w:ind w:firstLine="420"/>
            </w:pPr>
            <w:r>
              <w:rPr>
                <w:rFonts w:ascii="仿宋_GB2312" w:hAnsi="仿宋_GB2312" w:cs="仿宋_GB2312" w:eastAsia="仿宋_GB2312"/>
                <w:sz w:val="21"/>
                <w:color w:val="0000FF"/>
              </w:rPr>
              <w:t>(1)扫描核查</w:t>
            </w:r>
          </w:p>
          <w:p>
            <w:pPr>
              <w:pStyle w:val="null3"/>
              <w:ind w:firstLine="420"/>
            </w:pPr>
            <w:r>
              <w:rPr>
                <w:rFonts w:ascii="仿宋_GB2312" w:hAnsi="仿宋_GB2312" w:cs="仿宋_GB2312" w:eastAsia="仿宋_GB2312"/>
                <w:sz w:val="21"/>
                <w:color w:val="0000FF"/>
              </w:rPr>
              <w:t>一卷档案扫描完成后，对纸张资料和扫描生成的图像进行核对，如出现数量不符、顺序有误、正反颠倒、图像不清晰的情况，则需视情况予以补扫描或重新扫描处理。原纸质资料按原顺序装袋，需扫描人签字归档。</w:t>
            </w:r>
          </w:p>
          <w:p>
            <w:pPr>
              <w:pStyle w:val="null3"/>
              <w:ind w:firstLine="420"/>
            </w:pPr>
            <w:r>
              <w:rPr>
                <w:rFonts w:ascii="仿宋_GB2312" w:hAnsi="仿宋_GB2312" w:cs="仿宋_GB2312" w:eastAsia="仿宋_GB2312"/>
                <w:sz w:val="21"/>
                <w:color w:val="0000FF"/>
              </w:rPr>
              <w:t>(2)抽样核查</w:t>
            </w:r>
          </w:p>
          <w:p>
            <w:pPr>
              <w:pStyle w:val="null3"/>
              <w:ind w:firstLine="420"/>
            </w:pPr>
            <w:r>
              <w:rPr>
                <w:rFonts w:ascii="仿宋_GB2312" w:hAnsi="仿宋_GB2312" w:cs="仿宋_GB2312" w:eastAsia="仿宋_GB2312"/>
                <w:sz w:val="21"/>
                <w:color w:val="0000FF"/>
              </w:rPr>
              <w:t>抽样时，原始纸质资料以袋或捆为单位随机抽取，抽取的袋</w:t>
            </w:r>
            <w:r>
              <w:rPr>
                <w:rFonts w:ascii="仿宋_GB2312" w:hAnsi="仿宋_GB2312" w:cs="仿宋_GB2312" w:eastAsia="仿宋_GB2312"/>
                <w:sz w:val="21"/>
                <w:color w:val="0000FF"/>
              </w:rPr>
              <w:t>/捆内的全部卷数即为抽样样本，累计的总抽样卷数应达到5%的抽样比例，扫描成果的抽检合格率应不低于97%。</w:t>
            </w:r>
          </w:p>
          <w:p>
            <w:pPr>
              <w:pStyle w:val="null3"/>
              <w:ind w:firstLine="420"/>
            </w:pPr>
            <w:r>
              <w:rPr>
                <w:rFonts w:ascii="仿宋_GB2312" w:hAnsi="仿宋_GB2312" w:cs="仿宋_GB2312" w:eastAsia="仿宋_GB2312"/>
                <w:sz w:val="21"/>
                <w:color w:val="0000FF"/>
              </w:rPr>
              <w:t>(3)扫描图像质量判定标准如下:</w:t>
            </w:r>
          </w:p>
          <w:tbl>
            <w:tblPr>
              <w:tblBorders>
                <w:top w:val="none" w:color="000000" w:sz="4"/>
                <w:left w:val="none" w:color="000000" w:sz="4"/>
                <w:bottom w:val="none" w:color="000000" w:sz="4"/>
                <w:right w:val="none" w:color="000000" w:sz="4"/>
                <w:insideH w:val="none"/>
                <w:insideV w:val="none"/>
              </w:tblBorders>
            </w:tblPr>
            <w:tblGrid>
              <w:gridCol w:w="2152"/>
              <w:gridCol w:w="631"/>
              <w:gridCol w:w="568"/>
              <w:gridCol w:w="573"/>
              <w:gridCol w:w="526"/>
            </w:tblGrid>
            <w:tr>
              <w:tc>
                <w:tcPr>
                  <w:tcW w:type="dxa" w:w="215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center"/>
                  </w:pPr>
                  <w:r>
                    <w:rPr>
                      <w:rFonts w:ascii="仿宋_GB2312" w:hAnsi="仿宋_GB2312" w:cs="仿宋_GB2312" w:eastAsia="仿宋_GB2312"/>
                      <w:sz w:val="21"/>
                      <w:color w:val="0000FF"/>
                    </w:rPr>
                    <w:t>错误类型</w:t>
                  </w:r>
                </w:p>
              </w:tc>
              <w:tc>
                <w:tcPr>
                  <w:tcW w:type="dxa" w:w="63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center"/>
                  </w:pPr>
                  <w:r>
                    <w:rPr>
                      <w:rFonts w:ascii="仿宋_GB2312" w:hAnsi="仿宋_GB2312" w:cs="仿宋_GB2312" w:eastAsia="仿宋_GB2312"/>
                      <w:sz w:val="21"/>
                      <w:color w:val="0000FF"/>
                    </w:rPr>
                    <w:t>致命缺陷</w:t>
                  </w:r>
                </w:p>
              </w:tc>
              <w:tc>
                <w:tcPr>
                  <w:tcW w:type="dxa" w:w="5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center"/>
                  </w:pPr>
                  <w:r>
                    <w:rPr>
                      <w:rFonts w:ascii="仿宋_GB2312" w:hAnsi="仿宋_GB2312" w:cs="仿宋_GB2312" w:eastAsia="仿宋_GB2312"/>
                      <w:sz w:val="21"/>
                      <w:color w:val="0000FF"/>
                    </w:rPr>
                    <w:t>严重缺陷</w:t>
                  </w:r>
                </w:p>
              </w:tc>
              <w:tc>
                <w:tcPr>
                  <w:tcW w:type="dxa" w:w="5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center"/>
                  </w:pPr>
                  <w:r>
                    <w:rPr>
                      <w:rFonts w:ascii="仿宋_GB2312" w:hAnsi="仿宋_GB2312" w:cs="仿宋_GB2312" w:eastAsia="仿宋_GB2312"/>
                      <w:sz w:val="21"/>
                      <w:color w:val="0000FF"/>
                    </w:rPr>
                    <w:t>中缺陷</w:t>
                  </w:r>
                </w:p>
              </w:tc>
              <w:tc>
                <w:tcPr>
                  <w:tcW w:type="dxa" w:w="5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center"/>
                  </w:pPr>
                  <w:r>
                    <w:rPr>
                      <w:rFonts w:ascii="仿宋_GB2312" w:hAnsi="仿宋_GB2312" w:cs="仿宋_GB2312" w:eastAsia="仿宋_GB2312"/>
                      <w:sz w:val="21"/>
                      <w:color w:val="0000FF"/>
                    </w:rPr>
                    <w:t>轻缺陷</w:t>
                  </w:r>
                </w:p>
              </w:tc>
            </w:tr>
            <w:tr>
              <w:tc>
                <w:tcPr>
                  <w:tcW w:type="dxa" w:w="21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left"/>
                  </w:pPr>
                  <w:r>
                    <w:rPr>
                      <w:rFonts w:ascii="仿宋_GB2312" w:hAnsi="仿宋_GB2312" w:cs="仿宋_GB2312" w:eastAsia="仿宋_GB2312"/>
                      <w:sz w:val="21"/>
                      <w:color w:val="0000FF"/>
                    </w:rPr>
                    <w:t>漏页</w:t>
                  </w:r>
                </w:p>
              </w:tc>
              <w:tc>
                <w:tcPr>
                  <w:tcW w:type="dxa" w:w="6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center"/>
                  </w:pPr>
                  <w:r>
                    <w:rPr>
                      <w:rFonts w:ascii="仿宋_GB2312" w:hAnsi="仿宋_GB2312" w:cs="仿宋_GB2312" w:eastAsia="仿宋_GB2312"/>
                      <w:sz w:val="21"/>
                      <w:color w:val="0000FF"/>
                    </w:rPr>
                    <w:t>&gt;0%</w:t>
                  </w:r>
                </w:p>
              </w:tc>
              <w:tc>
                <w:tcPr>
                  <w:tcW w:type="dxa" w:w="5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center"/>
                  </w:pPr>
                  <w:r>
                    <w:rPr>
                      <w:rFonts w:ascii="仿宋_GB2312" w:hAnsi="仿宋_GB2312" w:cs="仿宋_GB2312" w:eastAsia="仿宋_GB2312"/>
                      <w:sz w:val="21"/>
                      <w:color w:val="0000FF"/>
                    </w:rPr>
                    <w:t>/</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center"/>
                  </w:pPr>
                  <w:r>
                    <w:rPr>
                      <w:rFonts w:ascii="仿宋_GB2312" w:hAnsi="仿宋_GB2312" w:cs="仿宋_GB2312" w:eastAsia="仿宋_GB2312"/>
                      <w:sz w:val="21"/>
                      <w:color w:val="0000FF"/>
                    </w:rPr>
                    <w:t>/</w:t>
                  </w:r>
                </w:p>
              </w:tc>
              <w:tc>
                <w:tcPr>
                  <w:tcW w:type="dxa" w:w="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center"/>
                  </w:pPr>
                  <w:r>
                    <w:rPr>
                      <w:rFonts w:ascii="仿宋_GB2312" w:hAnsi="仿宋_GB2312" w:cs="仿宋_GB2312" w:eastAsia="仿宋_GB2312"/>
                      <w:sz w:val="21"/>
                      <w:color w:val="0000FF"/>
                    </w:rPr>
                    <w:t>/</w:t>
                  </w:r>
                </w:p>
              </w:tc>
            </w:tr>
            <w:tr>
              <w:tc>
                <w:tcPr>
                  <w:tcW w:type="dxa" w:w="21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left"/>
                  </w:pPr>
                  <w:r>
                    <w:rPr>
                      <w:rFonts w:ascii="仿宋_GB2312" w:hAnsi="仿宋_GB2312" w:cs="仿宋_GB2312" w:eastAsia="仿宋_GB2312"/>
                      <w:sz w:val="21"/>
                      <w:color w:val="0000FF"/>
                    </w:rPr>
                    <w:t>彩色纸质扫描为黑白图像</w:t>
                  </w:r>
                </w:p>
              </w:tc>
              <w:tc>
                <w:tcPr>
                  <w:tcW w:type="dxa" w:w="6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center"/>
                  </w:pPr>
                  <w:r>
                    <w:rPr>
                      <w:rFonts w:ascii="仿宋_GB2312" w:hAnsi="仿宋_GB2312" w:cs="仿宋_GB2312" w:eastAsia="仿宋_GB2312"/>
                      <w:sz w:val="21"/>
                      <w:color w:val="0000FF"/>
                    </w:rPr>
                    <w:t>&gt;0%</w:t>
                  </w:r>
                </w:p>
              </w:tc>
              <w:tc>
                <w:tcPr>
                  <w:tcW w:type="dxa" w:w="5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center"/>
                  </w:pPr>
                  <w:r>
                    <w:rPr>
                      <w:rFonts w:ascii="仿宋_GB2312" w:hAnsi="仿宋_GB2312" w:cs="仿宋_GB2312" w:eastAsia="仿宋_GB2312"/>
                      <w:sz w:val="21"/>
                      <w:color w:val="0000FF"/>
                    </w:rPr>
                    <w:t>/</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center"/>
                  </w:pPr>
                  <w:r>
                    <w:rPr>
                      <w:rFonts w:ascii="仿宋_GB2312" w:hAnsi="仿宋_GB2312" w:cs="仿宋_GB2312" w:eastAsia="仿宋_GB2312"/>
                      <w:sz w:val="21"/>
                      <w:color w:val="0000FF"/>
                    </w:rPr>
                    <w:t>/</w:t>
                  </w:r>
                </w:p>
              </w:tc>
              <w:tc>
                <w:tcPr>
                  <w:tcW w:type="dxa" w:w="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center"/>
                  </w:pPr>
                  <w:r>
                    <w:rPr>
                      <w:rFonts w:ascii="仿宋_GB2312" w:hAnsi="仿宋_GB2312" w:cs="仿宋_GB2312" w:eastAsia="仿宋_GB2312"/>
                      <w:sz w:val="21"/>
                      <w:color w:val="0000FF"/>
                    </w:rPr>
                    <w:t>/</w:t>
                  </w:r>
                </w:p>
              </w:tc>
            </w:tr>
            <w:tr>
              <w:tc>
                <w:tcPr>
                  <w:tcW w:type="dxa" w:w="21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left"/>
                  </w:pPr>
                  <w:r>
                    <w:rPr>
                      <w:rFonts w:ascii="仿宋_GB2312" w:hAnsi="仿宋_GB2312" w:cs="仿宋_GB2312" w:eastAsia="仿宋_GB2312"/>
                      <w:sz w:val="21"/>
                      <w:color w:val="0000FF"/>
                    </w:rPr>
                    <w:t>图像字迹模糊不清</w:t>
                  </w:r>
                </w:p>
              </w:tc>
              <w:tc>
                <w:tcPr>
                  <w:tcW w:type="dxa" w:w="6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center"/>
                  </w:pPr>
                  <w:r>
                    <w:rPr>
                      <w:rFonts w:ascii="仿宋_GB2312" w:hAnsi="仿宋_GB2312" w:cs="仿宋_GB2312" w:eastAsia="仿宋_GB2312"/>
                      <w:sz w:val="21"/>
                      <w:color w:val="0000FF"/>
                    </w:rPr>
                    <w:t>≥10%</w:t>
                  </w:r>
                </w:p>
              </w:tc>
              <w:tc>
                <w:tcPr>
                  <w:tcW w:type="dxa" w:w="5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center"/>
                  </w:pPr>
                  <w:r>
                    <w:rPr>
                      <w:rFonts w:ascii="仿宋_GB2312" w:hAnsi="仿宋_GB2312" w:cs="仿宋_GB2312" w:eastAsia="仿宋_GB2312"/>
                      <w:sz w:val="21"/>
                      <w:color w:val="0000FF"/>
                    </w:rPr>
                    <w:t>5%-10%</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center"/>
                  </w:pPr>
                  <w:r>
                    <w:rPr>
                      <w:rFonts w:ascii="仿宋_GB2312" w:hAnsi="仿宋_GB2312" w:cs="仿宋_GB2312" w:eastAsia="仿宋_GB2312"/>
                      <w:sz w:val="21"/>
                      <w:color w:val="0000FF"/>
                    </w:rPr>
                    <w:t>&lt;5%</w:t>
                  </w:r>
                </w:p>
              </w:tc>
              <w:tc>
                <w:tcPr>
                  <w:tcW w:type="dxa" w:w="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center"/>
                  </w:pPr>
                  <w:r>
                    <w:rPr>
                      <w:rFonts w:ascii="仿宋_GB2312" w:hAnsi="仿宋_GB2312" w:cs="仿宋_GB2312" w:eastAsia="仿宋_GB2312"/>
                      <w:sz w:val="21"/>
                      <w:color w:val="0000FF"/>
                    </w:rPr>
                    <w:t>/</w:t>
                  </w:r>
                </w:p>
              </w:tc>
            </w:tr>
            <w:tr>
              <w:tc>
                <w:tcPr>
                  <w:tcW w:type="dxa" w:w="21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left"/>
                  </w:pPr>
                  <w:r>
                    <w:rPr>
                      <w:rFonts w:ascii="仿宋_GB2312" w:hAnsi="仿宋_GB2312" w:cs="仿宋_GB2312" w:eastAsia="仿宋_GB2312"/>
                      <w:sz w:val="21"/>
                      <w:color w:val="0000FF"/>
                    </w:rPr>
                    <w:t>折页等扫描内容不全等</w:t>
                  </w:r>
                </w:p>
              </w:tc>
              <w:tc>
                <w:tcPr>
                  <w:tcW w:type="dxa" w:w="6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center"/>
                  </w:pPr>
                  <w:r>
                    <w:rPr>
                      <w:rFonts w:ascii="仿宋_GB2312" w:hAnsi="仿宋_GB2312" w:cs="仿宋_GB2312" w:eastAsia="仿宋_GB2312"/>
                      <w:sz w:val="21"/>
                      <w:color w:val="0000FF"/>
                    </w:rPr>
                    <w:t>≥10%</w:t>
                  </w:r>
                </w:p>
              </w:tc>
              <w:tc>
                <w:tcPr>
                  <w:tcW w:type="dxa" w:w="5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center"/>
                  </w:pPr>
                  <w:r>
                    <w:rPr>
                      <w:rFonts w:ascii="仿宋_GB2312" w:hAnsi="仿宋_GB2312" w:cs="仿宋_GB2312" w:eastAsia="仿宋_GB2312"/>
                      <w:sz w:val="21"/>
                      <w:color w:val="0000FF"/>
                    </w:rPr>
                    <w:t>5%-10%</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center"/>
                  </w:pPr>
                  <w:r>
                    <w:rPr>
                      <w:rFonts w:ascii="仿宋_GB2312" w:hAnsi="仿宋_GB2312" w:cs="仿宋_GB2312" w:eastAsia="仿宋_GB2312"/>
                      <w:sz w:val="21"/>
                      <w:color w:val="0000FF"/>
                    </w:rPr>
                    <w:t>&lt;5%</w:t>
                  </w:r>
                </w:p>
              </w:tc>
              <w:tc>
                <w:tcPr>
                  <w:tcW w:type="dxa" w:w="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center"/>
                  </w:pPr>
                  <w:r>
                    <w:rPr>
                      <w:rFonts w:ascii="仿宋_GB2312" w:hAnsi="仿宋_GB2312" w:cs="仿宋_GB2312" w:eastAsia="仿宋_GB2312"/>
                      <w:sz w:val="21"/>
                      <w:color w:val="0000FF"/>
                    </w:rPr>
                    <w:t>/</w:t>
                  </w:r>
                </w:p>
              </w:tc>
            </w:tr>
            <w:tr>
              <w:tc>
                <w:tcPr>
                  <w:tcW w:type="dxa" w:w="21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FF"/>
                    </w:rPr>
                    <w:t>装订漏页</w:t>
                  </w:r>
                  <w:r>
                    <w:rPr>
                      <w:rFonts w:ascii="仿宋_GB2312" w:hAnsi="仿宋_GB2312" w:cs="仿宋_GB2312" w:eastAsia="仿宋_GB2312"/>
                      <w:sz w:val="21"/>
                      <w:color w:val="0000FF"/>
                    </w:rPr>
                    <w:t>(仅针对土地权属登记档案</w:t>
                  </w:r>
                  <w:r>
                    <w:rPr>
                      <w:rFonts w:ascii="仿宋_GB2312" w:hAnsi="仿宋_GB2312" w:cs="仿宋_GB2312" w:eastAsia="仿宋_GB2312"/>
                      <w:sz w:val="21"/>
                      <w:color w:val="0000FF"/>
                    </w:rPr>
                    <w:t>、</w:t>
                  </w:r>
                  <w:r>
                    <w:rPr>
                      <w:rFonts w:ascii="仿宋_GB2312" w:hAnsi="仿宋_GB2312" w:cs="仿宋_GB2312" w:eastAsia="仿宋_GB2312"/>
                      <w:sz w:val="21"/>
                      <w:color w:val="0000FF"/>
                    </w:rPr>
                    <w:t>房屋权属登记档案</w:t>
                  </w:r>
                  <w:r>
                    <w:rPr>
                      <w:rFonts w:ascii="仿宋_GB2312" w:hAnsi="仿宋_GB2312" w:cs="仿宋_GB2312" w:eastAsia="仿宋_GB2312"/>
                      <w:sz w:val="21"/>
                      <w:color w:val="0000FF"/>
                    </w:rPr>
                    <w:t>)</w:t>
                  </w:r>
                </w:p>
              </w:tc>
              <w:tc>
                <w:tcPr>
                  <w:tcW w:type="dxa" w:w="6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center"/>
                  </w:pPr>
                  <w:r>
                    <w:rPr>
                      <w:rFonts w:ascii="仿宋_GB2312" w:hAnsi="仿宋_GB2312" w:cs="仿宋_GB2312" w:eastAsia="仿宋_GB2312"/>
                      <w:sz w:val="21"/>
                      <w:color w:val="0000FF"/>
                    </w:rPr>
                    <w:t>≥10%</w:t>
                  </w:r>
                </w:p>
              </w:tc>
              <w:tc>
                <w:tcPr>
                  <w:tcW w:type="dxa" w:w="5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center"/>
                  </w:pPr>
                  <w:r>
                    <w:rPr>
                      <w:rFonts w:ascii="仿宋_GB2312" w:hAnsi="仿宋_GB2312" w:cs="仿宋_GB2312" w:eastAsia="仿宋_GB2312"/>
                      <w:sz w:val="21"/>
                      <w:color w:val="0000FF"/>
                    </w:rPr>
                    <w:t>5%-10%</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center"/>
                  </w:pPr>
                  <w:r>
                    <w:rPr>
                      <w:rFonts w:ascii="仿宋_GB2312" w:hAnsi="仿宋_GB2312" w:cs="仿宋_GB2312" w:eastAsia="仿宋_GB2312"/>
                      <w:sz w:val="21"/>
                      <w:color w:val="0000FF"/>
                    </w:rPr>
                    <w:t>&lt;5%</w:t>
                  </w:r>
                </w:p>
              </w:tc>
              <w:tc>
                <w:tcPr>
                  <w:tcW w:type="dxa" w:w="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center"/>
                  </w:pPr>
                  <w:r>
                    <w:rPr>
                      <w:rFonts w:ascii="仿宋_GB2312" w:hAnsi="仿宋_GB2312" w:cs="仿宋_GB2312" w:eastAsia="仿宋_GB2312"/>
                      <w:sz w:val="21"/>
                      <w:color w:val="0000FF"/>
                    </w:rPr>
                    <w:t>/</w:t>
                  </w:r>
                </w:p>
              </w:tc>
            </w:tr>
            <w:tr>
              <w:tc>
                <w:tcPr>
                  <w:tcW w:type="dxa" w:w="21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FF"/>
                    </w:rPr>
                    <w:t>分拣错误</w:t>
                  </w:r>
                </w:p>
              </w:tc>
              <w:tc>
                <w:tcPr>
                  <w:tcW w:type="dxa" w:w="6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center"/>
                  </w:pPr>
                  <w:r>
                    <w:rPr>
                      <w:rFonts w:ascii="仿宋_GB2312" w:hAnsi="仿宋_GB2312" w:cs="仿宋_GB2312" w:eastAsia="仿宋_GB2312"/>
                      <w:sz w:val="21"/>
                      <w:color w:val="0000FF"/>
                    </w:rPr>
                    <w:t>≥30%</w:t>
                  </w:r>
                </w:p>
              </w:tc>
              <w:tc>
                <w:tcPr>
                  <w:tcW w:type="dxa" w:w="5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center"/>
                  </w:pPr>
                  <w:r>
                    <w:rPr>
                      <w:rFonts w:ascii="仿宋_GB2312" w:hAnsi="仿宋_GB2312" w:cs="仿宋_GB2312" w:eastAsia="仿宋_GB2312"/>
                      <w:sz w:val="21"/>
                      <w:color w:val="0000FF"/>
                    </w:rPr>
                    <w:t>10%-30%</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center"/>
                  </w:pPr>
                  <w:r>
                    <w:rPr>
                      <w:rFonts w:ascii="仿宋_GB2312" w:hAnsi="仿宋_GB2312" w:cs="仿宋_GB2312" w:eastAsia="仿宋_GB2312"/>
                      <w:sz w:val="21"/>
                      <w:color w:val="0000FF"/>
                    </w:rPr>
                    <w:t>&lt;10%</w:t>
                  </w:r>
                </w:p>
              </w:tc>
              <w:tc>
                <w:tcPr>
                  <w:tcW w:type="dxa" w:w="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center"/>
                  </w:pPr>
                  <w:r>
                    <w:rPr>
                      <w:rFonts w:ascii="仿宋_GB2312" w:hAnsi="仿宋_GB2312" w:cs="仿宋_GB2312" w:eastAsia="仿宋_GB2312"/>
                      <w:sz w:val="21"/>
                      <w:color w:val="0000FF"/>
                    </w:rPr>
                    <w:t>I</w:t>
                  </w:r>
                </w:p>
              </w:tc>
            </w:tr>
            <w:tr>
              <w:tc>
                <w:tcPr>
                  <w:tcW w:type="dxa" w:w="21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left"/>
                  </w:pPr>
                  <w:r>
                    <w:rPr>
                      <w:rFonts w:ascii="仿宋_GB2312" w:hAnsi="仿宋_GB2312" w:cs="仿宋_GB2312" w:eastAsia="仿宋_GB2312"/>
                      <w:sz w:val="21"/>
                      <w:color w:val="0000FF"/>
                    </w:rPr>
                    <w:t>重复扫描</w:t>
                  </w:r>
                </w:p>
              </w:tc>
              <w:tc>
                <w:tcPr>
                  <w:tcW w:type="dxa" w:w="6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center"/>
                  </w:pPr>
                  <w:r>
                    <w:rPr>
                      <w:rFonts w:ascii="仿宋_GB2312" w:hAnsi="仿宋_GB2312" w:cs="仿宋_GB2312" w:eastAsia="仿宋_GB2312"/>
                      <w:sz w:val="21"/>
                      <w:color w:val="0000FF"/>
                    </w:rPr>
                    <w:t>≥30%</w:t>
                  </w:r>
                </w:p>
              </w:tc>
              <w:tc>
                <w:tcPr>
                  <w:tcW w:type="dxa" w:w="5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center"/>
                  </w:pPr>
                  <w:r>
                    <w:rPr>
                      <w:rFonts w:ascii="仿宋_GB2312" w:hAnsi="仿宋_GB2312" w:cs="仿宋_GB2312" w:eastAsia="仿宋_GB2312"/>
                      <w:sz w:val="21"/>
                      <w:color w:val="0000FF"/>
                    </w:rPr>
                    <w:t>10%-30%</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center"/>
                  </w:pPr>
                  <w:r>
                    <w:rPr>
                      <w:rFonts w:ascii="仿宋_GB2312" w:hAnsi="仿宋_GB2312" w:cs="仿宋_GB2312" w:eastAsia="仿宋_GB2312"/>
                      <w:sz w:val="21"/>
                      <w:color w:val="0000FF"/>
                    </w:rPr>
                    <w:t>&lt;10%</w:t>
                  </w:r>
                </w:p>
              </w:tc>
              <w:tc>
                <w:tcPr>
                  <w:tcW w:type="dxa" w:w="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center"/>
                  </w:pPr>
                  <w:r>
                    <w:rPr>
                      <w:rFonts w:ascii="仿宋_GB2312" w:hAnsi="仿宋_GB2312" w:cs="仿宋_GB2312" w:eastAsia="仿宋_GB2312"/>
                      <w:sz w:val="21"/>
                      <w:color w:val="0000FF"/>
                    </w:rPr>
                    <w:t>/</w:t>
                  </w:r>
                </w:p>
              </w:tc>
            </w:tr>
            <w:tr>
              <w:tc>
                <w:tcPr>
                  <w:tcW w:type="dxa" w:w="21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FF"/>
                    </w:rPr>
                    <w:t>电子档案顺序错误</w:t>
                  </w:r>
                  <w:r>
                    <w:rPr>
                      <w:rFonts w:ascii="仿宋_GB2312" w:hAnsi="仿宋_GB2312" w:cs="仿宋_GB2312" w:eastAsia="仿宋_GB2312"/>
                      <w:sz w:val="21"/>
                      <w:color w:val="0000FF"/>
                    </w:rPr>
                    <w:t>(与原稿编码顺序保持一致。如原稿编码有误，电子图像根 据档案内容重新调整顺序，则不应作为 问题记录)。</w:t>
                  </w:r>
                </w:p>
              </w:tc>
              <w:tc>
                <w:tcPr>
                  <w:tcW w:type="dxa" w:w="6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center"/>
                  </w:pPr>
                  <w:r>
                    <w:rPr>
                      <w:rFonts w:ascii="仿宋_GB2312" w:hAnsi="仿宋_GB2312" w:cs="仿宋_GB2312" w:eastAsia="仿宋_GB2312"/>
                      <w:sz w:val="21"/>
                      <w:color w:val="0000FF"/>
                    </w:rPr>
                    <w:t>≥40%</w:t>
                  </w:r>
                </w:p>
              </w:tc>
              <w:tc>
                <w:tcPr>
                  <w:tcW w:type="dxa" w:w="5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center"/>
                  </w:pPr>
                  <w:r>
                    <w:rPr>
                      <w:rFonts w:ascii="仿宋_GB2312" w:hAnsi="仿宋_GB2312" w:cs="仿宋_GB2312" w:eastAsia="仿宋_GB2312"/>
                      <w:sz w:val="21"/>
                      <w:color w:val="0000FF"/>
                    </w:rPr>
                    <w:t>20%-40%</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center"/>
                  </w:pPr>
                  <w:r>
                    <w:rPr>
                      <w:rFonts w:ascii="仿宋_GB2312" w:hAnsi="仿宋_GB2312" w:cs="仿宋_GB2312" w:eastAsia="仿宋_GB2312"/>
                      <w:sz w:val="21"/>
                      <w:color w:val="0000FF"/>
                    </w:rPr>
                    <w:t>&lt;20%</w:t>
                  </w:r>
                </w:p>
              </w:tc>
              <w:tc>
                <w:tcPr>
                  <w:tcW w:type="dxa" w:w="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center"/>
                  </w:pPr>
                  <w:r>
                    <w:rPr>
                      <w:rFonts w:ascii="仿宋_GB2312" w:hAnsi="仿宋_GB2312" w:cs="仿宋_GB2312" w:eastAsia="仿宋_GB2312"/>
                      <w:sz w:val="21"/>
                      <w:color w:val="0000FF"/>
                    </w:rPr>
                    <w:t>/</w:t>
                  </w:r>
                </w:p>
              </w:tc>
            </w:tr>
            <w:tr>
              <w:tc>
                <w:tcPr>
                  <w:tcW w:type="dxa" w:w="21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FF"/>
                    </w:rPr>
                    <w:t>明显污点、宽竖线等扫描仪导致的图像</w:t>
                  </w:r>
                  <w:r>
                    <w:rPr>
                      <w:rFonts w:ascii="仿宋_GB2312" w:hAnsi="仿宋_GB2312" w:cs="仿宋_GB2312" w:eastAsia="仿宋_GB2312"/>
                      <w:sz w:val="21"/>
                      <w:color w:val="0000FF"/>
                    </w:rPr>
                    <w:t xml:space="preserve">  </w:t>
                  </w:r>
                  <w:r>
                    <w:rPr>
                      <w:rFonts w:ascii="仿宋_GB2312" w:hAnsi="仿宋_GB2312" w:cs="仿宋_GB2312" w:eastAsia="仿宋_GB2312"/>
                      <w:sz w:val="21"/>
                      <w:color w:val="0000FF"/>
                    </w:rPr>
                    <w:t>质量问题；档案边缘印章被裁剪</w:t>
                  </w:r>
                  <w:r>
                    <w:rPr>
                      <w:rFonts w:ascii="仿宋_GB2312" w:hAnsi="仿宋_GB2312" w:cs="仿宋_GB2312" w:eastAsia="仿宋_GB2312"/>
                      <w:sz w:val="21"/>
                      <w:color w:val="0000FF"/>
                    </w:rPr>
                    <w:t>&gt;3mm、 装订页码顺序错误、图像未旋转等图像  质量问题。</w:t>
                  </w:r>
                </w:p>
              </w:tc>
              <w:tc>
                <w:tcPr>
                  <w:tcW w:type="dxa" w:w="6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center"/>
                  </w:pPr>
                  <w:r>
                    <w:rPr>
                      <w:rFonts w:ascii="仿宋_GB2312" w:hAnsi="仿宋_GB2312" w:cs="仿宋_GB2312" w:eastAsia="仿宋_GB2312"/>
                      <w:sz w:val="21"/>
                      <w:color w:val="0000FF"/>
                    </w:rPr>
                    <w:t>≥60%</w:t>
                  </w:r>
                </w:p>
              </w:tc>
              <w:tc>
                <w:tcPr>
                  <w:tcW w:type="dxa" w:w="5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center"/>
                  </w:pPr>
                  <w:r>
                    <w:rPr>
                      <w:rFonts w:ascii="仿宋_GB2312" w:hAnsi="仿宋_GB2312" w:cs="仿宋_GB2312" w:eastAsia="仿宋_GB2312"/>
                      <w:sz w:val="21"/>
                      <w:color w:val="0000FF"/>
                    </w:rPr>
                    <w:t>40%-60%</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center"/>
                  </w:pPr>
                  <w:r>
                    <w:rPr>
                      <w:rFonts w:ascii="仿宋_GB2312" w:hAnsi="仿宋_GB2312" w:cs="仿宋_GB2312" w:eastAsia="仿宋_GB2312"/>
                      <w:sz w:val="21"/>
                      <w:color w:val="0000FF"/>
                    </w:rPr>
                    <w:t>20%-40%</w:t>
                  </w:r>
                </w:p>
              </w:tc>
              <w:tc>
                <w:tcPr>
                  <w:tcW w:type="dxa" w:w="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center"/>
                  </w:pPr>
                  <w:r>
                    <w:rPr>
                      <w:rFonts w:ascii="仿宋_GB2312" w:hAnsi="仿宋_GB2312" w:cs="仿宋_GB2312" w:eastAsia="仿宋_GB2312"/>
                      <w:sz w:val="21"/>
                      <w:color w:val="0000FF"/>
                    </w:rPr>
                    <w:t>&lt;20%</w:t>
                  </w:r>
                </w:p>
              </w:tc>
            </w:tr>
            <w:tr>
              <w:tc>
                <w:tcPr>
                  <w:tcW w:type="dxa" w:w="4450"/>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left"/>
                  </w:pPr>
                  <w:r>
                    <w:rPr>
                      <w:rFonts w:ascii="仿宋_GB2312" w:hAnsi="仿宋_GB2312" w:cs="仿宋_GB2312" w:eastAsia="仿宋_GB2312"/>
                      <w:sz w:val="21"/>
                      <w:color w:val="0000FF"/>
                    </w:rPr>
                    <w:t>说明：</w:t>
                  </w:r>
                </w:p>
                <w:p>
                  <w:pPr>
                    <w:pStyle w:val="null3"/>
                    <w:ind w:left="480"/>
                    <w:jc w:val="left"/>
                  </w:pPr>
                  <w:r>
                    <w:rPr>
                      <w:rFonts w:ascii="仿宋_GB2312" w:hAnsi="仿宋_GB2312" w:cs="仿宋_GB2312" w:eastAsia="仿宋_GB2312"/>
                      <w:sz w:val="21"/>
                      <w:color w:val="0000FF"/>
                    </w:rPr>
                    <w:t>1.本表格用于判定个体卷档案是否合格。</w:t>
                  </w:r>
                </w:p>
                <w:p>
                  <w:pPr>
                    <w:pStyle w:val="null3"/>
                    <w:ind w:left="480"/>
                    <w:jc w:val="left"/>
                  </w:pPr>
                  <w:r>
                    <w:rPr>
                      <w:rFonts w:ascii="仿宋_GB2312" w:hAnsi="仿宋_GB2312" w:cs="仿宋_GB2312" w:eastAsia="仿宋_GB2312"/>
                      <w:sz w:val="21"/>
                      <w:color w:val="0000FF"/>
                    </w:rPr>
                    <w:t>2.致命缺陷、严重缺陷、中缺陷、轻缺陷分值分别为：8、4、2、1。</w:t>
                  </w:r>
                </w:p>
                <w:p>
                  <w:pPr>
                    <w:pStyle w:val="null3"/>
                    <w:ind w:left="480"/>
                    <w:jc w:val="left"/>
                  </w:pPr>
                  <w:r>
                    <w:rPr>
                      <w:rFonts w:ascii="仿宋_GB2312" w:hAnsi="仿宋_GB2312" w:cs="仿宋_GB2312" w:eastAsia="仿宋_GB2312"/>
                      <w:sz w:val="21"/>
                      <w:color w:val="0000FF"/>
                    </w:rPr>
                    <w:t>3.当每卷任一质量元素的缺陷累计总分值大于或等于8时，则判定该卷不合格，累计 一个不合格品数。</w:t>
                  </w:r>
                </w:p>
                <w:p>
                  <w:pPr>
                    <w:pStyle w:val="null3"/>
                    <w:ind w:left="480"/>
                    <w:jc w:val="left"/>
                  </w:pPr>
                  <w:r>
                    <w:rPr>
                      <w:rFonts w:ascii="仿宋_GB2312" w:hAnsi="仿宋_GB2312" w:cs="仿宋_GB2312" w:eastAsia="仿宋_GB2312"/>
                      <w:sz w:val="21"/>
                      <w:color w:val="0000FF"/>
                    </w:rPr>
                    <w:t>4.上述比例均为缺陷页数与卷内总页数的占比。</w:t>
                  </w:r>
                </w:p>
              </w:tc>
            </w:tr>
          </w:tbl>
          <w:p>
            <w:pPr>
              <w:pStyle w:val="null3"/>
            </w:pPr>
            <w:r>
              <w:rPr>
                <w:rFonts w:ascii="仿宋_GB2312" w:hAnsi="仿宋_GB2312" w:cs="仿宋_GB2312" w:eastAsia="仿宋_GB2312"/>
                <w:sz w:val="21"/>
                <w:color w:val="0000FF"/>
              </w:rPr>
              <w:t>3.9 验收归档</w:t>
            </w:r>
          </w:p>
          <w:p>
            <w:pPr>
              <w:pStyle w:val="null3"/>
              <w:ind w:firstLine="420"/>
            </w:pPr>
            <w:r>
              <w:rPr>
                <w:rFonts w:ascii="仿宋_GB2312" w:hAnsi="仿宋_GB2312" w:cs="仿宋_GB2312" w:eastAsia="仿宋_GB2312"/>
                <w:sz w:val="21"/>
                <w:color w:val="0000FF"/>
              </w:rPr>
              <w:t>(1)抽检通过的数据及原始纸质资料移交采购人验收；</w:t>
            </w:r>
          </w:p>
          <w:p>
            <w:pPr>
              <w:pStyle w:val="null3"/>
              <w:ind w:firstLine="420"/>
            </w:pPr>
            <w:r>
              <w:rPr>
                <w:rFonts w:ascii="仿宋_GB2312" w:hAnsi="仿宋_GB2312" w:cs="仿宋_GB2312" w:eastAsia="仿宋_GB2312"/>
                <w:sz w:val="21"/>
                <w:color w:val="0000FF"/>
              </w:rPr>
              <w:t>(2)原始纸质资料加工扫描结果由采购人档案管理人员负责考核，定期抽查，不合格的重新处理；</w:t>
            </w:r>
          </w:p>
          <w:p>
            <w:pPr>
              <w:pStyle w:val="null3"/>
              <w:ind w:firstLine="420"/>
            </w:pPr>
            <w:r>
              <w:rPr>
                <w:rFonts w:ascii="仿宋_GB2312" w:hAnsi="仿宋_GB2312" w:cs="仿宋_GB2312" w:eastAsia="仿宋_GB2312"/>
                <w:sz w:val="21"/>
                <w:color w:val="0000FF"/>
              </w:rPr>
              <w:t>(3)移交的原始纸质资料杜绝任何损坏或丢失。如果原始纸质资料损坏或丢失，供应商需赔偿相关损失并承担相应的法律责任；</w:t>
            </w:r>
          </w:p>
          <w:p>
            <w:pPr>
              <w:pStyle w:val="null3"/>
              <w:ind w:firstLine="420"/>
            </w:pPr>
            <w:r>
              <w:rPr>
                <w:rFonts w:ascii="仿宋_GB2312" w:hAnsi="仿宋_GB2312" w:cs="仿宋_GB2312" w:eastAsia="仿宋_GB2312"/>
                <w:sz w:val="21"/>
                <w:color w:val="0000FF"/>
              </w:rPr>
              <w:t>(4)数据移交：完成项目终验后，及时向采购人档案管理人员移交备份数据:上传到不动产信息管理平台中的数据在线备份。</w:t>
            </w:r>
          </w:p>
          <w:p>
            <w:pPr>
              <w:pStyle w:val="null3"/>
              <w:ind w:firstLine="422"/>
            </w:pPr>
            <w:r>
              <w:rPr>
                <w:rFonts w:ascii="仿宋_GB2312" w:hAnsi="仿宋_GB2312" w:cs="仿宋_GB2312" w:eastAsia="仿宋_GB2312"/>
                <w:sz w:val="21"/>
                <w:b/>
                <w:color w:val="0000FF"/>
              </w:rPr>
              <w:t>四、商务要求</w:t>
            </w:r>
          </w:p>
          <w:p>
            <w:pPr>
              <w:pStyle w:val="null3"/>
              <w:ind w:firstLine="420"/>
            </w:pPr>
            <w:r>
              <w:rPr>
                <w:rFonts w:ascii="仿宋_GB2312" w:hAnsi="仿宋_GB2312" w:cs="仿宋_GB2312" w:eastAsia="仿宋_GB2312"/>
                <w:sz w:val="21"/>
                <w:color w:val="0000FF"/>
              </w:rPr>
              <w:t>（一）服务期：自合同签订之日起至服务内容完成之日止。</w:t>
            </w:r>
          </w:p>
          <w:p>
            <w:pPr>
              <w:pStyle w:val="null3"/>
              <w:ind w:firstLine="420"/>
            </w:pPr>
            <w:r>
              <w:rPr>
                <w:rFonts w:ascii="仿宋_GB2312" w:hAnsi="仿宋_GB2312" w:cs="仿宋_GB2312" w:eastAsia="仿宋_GB2312"/>
                <w:sz w:val="21"/>
                <w:color w:val="0000FF"/>
              </w:rPr>
              <w:t>（二）质保期：自验收通过之日起提供1年质保。</w:t>
            </w:r>
          </w:p>
          <w:p>
            <w:pPr>
              <w:pStyle w:val="null3"/>
              <w:ind w:firstLine="420"/>
            </w:pPr>
            <w:r>
              <w:rPr>
                <w:rFonts w:ascii="仿宋_GB2312" w:hAnsi="仿宋_GB2312" w:cs="仿宋_GB2312" w:eastAsia="仿宋_GB2312"/>
                <w:sz w:val="21"/>
                <w:color w:val="0000FF"/>
              </w:rPr>
              <w:t>（三）服务地点：采购人指定地点。</w:t>
            </w:r>
          </w:p>
          <w:p>
            <w:pPr>
              <w:pStyle w:val="null3"/>
              <w:ind w:firstLine="420"/>
            </w:pPr>
            <w:r>
              <w:rPr>
                <w:rFonts w:ascii="仿宋_GB2312" w:hAnsi="仿宋_GB2312" w:cs="仿宋_GB2312" w:eastAsia="仿宋_GB2312"/>
                <w:sz w:val="21"/>
                <w:color w:val="0000FF"/>
              </w:rPr>
              <w:t>（四）付款方式：自合同签订之日起经供应商申请采购人同意后，预付总价款的50%，供应商应提供等金额费用发票，采购人收到发票后10日内支付款项；工作量进度过半后，经供应商申请采购人同意后双方阶段性验收合格后，支付总价款的50%，供应商应提供等金额费用发票，采购人收到发票后10日内支付剩余款项；项目经采购人验收合格后，并经采购人同意后退还履约保证金。</w:t>
            </w:r>
          </w:p>
          <w:p>
            <w:pPr>
              <w:pStyle w:val="null3"/>
              <w:ind w:firstLine="420"/>
            </w:pPr>
            <w:r>
              <w:rPr>
                <w:rFonts w:ascii="仿宋_GB2312" w:hAnsi="仿宋_GB2312" w:cs="仿宋_GB2312" w:eastAsia="仿宋_GB2312"/>
                <w:sz w:val="21"/>
                <w:color w:val="0000FF"/>
              </w:rPr>
              <w:t>（五）履约保证金</w:t>
            </w:r>
            <w:r>
              <w:rPr>
                <w:rFonts w:ascii="仿宋_GB2312" w:hAnsi="仿宋_GB2312" w:cs="仿宋_GB2312" w:eastAsia="仿宋_GB2312"/>
                <w:sz w:val="21"/>
                <w:color w:val="0000FF"/>
              </w:rPr>
              <w:t>：合同签订后，供应商须向采购代理公司缴纳合同金额10%的履约保证金。</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本采购包属于（软件和信息技术服务业）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自合同签订之日起至服务内容完成之日止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符合国家、省、市及行业标准要求，符合采购人要求。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自合同签订之日起经供应商申请采购人同意，供应商提供等金额费用发票，采购人收到发票后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工作量进度过半后，经供应商申请采购人同意后双方阶段性验收合格，供应商提供等金额费用发票，采购人收到发票后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详见项目合同条款约定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履约保证金： 缴纳金额：成交合同金额的10% ；缴纳方式：银行转账，支票/汇票/本票，保函/保险账户名：陕西中采项目管理有限公司 开户行：招商银行股份有限公司西安分行营业部；账 号：129911536210906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营业执照或其他主体证明资料</w:t>
            </w:r>
          </w:p>
        </w:tc>
        <w:tc>
          <w:tcPr>
            <w:tcW w:type="dxa" w:w="3322"/>
          </w:tcPr>
          <w:p>
            <w:pPr>
              <w:pStyle w:val="null3"/>
            </w:pPr>
            <w:r>
              <w:rPr>
                <w:rFonts w:ascii="仿宋_GB2312" w:hAnsi="仿宋_GB2312" w:cs="仿宋_GB2312" w:eastAsia="仿宋_GB2312"/>
              </w:rPr>
              <w:t>供应商应为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须提供会计师事务所出具的2024年度审计报告或提交响应文件截止时间前6个月内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税款所属时间为投标文件截止时间前6个月内，至少一个月纳税证明或完税证明（包含增值税或企业所得税至少一种），纳税证明或完税证明上应有代收机构或税务机关的公章或业务专用章；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缴费月份为投标文件截止时间前6个月内，至少一个月已缴纳的社会保障资金的证明（社会保障资金缴存单据或社保机构开具的社会保险参保缴费情况证明等）；依法不需要缴纳社会保障资金的供应商应提供相关文件证明；依法不需要缴纳社会保障资金的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供应商提供具有履行本合同所必需的设备和专业技术能力的承诺函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供应商需在项目电子化交易系统中按要求上传相应证明文件并进行电子签章（不强制要求供应商提供查询截图，以开标当天网上查询结果为评审依据）；</w:t>
            </w:r>
          </w:p>
        </w:tc>
        <w:tc>
          <w:tcPr>
            <w:tcW w:type="dxa" w:w="1661"/>
          </w:tcPr>
          <w:p>
            <w:pPr>
              <w:pStyle w:val="null3"/>
            </w:pPr>
            <w:r>
              <w:rPr>
                <w:rFonts w:ascii="仿宋_GB2312" w:hAnsi="仿宋_GB2312" w:cs="仿宋_GB2312" w:eastAsia="仿宋_GB2312"/>
              </w:rPr>
              <w:t>供应商应提交的相关资格证明材料.docx 陕西省政府采购供应商拒绝政府采购领域商业贿赂承诺书.docx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法定代表人或法定代表人授权书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明，且与营业执照或其他证明资料上信息一致。法定代表人授权代表参加磋商的，须出具法定代表人授权书及授权代表身份证复印件或扫描件；自然人参加磋商的须提供身份证复印件或扫描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本项目不接受联合体磋商（注：以响应文件中提供的非联合体磋商的声明为准）。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通过符合性审查供应商的报价，有可能影响产品质量或者不能诚信履约的，应当要求其在评审现场合理的时间内提供书面说明，必要时提交相关证明材料；供应商不能证明其报价合理性的，磋商小组会应当将其作为无效磋商处理。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磋商响应文件签章</w:t>
            </w:r>
          </w:p>
        </w:tc>
        <w:tc>
          <w:tcPr>
            <w:tcW w:type="dxa" w:w="3322"/>
          </w:tcPr>
          <w:p>
            <w:pPr>
              <w:pStyle w:val="null3"/>
            </w:pPr>
            <w:r>
              <w:rPr>
                <w:rFonts w:ascii="仿宋_GB2312" w:hAnsi="仿宋_GB2312" w:cs="仿宋_GB2312" w:eastAsia="仿宋_GB2312"/>
              </w:rPr>
              <w:t>按磋商文件要求签署、加盖印章</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供应商应提交的相关资格证明材料.docx 供应商认为需要提供的其他资料.docx 残疾人福利性单位声明函 服务方案 标的清单 响应函 陕西省政府采购供应商拒绝政府采购领域商业贿赂承诺书.docx 类似业绩.docx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每次报价唯一，且未超过采购包最高限价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商务应答表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商务应答表 服务方案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合同主要条款响应</w:t>
            </w:r>
          </w:p>
        </w:tc>
        <w:tc>
          <w:tcPr>
            <w:tcW w:type="dxa" w:w="3322"/>
          </w:tcPr>
          <w:p>
            <w:pPr>
              <w:pStyle w:val="null3"/>
            </w:pPr>
            <w:r>
              <w:rPr>
                <w:rFonts w:ascii="仿宋_GB2312" w:hAnsi="仿宋_GB2312" w:cs="仿宋_GB2312" w:eastAsia="仿宋_GB2312"/>
              </w:rPr>
              <w:t>对“服务内容、付款方式、质保期”等实质性内容进行响应且未附加采购人难以接受的条件</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供应商编制的服务方案，包括但不限于组织架构、管理制度、保密制度、工作实施步骤、服务标准等能够满足采购人实际需要的响应内容等。 服务方案详细完整，合理可行，内容深入全面，计（7-10]分； 服务方案基本完整，且有一定可行性，内容符合竞争性磋商文件要求计（4-7]分； 服务方案粗略、可行性不足或有明显缺陷无法满足项目需求计（0-4]分。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供应商针对本项目服务质量保证措施详细具体、合理可行计（7-10]分； 服务质量保障措施基本完整，有一定可行性计（4-7]分； 服务质量保障措施粗略，无法保障服务方案质量的计（0-4]分。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工作进度计划保障措施</w:t>
            </w:r>
          </w:p>
        </w:tc>
        <w:tc>
          <w:tcPr>
            <w:tcW w:type="dxa" w:w="2492"/>
          </w:tcPr>
          <w:p>
            <w:pPr>
              <w:pStyle w:val="null3"/>
            </w:pPr>
            <w:r>
              <w:rPr>
                <w:rFonts w:ascii="仿宋_GB2312" w:hAnsi="仿宋_GB2312" w:cs="仿宋_GB2312" w:eastAsia="仿宋_GB2312"/>
              </w:rPr>
              <w:t>供应商针对服务工作有具体合理、详细明确的工作进度安排计划，且计划保证措施得当计（7-10]分； 工作进度安排计划完整， 计划保障措施能基本满足项目需求计（4-7]分； 工作进度安排计划粗略，计划保障措施有明显缺陷无法保障服务进度计（0-4]分。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针对本项目制定完整详细的应急预案体系，包括但不限于应急保障措施和重大数据质量预防及处置办法等。 预案详细可行计（7-10]分； 预案明确计（4-7]； 预案简单粗略（0-4]；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文档管理</w:t>
            </w:r>
          </w:p>
        </w:tc>
        <w:tc>
          <w:tcPr>
            <w:tcW w:type="dxa" w:w="2492"/>
          </w:tcPr>
          <w:p>
            <w:pPr>
              <w:pStyle w:val="null3"/>
            </w:pPr>
            <w:r>
              <w:rPr>
                <w:rFonts w:ascii="仿宋_GB2312" w:hAnsi="仿宋_GB2312" w:cs="仿宋_GB2312" w:eastAsia="仿宋_GB2312"/>
              </w:rPr>
              <w:t>针对本项目制定档案资料管理和移交工作制度。 档案资料管理和移交工作制度制度完整、具体细致、可行性充足，具有针对性计（4-7]分； 档案资料管理和移交工作制度完整、符合项目实际情况，但合理性和可实施性不具体计（2-4]分； 档案资料管理和移交工作制度宽泛、不贴合实际，不具备合理性和可实施性计（0-2]分。 未提供计0分。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拟投入的设备</w:t>
            </w:r>
          </w:p>
        </w:tc>
        <w:tc>
          <w:tcPr>
            <w:tcW w:type="dxa" w:w="2492"/>
          </w:tcPr>
          <w:p>
            <w:pPr>
              <w:pStyle w:val="null3"/>
            </w:pPr>
            <w:r>
              <w:rPr>
                <w:rFonts w:ascii="仿宋_GB2312" w:hAnsi="仿宋_GB2312" w:cs="仿宋_GB2312" w:eastAsia="仿宋_GB2312"/>
              </w:rPr>
              <w:t>针对本项目拟投入的设备、工具及消耗品配备： 供应商拟投入本项目仪器设备的数量、专业性、先进性、全面性等，以及扫描及图像处理方案合理规范，设备和软件配置到位、先进，按其响应性、合理性、可行性综合评审； 扫描及图像处理方案合理、规范，设备和软件配置到位、先进计[2-3]分。 扫描及图像处理方案基本合理、规范，设备和软件配置基本满足项目需要计（0-2]分。 未提供计0分。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项目负责人及骨干人员</w:t>
            </w:r>
          </w:p>
        </w:tc>
        <w:tc>
          <w:tcPr>
            <w:tcW w:type="dxa" w:w="2492"/>
          </w:tcPr>
          <w:p>
            <w:pPr>
              <w:pStyle w:val="null3"/>
            </w:pPr>
            <w:r>
              <w:rPr>
                <w:rFonts w:ascii="仿宋_GB2312" w:hAnsi="仿宋_GB2312" w:cs="仿宋_GB2312" w:eastAsia="仿宋_GB2312"/>
              </w:rPr>
              <w:t>1.项目负责人具备本科及以上学历，且提供递交响应文件截止之日前一年内连续3个月的社保证明计1分。 2.项目骨干成员（不含项目负责人）具备大专及以上学历，且提供递交响应文件截止之日前一年内连续3个月的社保证明计0.5分，满分3分。 注：提供项目负责人及骨干成员身份证复印件、学历证书及社保等证明材料，提供复印件并加盖公章，资料提供不全得分。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服务团队配置</w:t>
            </w:r>
          </w:p>
        </w:tc>
        <w:tc>
          <w:tcPr>
            <w:tcW w:type="dxa" w:w="2492"/>
          </w:tcPr>
          <w:p>
            <w:pPr>
              <w:pStyle w:val="null3"/>
            </w:pPr>
            <w:r>
              <w:rPr>
                <w:rFonts w:ascii="仿宋_GB2312" w:hAnsi="仿宋_GB2312" w:cs="仿宋_GB2312" w:eastAsia="仿宋_GB2312"/>
              </w:rPr>
              <w:t>针对本项目拟配备服务团队人员架构齐全、数量充足、专业经验丰富，配备方案合理高效，逻辑结构清晰且具有针对性计（4-6]分； 针对本项目拟配备服务团队人员架构基本齐全、数量基本充足、专业经验丰富，配备方案明确且具有一定合理性，逻辑结构基本清晰且具有一定针对性的计（2-4]分 ； 针对本项目拟配备服务团队人员架构明确、数量不足、专业经验不足，配备方案含糊，逻辑结构不清晰且针对性不足计（0-2]分。 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针对本项目情况及采购人要求，对本项目档案管理人员进行技术培训： 培训方案完整、可行性充足，培训计划详细计（7-10]分； 培训方案基本完整，有一定可行性计（4-7]分； 培训方案粗略，有明显缺陷，可行性不足计（0-4]分。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供应商提供完善的服务承诺及措施。 承诺及措施内容完善符合本项目需求计(7-10]分； 承诺及措施内容较为合理计(4-7]分； 承诺及措施内容简单粗略计（0-4]分。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供应商自2022年1月1日至磋商响应文件递交截止时间前类似项目业绩，每提供1份得2分，满分10分。 注：以响应文件中所附的合同协议书复印件为准，时间以合同签订时间为准。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1.评审范围：有效的磋商响应总报价（指经初审合格的供应商的磋商响应总报价）。 2.满足磋商文件要求且最后报价最低的供应商的价格为磋商基准价，其价格分为满分。其他供应商的价格分统一按照下列公式计算： 磋商报价得分=（磋商基准价/最后磋商报价）×分值×100。 3.评分分值计算保留小数点后两位，小数点后第三位“四舍五入”。 4.对需要落实政府采购政策的供应商详见“采购项目需要落实的政府采购政策”。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详见附件：供应商认为需要提供的其他资料.docx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