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90EB2A">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center"/>
        <w:rPr>
          <w:rFonts w:hint="eastAsia" w:ascii="宋体" w:hAnsi="宋体" w:eastAsia="宋体" w:cs="宋体"/>
          <w:b/>
          <w:bCs/>
          <w:i w:val="0"/>
          <w:iCs w:val="0"/>
          <w:caps w:val="0"/>
          <w:color w:val="auto"/>
          <w:spacing w:val="0"/>
          <w:sz w:val="39"/>
          <w:szCs w:val="39"/>
          <w:highlight w:val="none"/>
          <w:shd w:val="clear" w:fill="FFFFFF"/>
          <w:lang w:val="en-US" w:eastAsia="zh-CN"/>
        </w:rPr>
      </w:pPr>
      <w:bookmarkStart w:id="0" w:name="_Toc6397"/>
      <w:bookmarkStart w:id="1" w:name="_Toc19478"/>
    </w:p>
    <w:p w14:paraId="3FE62BE7">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center"/>
        <w:rPr>
          <w:rFonts w:hint="eastAsia" w:ascii="宋体" w:hAnsi="宋体" w:eastAsia="宋体" w:cs="宋体"/>
          <w:b/>
          <w:bCs/>
          <w:i w:val="0"/>
          <w:iCs w:val="0"/>
          <w:caps w:val="0"/>
          <w:color w:val="auto"/>
          <w:spacing w:val="0"/>
          <w:sz w:val="39"/>
          <w:szCs w:val="39"/>
          <w:highlight w:val="none"/>
          <w:shd w:val="clear" w:fill="FFFFFF"/>
          <w:lang w:val="en-US" w:eastAsia="zh-CN"/>
        </w:rPr>
      </w:pPr>
    </w:p>
    <w:p w14:paraId="4C7960C4">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center"/>
        <w:rPr>
          <w:rFonts w:hint="eastAsia" w:ascii="宋体" w:hAnsi="宋体" w:eastAsia="宋体" w:cs="宋体"/>
          <w:b/>
          <w:bCs/>
          <w:i w:val="0"/>
          <w:iCs w:val="0"/>
          <w:caps w:val="0"/>
          <w:color w:val="auto"/>
          <w:spacing w:val="0"/>
          <w:sz w:val="39"/>
          <w:szCs w:val="39"/>
          <w:highlight w:val="none"/>
          <w:shd w:val="clear" w:fill="FFFFFF"/>
        </w:rPr>
      </w:pPr>
      <w:r>
        <w:rPr>
          <w:rFonts w:hint="eastAsia" w:ascii="宋体" w:hAnsi="宋体" w:eastAsia="宋体" w:cs="宋体"/>
          <w:b/>
          <w:bCs/>
          <w:i w:val="0"/>
          <w:iCs w:val="0"/>
          <w:caps w:val="0"/>
          <w:color w:val="auto"/>
          <w:spacing w:val="0"/>
          <w:sz w:val="39"/>
          <w:szCs w:val="39"/>
          <w:highlight w:val="none"/>
          <w:shd w:val="clear" w:fill="FFFFFF"/>
          <w:lang w:val="en-US" w:eastAsia="zh-CN"/>
        </w:rPr>
        <w:t>西安市殡仪馆2025年火化棺采购项目</w:t>
      </w:r>
    </w:p>
    <w:p w14:paraId="0685E457">
      <w:pPr>
        <w:rPr>
          <w:rFonts w:hint="eastAsia"/>
          <w:color w:val="auto"/>
        </w:rPr>
      </w:pPr>
    </w:p>
    <w:p w14:paraId="67ABEBE2">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center"/>
        <w:rPr>
          <w:rFonts w:hint="eastAsia" w:ascii="宋体" w:hAnsi="宋体" w:eastAsia="宋体" w:cs="宋体"/>
          <w:b/>
          <w:bCs/>
          <w:i w:val="0"/>
          <w:iCs w:val="0"/>
          <w:caps w:val="0"/>
          <w:color w:val="auto"/>
          <w:spacing w:val="0"/>
          <w:sz w:val="39"/>
          <w:szCs w:val="39"/>
          <w:highlight w:val="none"/>
          <w:shd w:val="clear" w:fill="FFFFFF"/>
        </w:rPr>
      </w:pPr>
    </w:p>
    <w:p w14:paraId="4883158D">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center"/>
        <w:rPr>
          <w:rFonts w:hint="eastAsia" w:ascii="宋体" w:hAnsi="宋体" w:eastAsia="宋体" w:cs="宋体"/>
          <w:b/>
          <w:bCs/>
          <w:i w:val="0"/>
          <w:iCs w:val="0"/>
          <w:caps w:val="0"/>
          <w:color w:val="auto"/>
          <w:spacing w:val="0"/>
          <w:sz w:val="39"/>
          <w:szCs w:val="39"/>
          <w:highlight w:val="none"/>
          <w:shd w:val="clear" w:fill="FFFFFF"/>
        </w:rPr>
      </w:pPr>
    </w:p>
    <w:p w14:paraId="650A083B">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center"/>
        <w:rPr>
          <w:rFonts w:hint="eastAsia" w:ascii="宋体" w:hAnsi="宋体" w:eastAsia="宋体" w:cs="宋体"/>
          <w:b/>
          <w:bCs/>
          <w:i w:val="0"/>
          <w:iCs w:val="0"/>
          <w:caps w:val="0"/>
          <w:color w:val="auto"/>
          <w:spacing w:val="0"/>
          <w:sz w:val="39"/>
          <w:szCs w:val="39"/>
          <w:highlight w:val="none"/>
          <w:shd w:val="clear" w:fill="FFFFFF"/>
        </w:rPr>
      </w:pPr>
    </w:p>
    <w:p w14:paraId="56287D1A">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center"/>
        <w:rPr>
          <w:rFonts w:hint="eastAsia" w:ascii="宋体" w:hAnsi="宋体" w:eastAsia="宋体" w:cs="宋体"/>
          <w:b/>
          <w:bCs/>
          <w:i w:val="0"/>
          <w:iCs w:val="0"/>
          <w:caps w:val="0"/>
          <w:color w:val="auto"/>
          <w:spacing w:val="0"/>
          <w:sz w:val="39"/>
          <w:szCs w:val="39"/>
          <w:highlight w:val="none"/>
          <w:shd w:val="clear" w:fill="FFFFFF"/>
        </w:rPr>
      </w:pPr>
    </w:p>
    <w:p w14:paraId="0BA790C0">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center"/>
        <w:rPr>
          <w:rFonts w:hint="eastAsia" w:ascii="宋体" w:hAnsi="宋体" w:eastAsia="宋体" w:cs="宋体"/>
          <w:b/>
          <w:bCs/>
          <w:i w:val="0"/>
          <w:iCs w:val="0"/>
          <w:caps w:val="0"/>
          <w:color w:val="auto"/>
          <w:spacing w:val="0"/>
          <w:sz w:val="39"/>
          <w:szCs w:val="39"/>
          <w:highlight w:val="none"/>
        </w:rPr>
      </w:pPr>
      <w:r>
        <w:rPr>
          <w:rFonts w:hint="eastAsia" w:ascii="宋体" w:hAnsi="宋体" w:eastAsia="宋体" w:cs="宋体"/>
          <w:b/>
          <w:bCs/>
          <w:i w:val="0"/>
          <w:iCs w:val="0"/>
          <w:caps w:val="0"/>
          <w:color w:val="auto"/>
          <w:spacing w:val="0"/>
          <w:sz w:val="39"/>
          <w:szCs w:val="39"/>
          <w:highlight w:val="none"/>
          <w:shd w:val="clear" w:fill="FFFFFF"/>
        </w:rPr>
        <w:t>采购合同</w:t>
      </w:r>
    </w:p>
    <w:p w14:paraId="79BABF4F">
      <w:pPr>
        <w:spacing w:line="800" w:lineRule="exact"/>
        <w:ind w:firstLine="840" w:firstLineChars="300"/>
        <w:outlineLvl w:val="0"/>
        <w:rPr>
          <w:rFonts w:hint="eastAsia" w:ascii="宋体" w:hAnsi="宋体" w:cs="宋体"/>
          <w:b/>
          <w:color w:val="auto"/>
          <w:sz w:val="28"/>
          <w:szCs w:val="28"/>
          <w:highlight w:val="none"/>
        </w:rPr>
      </w:pPr>
    </w:p>
    <w:p w14:paraId="709F175D">
      <w:pPr>
        <w:pStyle w:val="6"/>
        <w:rPr>
          <w:rFonts w:hint="eastAsia" w:ascii="宋体" w:hAnsi="宋体" w:cs="宋体"/>
          <w:b/>
          <w:color w:val="auto"/>
          <w:sz w:val="28"/>
          <w:szCs w:val="28"/>
          <w:highlight w:val="none"/>
        </w:rPr>
      </w:pPr>
    </w:p>
    <w:p w14:paraId="4A5BE9E8">
      <w:pPr>
        <w:pStyle w:val="6"/>
        <w:rPr>
          <w:rFonts w:hint="eastAsia" w:ascii="宋体" w:hAnsi="宋体" w:cs="宋体"/>
          <w:b/>
          <w:color w:val="auto"/>
          <w:sz w:val="28"/>
          <w:szCs w:val="28"/>
          <w:highlight w:val="none"/>
        </w:rPr>
      </w:pPr>
    </w:p>
    <w:p w14:paraId="088283FA">
      <w:pPr>
        <w:rPr>
          <w:rFonts w:hint="eastAsia"/>
          <w:color w:val="auto"/>
          <w:highlight w:val="none"/>
        </w:rPr>
      </w:pPr>
    </w:p>
    <w:p w14:paraId="27972339">
      <w:pPr>
        <w:rPr>
          <w:rFonts w:hint="eastAsia"/>
          <w:color w:val="auto"/>
          <w:highlight w:val="none"/>
        </w:rPr>
      </w:pPr>
    </w:p>
    <w:p w14:paraId="3AB6BDE6">
      <w:pPr>
        <w:pStyle w:val="6"/>
        <w:rPr>
          <w:rFonts w:hint="eastAsia"/>
          <w:color w:val="auto"/>
          <w:highlight w:val="none"/>
        </w:rPr>
      </w:pPr>
    </w:p>
    <w:p w14:paraId="2DDEC2EA">
      <w:pPr>
        <w:rPr>
          <w:rFonts w:hint="eastAsia"/>
          <w:color w:val="auto"/>
          <w:highlight w:val="none"/>
        </w:rPr>
      </w:pPr>
    </w:p>
    <w:p w14:paraId="3E008B51">
      <w:pPr>
        <w:pStyle w:val="6"/>
        <w:rPr>
          <w:rFonts w:hint="eastAsia"/>
          <w:color w:val="auto"/>
          <w:highlight w:val="none"/>
        </w:rPr>
      </w:pPr>
    </w:p>
    <w:p w14:paraId="300C91BF">
      <w:pPr>
        <w:spacing w:line="800" w:lineRule="exact"/>
        <w:outlineLvl w:val="0"/>
        <w:rPr>
          <w:rFonts w:hint="default" w:ascii="宋体" w:hAnsi="宋体" w:eastAsia="Times New Roman" w:cs="宋体"/>
          <w:b/>
          <w:color w:val="auto"/>
          <w:sz w:val="24"/>
          <w:szCs w:val="24"/>
          <w:highlight w:val="none"/>
          <w:u w:val="single"/>
          <w:lang w:val="en-US" w:eastAsia="zh-CN"/>
        </w:rPr>
      </w:pPr>
      <w:bookmarkStart w:id="2" w:name="_Toc9593"/>
      <w:bookmarkStart w:id="3" w:name="_Toc14129"/>
      <w:bookmarkStart w:id="4" w:name="_Toc25330"/>
      <w:r>
        <w:rPr>
          <w:rFonts w:hint="eastAsia" w:ascii="宋体" w:hAnsi="宋体" w:cs="宋体"/>
          <w:b/>
          <w:color w:val="auto"/>
          <w:sz w:val="24"/>
          <w:szCs w:val="24"/>
          <w:highlight w:val="none"/>
        </w:rPr>
        <w:t>采购</w:t>
      </w:r>
      <w:r>
        <w:rPr>
          <w:rFonts w:hint="eastAsia" w:ascii="宋体" w:hAnsi="宋体" w:cs="宋体"/>
          <w:b/>
          <w:color w:val="auto"/>
          <w:sz w:val="24"/>
          <w:szCs w:val="24"/>
          <w:highlight w:val="none"/>
          <w:lang w:val="en-US" w:eastAsia="zh-CN"/>
        </w:rPr>
        <w:t>项目</w:t>
      </w:r>
      <w:r>
        <w:rPr>
          <w:rFonts w:hint="eastAsia" w:ascii="宋体" w:hAnsi="宋体" w:cs="宋体"/>
          <w:b/>
          <w:color w:val="auto"/>
          <w:sz w:val="24"/>
          <w:szCs w:val="24"/>
          <w:highlight w:val="none"/>
        </w:rPr>
        <w:t>名称：</w:t>
      </w:r>
      <w:bookmarkEnd w:id="2"/>
      <w:bookmarkEnd w:id="3"/>
      <w:bookmarkEnd w:id="4"/>
      <w:r>
        <w:rPr>
          <w:rFonts w:hint="eastAsia" w:ascii="宋体" w:hAnsi="宋体" w:cs="宋体"/>
          <w:b/>
          <w:color w:val="auto"/>
          <w:sz w:val="24"/>
          <w:szCs w:val="24"/>
          <w:highlight w:val="none"/>
          <w:u w:val="single"/>
          <w:lang w:val="en-US" w:eastAsia="zh-CN"/>
        </w:rPr>
        <w:t>西安市殡仪馆2025年火化棺采购项目（  包）</w:t>
      </w:r>
    </w:p>
    <w:p w14:paraId="756F900C">
      <w:pPr>
        <w:spacing w:line="800" w:lineRule="exact"/>
        <w:outlineLvl w:val="0"/>
        <w:rPr>
          <w:rFonts w:hint="eastAsia" w:ascii="宋体" w:hAnsi="宋体" w:cs="宋体"/>
          <w:b/>
          <w:color w:val="auto"/>
          <w:sz w:val="24"/>
          <w:szCs w:val="24"/>
          <w:highlight w:val="none"/>
          <w:u w:val="single"/>
          <w:lang w:val="en-US" w:eastAsia="zh-CN"/>
        </w:rPr>
      </w:pPr>
      <w:bookmarkStart w:id="5" w:name="_Toc7189"/>
      <w:bookmarkStart w:id="6" w:name="_Toc13983"/>
      <w:bookmarkStart w:id="7" w:name="_Toc2170"/>
      <w:r>
        <w:rPr>
          <w:rFonts w:hint="eastAsia" w:ascii="宋体" w:hAnsi="宋体" w:cs="宋体"/>
          <w:b/>
          <w:color w:val="auto"/>
          <w:sz w:val="24"/>
          <w:szCs w:val="24"/>
          <w:highlight w:val="none"/>
        </w:rPr>
        <w:t>采购地点：</w:t>
      </w:r>
      <w:r>
        <w:rPr>
          <w:rFonts w:hint="eastAsia" w:ascii="宋体" w:hAnsi="宋体" w:cs="宋体"/>
          <w:b/>
          <w:color w:val="auto"/>
          <w:sz w:val="24"/>
          <w:szCs w:val="24"/>
          <w:highlight w:val="none"/>
          <w:u w:val="single"/>
        </w:rPr>
        <w:t xml:space="preserve">    </w:t>
      </w:r>
      <w:r>
        <w:rPr>
          <w:rFonts w:hint="eastAsia" w:ascii="宋体" w:hAnsi="宋体" w:eastAsia="宋体" w:cs="宋体"/>
          <w:b/>
          <w:color w:val="auto"/>
          <w:sz w:val="24"/>
          <w:szCs w:val="24"/>
          <w:highlight w:val="none"/>
          <w:u w:val="single"/>
          <w:lang w:val="en-US" w:eastAsia="zh-CN"/>
        </w:rPr>
        <w:t xml:space="preserve">                      </w:t>
      </w:r>
      <w:r>
        <w:rPr>
          <w:rFonts w:hint="eastAsia" w:ascii="宋体" w:hAnsi="宋体" w:cs="宋体"/>
          <w:b/>
          <w:color w:val="auto"/>
          <w:sz w:val="24"/>
          <w:szCs w:val="24"/>
          <w:highlight w:val="none"/>
          <w:u w:val="single"/>
        </w:rPr>
        <w:t xml:space="preserve">     </w:t>
      </w:r>
      <w:r>
        <w:rPr>
          <w:rFonts w:hint="eastAsia" w:ascii="宋体" w:hAnsi="宋体" w:cs="宋体"/>
          <w:b/>
          <w:color w:val="auto"/>
          <w:sz w:val="24"/>
          <w:szCs w:val="24"/>
          <w:highlight w:val="none"/>
          <w:u w:val="single"/>
          <w:lang w:val="en-US" w:eastAsia="zh-CN"/>
        </w:rPr>
        <w:t xml:space="preserve">    </w:t>
      </w:r>
      <w:r>
        <w:rPr>
          <w:rFonts w:hint="eastAsia" w:ascii="宋体" w:hAnsi="宋体" w:cs="宋体"/>
          <w:b/>
          <w:color w:val="auto"/>
          <w:sz w:val="24"/>
          <w:szCs w:val="24"/>
          <w:highlight w:val="none"/>
          <w:u w:val="single"/>
        </w:rPr>
        <w:t xml:space="preserve"> </w:t>
      </w:r>
      <w:bookmarkEnd w:id="5"/>
      <w:bookmarkEnd w:id="6"/>
      <w:bookmarkEnd w:id="7"/>
      <w:bookmarkStart w:id="8" w:name="_Toc31983"/>
      <w:bookmarkStart w:id="9" w:name="_Toc7460"/>
      <w:bookmarkStart w:id="10" w:name="_Toc27205"/>
      <w:r>
        <w:rPr>
          <w:rFonts w:hint="eastAsia" w:ascii="宋体" w:hAnsi="宋体" w:cs="宋体"/>
          <w:b/>
          <w:color w:val="auto"/>
          <w:sz w:val="24"/>
          <w:szCs w:val="24"/>
          <w:highlight w:val="none"/>
          <w:u w:val="single"/>
          <w:lang w:val="en-US" w:eastAsia="zh-CN"/>
        </w:rPr>
        <w:t xml:space="preserve"> </w:t>
      </w:r>
    </w:p>
    <w:p w14:paraId="4787365C">
      <w:pPr>
        <w:spacing w:line="800" w:lineRule="exact"/>
        <w:outlineLvl w:val="0"/>
        <w:rPr>
          <w:rFonts w:hint="eastAsia" w:ascii="宋体" w:hAnsi="宋体" w:cs="宋体"/>
          <w:b/>
          <w:color w:val="auto"/>
          <w:sz w:val="24"/>
          <w:szCs w:val="24"/>
          <w:highlight w:val="none"/>
          <w:u w:val="single"/>
          <w:lang w:val="en-US" w:eastAsia="zh-CN"/>
        </w:rPr>
      </w:pPr>
      <w:r>
        <w:rPr>
          <w:rFonts w:hint="eastAsia" w:ascii="宋体" w:hAnsi="宋体" w:cs="宋体"/>
          <w:b/>
          <w:color w:val="auto"/>
          <w:sz w:val="24"/>
          <w:szCs w:val="24"/>
          <w:highlight w:val="none"/>
        </w:rPr>
        <w:t>合同编号：</w:t>
      </w:r>
      <w:r>
        <w:rPr>
          <w:rFonts w:hint="eastAsia" w:ascii="宋体" w:hAnsi="宋体" w:cs="宋体"/>
          <w:b/>
          <w:color w:val="auto"/>
          <w:sz w:val="24"/>
          <w:szCs w:val="24"/>
          <w:highlight w:val="none"/>
          <w:u w:val="single"/>
        </w:rPr>
        <w:t xml:space="preserve">                    </w:t>
      </w:r>
      <w:r>
        <w:rPr>
          <w:rFonts w:hint="eastAsia" w:ascii="宋体" w:hAnsi="宋体" w:cs="宋体"/>
          <w:b/>
          <w:color w:val="auto"/>
          <w:sz w:val="24"/>
          <w:szCs w:val="24"/>
          <w:highlight w:val="none"/>
          <w:u w:val="single"/>
          <w:lang w:val="en-US" w:eastAsia="zh-CN"/>
        </w:rPr>
        <w:t xml:space="preserve">       </w:t>
      </w:r>
      <w:r>
        <w:rPr>
          <w:rFonts w:hint="eastAsia" w:ascii="宋体" w:hAnsi="宋体" w:cs="宋体"/>
          <w:b/>
          <w:color w:val="auto"/>
          <w:sz w:val="24"/>
          <w:szCs w:val="24"/>
          <w:highlight w:val="none"/>
          <w:u w:val="single"/>
        </w:rPr>
        <w:t xml:space="preserve">  </w:t>
      </w:r>
      <w:r>
        <w:rPr>
          <w:rFonts w:hint="eastAsia" w:ascii="宋体" w:hAnsi="宋体" w:cs="宋体"/>
          <w:b/>
          <w:color w:val="auto"/>
          <w:sz w:val="24"/>
          <w:szCs w:val="24"/>
          <w:highlight w:val="none"/>
          <w:u w:val="single"/>
          <w:lang w:val="en-US" w:eastAsia="zh-CN"/>
        </w:rPr>
        <w:t xml:space="preserve">  </w:t>
      </w:r>
      <w:r>
        <w:rPr>
          <w:rFonts w:hint="eastAsia" w:ascii="宋体" w:hAnsi="宋体" w:cs="宋体"/>
          <w:b/>
          <w:color w:val="auto"/>
          <w:sz w:val="24"/>
          <w:szCs w:val="24"/>
          <w:highlight w:val="none"/>
          <w:u w:val="single"/>
        </w:rPr>
        <w:t xml:space="preserve">                  </w:t>
      </w:r>
      <w:bookmarkEnd w:id="8"/>
      <w:bookmarkEnd w:id="9"/>
      <w:bookmarkEnd w:id="10"/>
      <w:bookmarkStart w:id="11" w:name="_Toc11669"/>
      <w:bookmarkStart w:id="12" w:name="_Toc30208"/>
      <w:bookmarkStart w:id="13" w:name="_Toc21747"/>
      <w:r>
        <w:rPr>
          <w:rFonts w:hint="eastAsia" w:ascii="宋体" w:hAnsi="宋体" w:cs="宋体"/>
          <w:b/>
          <w:color w:val="auto"/>
          <w:sz w:val="24"/>
          <w:szCs w:val="24"/>
          <w:highlight w:val="none"/>
          <w:u w:val="single"/>
          <w:lang w:val="en-US" w:eastAsia="zh-CN"/>
        </w:rPr>
        <w:t xml:space="preserve"> </w:t>
      </w:r>
    </w:p>
    <w:p w14:paraId="3F6EF9EE">
      <w:pPr>
        <w:keepNext w:val="0"/>
        <w:keepLines w:val="0"/>
        <w:pageBreakBefore w:val="0"/>
        <w:widowControl/>
        <w:kinsoku/>
        <w:wordWrap/>
        <w:overflowPunct/>
        <w:topLinePunct w:val="0"/>
        <w:autoSpaceDE/>
        <w:autoSpaceDN/>
        <w:bidi w:val="0"/>
        <w:adjustRightInd/>
        <w:snapToGrid/>
        <w:spacing w:before="157" w:beforeLines="50" w:line="500" w:lineRule="exact"/>
        <w:jc w:val="left"/>
        <w:textAlignment w:val="auto"/>
        <w:rPr>
          <w:rFonts w:hint="eastAsia" w:ascii="宋体" w:hAnsi="宋体" w:eastAsia="Times New Roman" w:cs="宋体"/>
          <w:b/>
          <w:color w:val="auto"/>
          <w:sz w:val="24"/>
          <w:szCs w:val="24"/>
          <w:highlight w:val="none"/>
          <w:u w:val="single"/>
        </w:rPr>
      </w:pPr>
      <w:r>
        <w:rPr>
          <w:rFonts w:hint="eastAsia" w:ascii="宋体" w:hAnsi="宋体" w:cs="宋体"/>
          <w:b/>
          <w:color w:val="auto"/>
          <w:sz w:val="24"/>
          <w:szCs w:val="24"/>
          <w:highlight w:val="none"/>
        </w:rPr>
        <w:t>采购人（以下简称甲方）：</w:t>
      </w:r>
      <w:r>
        <w:rPr>
          <w:rFonts w:hint="eastAsia" w:ascii="宋体" w:hAnsi="宋体" w:eastAsia="Times New Roman" w:cs="宋体"/>
          <w:b/>
          <w:color w:val="auto"/>
          <w:sz w:val="24"/>
          <w:szCs w:val="24"/>
          <w:highlight w:val="none"/>
          <w:u w:val="single"/>
        </w:rPr>
        <w:t xml:space="preserve">  </w:t>
      </w:r>
      <w:r>
        <w:rPr>
          <w:rFonts w:hint="eastAsia" w:ascii="宋体" w:hAnsi="宋体" w:eastAsia="Times New Roman" w:cs="宋体"/>
          <w:b/>
          <w:color w:val="auto"/>
          <w:sz w:val="24"/>
          <w:szCs w:val="24"/>
          <w:highlight w:val="none"/>
          <w:u w:val="single"/>
          <w:lang w:val="en-US" w:eastAsia="zh-CN"/>
        </w:rPr>
        <w:t xml:space="preserve"> </w:t>
      </w:r>
      <w:r>
        <w:rPr>
          <w:rFonts w:hint="eastAsia" w:ascii="宋体" w:hAnsi="宋体" w:eastAsia="Times New Roman" w:cs="宋体"/>
          <w:b/>
          <w:color w:val="auto"/>
          <w:sz w:val="24"/>
          <w:szCs w:val="24"/>
          <w:highlight w:val="none"/>
          <w:u w:val="single"/>
          <w:lang w:eastAsia="zh-CN"/>
        </w:rPr>
        <w:t>西安市殡仪馆</w:t>
      </w:r>
      <w:r>
        <w:rPr>
          <w:rFonts w:hint="eastAsia" w:ascii="宋体" w:hAnsi="宋体" w:eastAsia="Times New Roman" w:cs="宋体"/>
          <w:b/>
          <w:color w:val="auto"/>
          <w:sz w:val="24"/>
          <w:szCs w:val="24"/>
          <w:highlight w:val="none"/>
          <w:u w:val="single"/>
          <w:lang w:val="en-US" w:eastAsia="zh-CN"/>
        </w:rPr>
        <w:t xml:space="preserve">  </w:t>
      </w:r>
      <w:r>
        <w:rPr>
          <w:rFonts w:hint="eastAsia" w:ascii="宋体" w:hAnsi="宋体" w:eastAsia="Times New Roman" w:cs="宋体"/>
          <w:b/>
          <w:color w:val="auto"/>
          <w:sz w:val="24"/>
          <w:szCs w:val="24"/>
          <w:highlight w:val="none"/>
          <w:u w:val="single"/>
        </w:rPr>
        <w:t xml:space="preserve"> </w:t>
      </w:r>
      <w:bookmarkEnd w:id="11"/>
      <w:bookmarkEnd w:id="12"/>
      <w:bookmarkEnd w:id="13"/>
      <w:bookmarkStart w:id="14" w:name="_Toc30535"/>
      <w:bookmarkStart w:id="15" w:name="_Toc31229"/>
      <w:bookmarkStart w:id="16" w:name="_Toc29112"/>
    </w:p>
    <w:p w14:paraId="03A2F7AD">
      <w:pPr>
        <w:spacing w:line="800" w:lineRule="exact"/>
        <w:outlineLvl w:val="0"/>
        <w:rPr>
          <w:rFonts w:hint="eastAsia"/>
          <w:color w:val="auto"/>
        </w:rPr>
      </w:pPr>
      <w:r>
        <w:rPr>
          <w:rFonts w:hint="eastAsia" w:ascii="宋体" w:hAnsi="宋体" w:cs="宋体"/>
          <w:b/>
          <w:color w:val="auto"/>
          <w:sz w:val="24"/>
          <w:szCs w:val="24"/>
          <w:highlight w:val="none"/>
        </w:rPr>
        <w:t>供应商（以下简称乙方）：</w:t>
      </w:r>
      <w:r>
        <w:rPr>
          <w:rFonts w:hint="eastAsia" w:ascii="宋体" w:hAnsi="宋体" w:cs="宋体"/>
          <w:b/>
          <w:color w:val="auto"/>
          <w:sz w:val="24"/>
          <w:szCs w:val="24"/>
          <w:highlight w:val="none"/>
          <w:u w:val="single"/>
        </w:rPr>
        <w:t xml:space="preserve">             </w:t>
      </w:r>
      <w:r>
        <w:rPr>
          <w:rFonts w:hint="eastAsia" w:ascii="宋体" w:hAnsi="宋体" w:cs="宋体"/>
          <w:b/>
          <w:color w:val="auto"/>
          <w:sz w:val="24"/>
          <w:szCs w:val="24"/>
          <w:highlight w:val="none"/>
          <w:u w:val="single"/>
          <w:lang w:val="en-US" w:eastAsia="zh-CN"/>
        </w:rPr>
        <w:t xml:space="preserve">            </w:t>
      </w:r>
      <w:r>
        <w:rPr>
          <w:rFonts w:hint="eastAsia" w:ascii="宋体" w:hAnsi="宋体" w:cs="宋体"/>
          <w:b/>
          <w:color w:val="auto"/>
          <w:sz w:val="24"/>
          <w:szCs w:val="24"/>
          <w:highlight w:val="none"/>
          <w:u w:val="single"/>
        </w:rPr>
        <w:t xml:space="preserve">              </w:t>
      </w:r>
      <w:bookmarkEnd w:id="14"/>
      <w:bookmarkEnd w:id="15"/>
      <w:bookmarkEnd w:id="16"/>
    </w:p>
    <w:p w14:paraId="2D6520D6">
      <w:pPr>
        <w:spacing w:line="800" w:lineRule="exact"/>
        <w:outlineLvl w:val="0"/>
        <w:rPr>
          <w:rFonts w:hint="eastAsia" w:ascii="宋体" w:hAnsi="宋体" w:eastAsia="宋体" w:cs="宋体"/>
          <w:b/>
          <w:color w:val="auto"/>
          <w:sz w:val="24"/>
          <w:szCs w:val="24"/>
          <w:highlight w:val="none"/>
          <w:u w:val="single"/>
          <w:lang w:val="en-US" w:eastAsia="zh-CN"/>
        </w:rPr>
      </w:pPr>
      <w:bookmarkStart w:id="17" w:name="_Toc12306"/>
      <w:bookmarkStart w:id="18" w:name="_Toc8296"/>
      <w:bookmarkStart w:id="19" w:name="_Toc31718"/>
      <w:r>
        <w:rPr>
          <w:rFonts w:hint="eastAsia" w:ascii="宋体" w:hAnsi="宋体" w:cs="宋体"/>
          <w:b/>
          <w:color w:val="auto"/>
          <w:sz w:val="24"/>
          <w:szCs w:val="24"/>
          <w:highlight w:val="none"/>
        </w:rPr>
        <w:t>签订日期：</w:t>
      </w:r>
      <w:r>
        <w:rPr>
          <w:rFonts w:hint="eastAsia" w:ascii="宋体" w:hAnsi="宋体" w:cs="宋体"/>
          <w:b/>
          <w:color w:val="auto"/>
          <w:sz w:val="24"/>
          <w:szCs w:val="24"/>
          <w:highlight w:val="none"/>
          <w:u w:val="single"/>
        </w:rPr>
        <w:t xml:space="preserve">                     </w:t>
      </w:r>
      <w:r>
        <w:rPr>
          <w:rFonts w:hint="eastAsia" w:ascii="宋体" w:hAnsi="宋体" w:cs="宋体"/>
          <w:b/>
          <w:color w:val="auto"/>
          <w:sz w:val="24"/>
          <w:szCs w:val="24"/>
          <w:highlight w:val="none"/>
          <w:u w:val="single"/>
          <w:lang w:val="en-US" w:eastAsia="zh-CN"/>
        </w:rPr>
        <w:t xml:space="preserve">         </w:t>
      </w:r>
      <w:r>
        <w:rPr>
          <w:rFonts w:hint="eastAsia" w:ascii="宋体" w:hAnsi="宋体" w:cs="宋体"/>
          <w:b/>
          <w:color w:val="auto"/>
          <w:sz w:val="24"/>
          <w:szCs w:val="24"/>
          <w:highlight w:val="none"/>
          <w:u w:val="single"/>
        </w:rPr>
        <w:t xml:space="preserve">                    </w:t>
      </w:r>
      <w:bookmarkEnd w:id="17"/>
      <w:bookmarkEnd w:id="18"/>
      <w:bookmarkEnd w:id="19"/>
      <w:r>
        <w:rPr>
          <w:rFonts w:hint="eastAsia" w:ascii="宋体" w:hAnsi="宋体" w:cs="宋体"/>
          <w:b/>
          <w:color w:val="auto"/>
          <w:sz w:val="24"/>
          <w:szCs w:val="24"/>
          <w:highlight w:val="none"/>
          <w:u w:val="single"/>
          <w:lang w:val="en-US" w:eastAsia="zh-CN"/>
        </w:rPr>
        <w:t xml:space="preserve"> </w:t>
      </w:r>
    </w:p>
    <w:p w14:paraId="1161F63B">
      <w:pPr>
        <w:keepNext w:val="0"/>
        <w:keepLines w:val="0"/>
        <w:pageBreakBefore w:val="0"/>
        <w:widowControl/>
        <w:kinsoku/>
        <w:wordWrap/>
        <w:overflowPunct/>
        <w:topLinePunct w:val="0"/>
        <w:autoSpaceDE/>
        <w:autoSpaceDN/>
        <w:bidi w:val="0"/>
        <w:adjustRightInd/>
        <w:snapToGrid/>
        <w:spacing w:before="157" w:beforeLines="50" w:line="560" w:lineRule="exact"/>
        <w:jc w:val="left"/>
        <w:textAlignment w:val="auto"/>
        <w:rPr>
          <w:rFonts w:hint="eastAsia" w:eastAsia="宋体"/>
          <w:color w:val="auto"/>
          <w:lang w:eastAsia="zh-CN"/>
        </w:rPr>
      </w:pPr>
      <w:r>
        <w:rPr>
          <w:rFonts w:hint="eastAsia" w:ascii="宋体" w:hAnsi="宋体" w:cs="宋体"/>
          <w:color w:val="auto"/>
          <w:kern w:val="0"/>
          <w:sz w:val="24"/>
          <w:lang w:bidi="ar"/>
        </w:rPr>
        <w:t>甲方：</w:t>
      </w:r>
      <w:r>
        <w:rPr>
          <w:rFonts w:hint="eastAsia" w:ascii="宋体" w:hAnsi="宋体" w:eastAsia="Times New Roman" w:cs="宋体"/>
          <w:color w:val="auto"/>
          <w:kern w:val="0"/>
          <w:sz w:val="24"/>
          <w:u w:val="single"/>
          <w:lang w:val="en-US" w:eastAsia="zh-CN" w:bidi="ar"/>
        </w:rPr>
        <w:t>西安市殡仪馆</w:t>
      </w:r>
    </w:p>
    <w:p w14:paraId="096A196F">
      <w:pPr>
        <w:keepNext w:val="0"/>
        <w:keepLines w:val="0"/>
        <w:pageBreakBefore w:val="0"/>
        <w:widowControl/>
        <w:kinsoku/>
        <w:wordWrap/>
        <w:overflowPunct/>
        <w:topLinePunct w:val="0"/>
        <w:bidi w:val="0"/>
        <w:spacing w:line="560" w:lineRule="exact"/>
        <w:jc w:val="left"/>
        <w:textAlignment w:val="auto"/>
        <w:rPr>
          <w:color w:val="auto"/>
        </w:rPr>
      </w:pPr>
      <w:r>
        <w:rPr>
          <w:rFonts w:hint="eastAsia" w:ascii="宋体" w:hAnsi="宋体" w:cs="宋体"/>
          <w:color w:val="auto"/>
          <w:kern w:val="0"/>
          <w:sz w:val="24"/>
          <w:lang w:bidi="ar"/>
        </w:rPr>
        <w:t>乙方：</w:t>
      </w:r>
      <w:r>
        <w:rPr>
          <w:rFonts w:hint="eastAsia" w:ascii="宋体" w:hAnsi="宋体" w:cs="宋体"/>
          <w:color w:val="auto"/>
          <w:kern w:val="0"/>
          <w:sz w:val="24"/>
          <w:u w:val="single"/>
          <w:lang w:val="en-US" w:eastAsia="zh-CN" w:bidi="ar"/>
        </w:rPr>
        <w:t xml:space="preserve">         </w:t>
      </w:r>
      <w:r>
        <w:rPr>
          <w:rFonts w:hint="eastAsia" w:ascii="宋体" w:hAnsi="宋体" w:cs="宋体"/>
          <w:color w:val="auto"/>
          <w:kern w:val="0"/>
          <w:sz w:val="24"/>
          <w:lang w:bidi="ar"/>
        </w:rPr>
        <w:t xml:space="preserve"> </w:t>
      </w:r>
    </w:p>
    <w:p w14:paraId="2E07349E">
      <w:pPr>
        <w:keepNext w:val="0"/>
        <w:keepLines w:val="0"/>
        <w:pageBreakBefore w:val="0"/>
        <w:kinsoku/>
        <w:wordWrap/>
        <w:overflowPunct/>
        <w:topLinePunct w:val="0"/>
        <w:bidi w:val="0"/>
        <w:spacing w:line="560" w:lineRule="exact"/>
        <w:ind w:firstLine="480" w:firstLineChars="200"/>
        <w:textAlignment w:val="auto"/>
        <w:rPr>
          <w:rFonts w:hint="eastAsia" w:ascii="宋体" w:hAnsi="宋体" w:cs="宋体"/>
          <w:color w:val="auto"/>
          <w:kern w:val="0"/>
          <w:sz w:val="24"/>
          <w:lang w:eastAsia="zh-CN" w:bidi="ar"/>
        </w:rPr>
      </w:pPr>
      <w:r>
        <w:rPr>
          <w:rFonts w:hint="eastAsia" w:ascii="宋体" w:hAnsi="宋体" w:cs="宋体"/>
          <w:color w:val="auto"/>
          <w:kern w:val="0"/>
          <w:sz w:val="24"/>
          <w:lang w:val="en-US" w:eastAsia="zh-CN" w:bidi="ar"/>
        </w:rPr>
        <w:t>西安市殡仪馆2025年火化棺采购项目</w:t>
      </w:r>
      <w:r>
        <w:rPr>
          <w:rFonts w:hint="eastAsia" w:ascii="宋体" w:hAnsi="宋体" w:cs="宋体"/>
          <w:color w:val="auto"/>
          <w:kern w:val="0"/>
          <w:sz w:val="24"/>
          <w:u w:val="single"/>
          <w:lang w:val="en-US" w:eastAsia="zh-CN" w:bidi="ar"/>
        </w:rPr>
        <w:t xml:space="preserve"> （  包）</w:t>
      </w:r>
      <w:r>
        <w:rPr>
          <w:rFonts w:hint="eastAsia" w:ascii="宋体" w:hAnsi="宋体" w:cs="宋体"/>
          <w:color w:val="auto"/>
          <w:kern w:val="0"/>
          <w:sz w:val="24"/>
          <w:lang w:bidi="ar"/>
        </w:rPr>
        <w:t>，由</w:t>
      </w:r>
      <w:r>
        <w:rPr>
          <w:rFonts w:hint="eastAsia" w:ascii="宋体" w:hAnsi="宋体" w:cs="宋体"/>
          <w:color w:val="auto"/>
          <w:kern w:val="0"/>
          <w:sz w:val="24"/>
          <w:lang w:val="en-US" w:eastAsia="zh-CN" w:bidi="ar"/>
        </w:rPr>
        <w:t>陕西中裕天腾项目管理有限公司组织公开招标，西安市殡仪馆</w:t>
      </w:r>
      <w:r>
        <w:rPr>
          <w:rFonts w:hint="eastAsia" w:ascii="宋体" w:hAnsi="宋体" w:cs="宋体"/>
          <w:color w:val="auto"/>
          <w:kern w:val="0"/>
          <w:sz w:val="24"/>
          <w:lang w:bidi="ar"/>
        </w:rPr>
        <w:t>（以下简称甲方）确定</w:t>
      </w:r>
      <w:r>
        <w:rPr>
          <w:rFonts w:hint="eastAsia" w:ascii="宋体" w:hAnsi="宋体" w:eastAsia="Times New Roman" w:cs="宋体"/>
          <w:color w:val="auto"/>
          <w:kern w:val="0"/>
          <w:sz w:val="24"/>
          <w:u w:val="single"/>
          <w:lang w:val="en-US" w:eastAsia="zh-CN" w:bidi="ar"/>
        </w:rPr>
        <w:t xml:space="preserve"> </w:t>
      </w:r>
      <w:r>
        <w:rPr>
          <w:rFonts w:hint="eastAsia" w:ascii="宋体" w:hAnsi="宋体" w:cs="宋体"/>
          <w:color w:val="auto"/>
          <w:kern w:val="0"/>
          <w:sz w:val="24"/>
          <w:u w:val="single"/>
          <w:lang w:val="en-US" w:eastAsia="zh-CN" w:bidi="ar"/>
        </w:rPr>
        <w:t xml:space="preserve">     </w:t>
      </w:r>
      <w:r>
        <w:rPr>
          <w:rFonts w:hint="eastAsia" w:ascii="宋体" w:hAnsi="宋体" w:cs="宋体"/>
          <w:color w:val="auto"/>
          <w:kern w:val="0"/>
          <w:sz w:val="24"/>
          <w:lang w:bidi="ar"/>
        </w:rPr>
        <w:t>（以下简称乙方）为该项目</w:t>
      </w:r>
      <w:r>
        <w:rPr>
          <w:rFonts w:hint="eastAsia" w:ascii="宋体" w:hAnsi="宋体" w:cs="宋体"/>
          <w:color w:val="auto"/>
          <w:kern w:val="0"/>
          <w:sz w:val="24"/>
          <w:lang w:eastAsia="zh-CN" w:bidi="ar"/>
        </w:rPr>
        <w:t>成交</w:t>
      </w:r>
      <w:r>
        <w:rPr>
          <w:rFonts w:hint="eastAsia" w:ascii="宋体" w:hAnsi="宋体" w:cs="宋体"/>
          <w:color w:val="auto"/>
          <w:kern w:val="0"/>
          <w:sz w:val="24"/>
          <w:lang w:bidi="ar"/>
        </w:rPr>
        <w:t>单位。依据《中华人民共和国</w:t>
      </w:r>
      <w:r>
        <w:rPr>
          <w:rFonts w:hint="eastAsia" w:ascii="宋体" w:hAnsi="宋体" w:cs="宋体"/>
          <w:color w:val="auto"/>
          <w:kern w:val="0"/>
          <w:sz w:val="24"/>
          <w:lang w:eastAsia="zh-CN" w:bidi="ar"/>
        </w:rPr>
        <w:t>民法典</w:t>
      </w:r>
      <w:r>
        <w:rPr>
          <w:rFonts w:hint="eastAsia" w:ascii="宋体" w:hAnsi="宋体" w:cs="宋体"/>
          <w:color w:val="auto"/>
          <w:kern w:val="0"/>
          <w:sz w:val="24"/>
          <w:lang w:bidi="ar"/>
        </w:rPr>
        <w:t>》和《中华人民共和国政府采购法》，经甲、乙双方共同协商，按下述条款和条件签署</w:t>
      </w:r>
      <w:r>
        <w:rPr>
          <w:rFonts w:hint="eastAsia" w:ascii="宋体" w:hAnsi="宋体" w:cs="宋体"/>
          <w:color w:val="auto"/>
          <w:kern w:val="0"/>
          <w:sz w:val="24"/>
          <w:lang w:eastAsia="zh-CN" w:bidi="ar"/>
        </w:rPr>
        <w:t>本合同。</w:t>
      </w:r>
    </w:p>
    <w:bookmarkEnd w:id="0"/>
    <w:bookmarkEnd w:id="1"/>
    <w:p w14:paraId="2A3476EA">
      <w:pPr>
        <w:keepNext w:val="0"/>
        <w:keepLines w:val="0"/>
        <w:pageBreakBefore w:val="0"/>
        <w:kinsoku/>
        <w:wordWrap/>
        <w:overflowPunct/>
        <w:topLinePunct w:val="0"/>
        <w:bidi w:val="0"/>
        <w:spacing w:line="560" w:lineRule="exact"/>
        <w:jc w:val="left"/>
        <w:textAlignment w:val="auto"/>
        <w:rPr>
          <w:rFonts w:ascii="宋体" w:hAnsi="宋体" w:cs="宋体"/>
          <w:b/>
          <w:color w:val="auto"/>
          <w:szCs w:val="21"/>
        </w:rPr>
      </w:pPr>
      <w:r>
        <w:rPr>
          <w:rFonts w:hint="eastAsia" w:ascii="宋体" w:hAnsi="宋体" w:cs="宋体"/>
          <w:b/>
          <w:color w:val="auto"/>
          <w:szCs w:val="21"/>
        </w:rPr>
        <w:t>一、交货条件：</w:t>
      </w:r>
    </w:p>
    <w:p w14:paraId="44C2E081">
      <w:pPr>
        <w:keepNext w:val="0"/>
        <w:keepLines w:val="0"/>
        <w:pageBreakBefore w:val="0"/>
        <w:kinsoku/>
        <w:wordWrap/>
        <w:overflowPunct/>
        <w:topLinePunct w:val="0"/>
        <w:bidi w:val="0"/>
        <w:spacing w:line="560" w:lineRule="exact"/>
        <w:ind w:firstLine="480" w:firstLineChars="200"/>
        <w:jc w:val="left"/>
        <w:textAlignment w:val="auto"/>
        <w:rPr>
          <w:rFonts w:ascii="宋体" w:hAnsi="宋体" w:cs="宋体"/>
          <w:color w:val="auto"/>
          <w:szCs w:val="21"/>
        </w:rPr>
      </w:pPr>
      <w:r>
        <w:rPr>
          <w:rFonts w:hint="eastAsia" w:ascii="宋体" w:hAnsi="宋体" w:eastAsia="宋体" w:cs="宋体"/>
          <w:color w:val="auto"/>
          <w:szCs w:val="21"/>
          <w:lang w:val="en-US" w:eastAsia="zh-CN"/>
        </w:rPr>
        <w:t>1、</w:t>
      </w:r>
      <w:r>
        <w:rPr>
          <w:rFonts w:hint="eastAsia" w:ascii="宋体" w:hAnsi="宋体" w:cs="宋体"/>
          <w:color w:val="auto"/>
          <w:szCs w:val="21"/>
        </w:rPr>
        <w:t>交货地点：</w:t>
      </w:r>
      <w:r>
        <w:rPr>
          <w:rFonts w:hint="eastAsia" w:ascii="宋体" w:hAnsi="宋体" w:cs="宋体"/>
          <w:color w:val="auto"/>
          <w:szCs w:val="21"/>
          <w:lang w:eastAsia="zh-CN"/>
        </w:rPr>
        <w:t>西安市殡仪馆</w:t>
      </w:r>
      <w:r>
        <w:rPr>
          <w:rFonts w:ascii="宋体" w:hAnsi="宋体" w:cs="宋体"/>
          <w:color w:val="auto"/>
          <w:szCs w:val="21"/>
        </w:rPr>
        <w:t xml:space="preserve"> </w:t>
      </w:r>
    </w:p>
    <w:p w14:paraId="57F32316">
      <w:pPr>
        <w:keepNext w:val="0"/>
        <w:keepLines w:val="0"/>
        <w:pageBreakBefore w:val="0"/>
        <w:kinsoku/>
        <w:wordWrap/>
        <w:overflowPunct/>
        <w:topLinePunct w:val="0"/>
        <w:bidi w:val="0"/>
        <w:spacing w:line="560" w:lineRule="exact"/>
        <w:ind w:firstLine="480" w:firstLineChars="200"/>
        <w:jc w:val="left"/>
        <w:textAlignment w:val="auto"/>
        <w:rPr>
          <w:rFonts w:hint="eastAsia" w:ascii="宋体" w:hAnsi="宋体" w:eastAsia="宋体" w:cs="宋体"/>
          <w:color w:val="auto"/>
          <w:szCs w:val="21"/>
          <w:lang w:eastAsia="zh-CN"/>
        </w:rPr>
      </w:pPr>
      <w:r>
        <w:rPr>
          <w:rFonts w:hint="eastAsia" w:ascii="宋体" w:hAnsi="宋体" w:eastAsia="宋体" w:cs="宋体"/>
          <w:color w:val="auto"/>
          <w:szCs w:val="21"/>
          <w:lang w:val="en-US" w:eastAsia="zh-CN"/>
        </w:rPr>
        <w:t>2、</w:t>
      </w:r>
      <w:r>
        <w:rPr>
          <w:rFonts w:hint="eastAsia" w:ascii="宋体" w:hAnsi="宋体" w:cs="宋体"/>
          <w:color w:val="auto"/>
          <w:szCs w:val="21"/>
          <w:lang w:eastAsia="zh-CN"/>
        </w:rPr>
        <w:t>服务期限</w:t>
      </w:r>
      <w:r>
        <w:rPr>
          <w:rFonts w:hint="eastAsia" w:ascii="宋体" w:hAnsi="宋体" w:cs="宋体"/>
          <w:color w:val="auto"/>
          <w:szCs w:val="21"/>
        </w:rPr>
        <w:t>：</w:t>
      </w:r>
      <w:r>
        <w:rPr>
          <w:rFonts w:hint="eastAsia" w:ascii="宋体" w:hAnsi="宋体" w:eastAsia="宋体" w:cs="宋体"/>
          <w:color w:val="auto"/>
          <w:szCs w:val="21"/>
        </w:rPr>
        <w:t>合同签订之日起</w:t>
      </w:r>
      <w:r>
        <w:rPr>
          <w:rFonts w:hint="eastAsia" w:ascii="宋体" w:hAnsi="宋体" w:eastAsia="宋体" w:cs="宋体"/>
          <w:color w:val="auto"/>
          <w:szCs w:val="21"/>
          <w:lang w:eastAsia="zh-CN"/>
        </w:rPr>
        <w:t>壹</w:t>
      </w:r>
      <w:r>
        <w:rPr>
          <w:rFonts w:hint="eastAsia" w:ascii="宋体" w:hAnsi="宋体" w:cs="宋体"/>
          <w:color w:val="auto"/>
          <w:szCs w:val="21"/>
        </w:rPr>
        <w:t>年或累计结算金额达到采购预算，以先到达者为准。</w:t>
      </w:r>
    </w:p>
    <w:p w14:paraId="50E8AAE9">
      <w:pPr>
        <w:keepNext w:val="0"/>
        <w:keepLines w:val="0"/>
        <w:pageBreakBefore w:val="0"/>
        <w:kinsoku/>
        <w:wordWrap/>
        <w:overflowPunct/>
        <w:topLinePunct w:val="0"/>
        <w:bidi w:val="0"/>
        <w:spacing w:line="560" w:lineRule="exact"/>
        <w:ind w:firstLine="480" w:firstLineChars="200"/>
        <w:jc w:val="left"/>
        <w:textAlignment w:val="auto"/>
        <w:rPr>
          <w:rFonts w:hint="eastAsia" w:ascii="宋体" w:hAnsi="宋体" w:cs="宋体"/>
          <w:color w:val="auto"/>
          <w:szCs w:val="21"/>
        </w:rPr>
      </w:pPr>
      <w:r>
        <w:rPr>
          <w:rFonts w:hint="eastAsia" w:ascii="宋体" w:hAnsi="宋体" w:eastAsia="宋体" w:cs="宋体"/>
          <w:color w:val="auto"/>
          <w:szCs w:val="21"/>
          <w:lang w:val="en-US" w:eastAsia="zh-CN"/>
        </w:rPr>
        <w:t>3、</w:t>
      </w:r>
      <w:r>
        <w:rPr>
          <w:rFonts w:hint="eastAsia" w:ascii="宋体" w:hAnsi="宋体" w:cs="宋体"/>
          <w:color w:val="auto"/>
          <w:szCs w:val="21"/>
        </w:rPr>
        <w:t>交货时间：中标供应商接到采购人要货通知后</w:t>
      </w:r>
      <w:r>
        <w:rPr>
          <w:rFonts w:hint="eastAsia" w:ascii="宋体" w:hAnsi="宋体" w:eastAsia="宋体" w:cs="宋体"/>
          <w:color w:val="auto"/>
          <w:szCs w:val="21"/>
          <w:lang w:val="en-US" w:eastAsia="zh-CN"/>
        </w:rPr>
        <w:t>3</w:t>
      </w:r>
      <w:r>
        <w:rPr>
          <w:rFonts w:hint="eastAsia" w:ascii="宋体" w:hAnsi="宋体" w:cs="宋体"/>
          <w:color w:val="auto"/>
          <w:szCs w:val="21"/>
        </w:rPr>
        <w:t>日内完成供货。</w:t>
      </w:r>
    </w:p>
    <w:p w14:paraId="1CA56008">
      <w:pPr>
        <w:keepNext w:val="0"/>
        <w:keepLines w:val="0"/>
        <w:pageBreakBefore w:val="0"/>
        <w:kinsoku/>
        <w:wordWrap/>
        <w:overflowPunct/>
        <w:topLinePunct w:val="0"/>
        <w:bidi w:val="0"/>
        <w:spacing w:line="560" w:lineRule="exact"/>
        <w:ind w:firstLine="480" w:firstLineChars="200"/>
        <w:jc w:val="left"/>
        <w:textAlignment w:val="auto"/>
        <w:rPr>
          <w:rFonts w:ascii="宋体" w:hAnsi="宋体" w:cs="宋体"/>
          <w:color w:val="auto"/>
          <w:szCs w:val="21"/>
        </w:rPr>
      </w:pPr>
      <w:r>
        <w:rPr>
          <w:rFonts w:hint="eastAsia" w:ascii="宋体" w:hAnsi="宋体" w:eastAsia="宋体" w:cs="宋体"/>
          <w:color w:val="auto"/>
          <w:szCs w:val="21"/>
          <w:lang w:val="en-US" w:eastAsia="zh-CN"/>
        </w:rPr>
        <w:t>4、</w:t>
      </w:r>
      <w:r>
        <w:rPr>
          <w:rFonts w:hint="eastAsia" w:ascii="宋体" w:hAnsi="宋体" w:cs="宋体"/>
          <w:color w:val="auto"/>
          <w:szCs w:val="21"/>
        </w:rPr>
        <w:t>质量要求：符合国家相关规定要求。</w:t>
      </w:r>
    </w:p>
    <w:p w14:paraId="5629B553">
      <w:pPr>
        <w:keepNext w:val="0"/>
        <w:keepLines w:val="0"/>
        <w:pageBreakBefore w:val="0"/>
        <w:kinsoku/>
        <w:wordWrap/>
        <w:overflowPunct/>
        <w:topLinePunct w:val="0"/>
        <w:bidi w:val="0"/>
        <w:spacing w:line="560" w:lineRule="exact"/>
        <w:jc w:val="left"/>
        <w:textAlignment w:val="auto"/>
        <w:rPr>
          <w:rFonts w:ascii="宋体" w:hAnsi="宋体" w:cs="宋体"/>
          <w:b/>
          <w:color w:val="auto"/>
          <w:szCs w:val="21"/>
        </w:rPr>
      </w:pPr>
      <w:r>
        <w:rPr>
          <w:rFonts w:hint="eastAsia" w:ascii="宋体" w:hAnsi="宋体" w:cs="宋体"/>
          <w:b/>
          <w:color w:val="auto"/>
          <w:szCs w:val="21"/>
        </w:rPr>
        <w:t>二、合同价款</w:t>
      </w:r>
    </w:p>
    <w:p w14:paraId="370560B5">
      <w:pPr>
        <w:keepNext w:val="0"/>
        <w:keepLines w:val="0"/>
        <w:pageBreakBefore w:val="0"/>
        <w:tabs>
          <w:tab w:val="left" w:pos="735"/>
        </w:tabs>
        <w:kinsoku/>
        <w:wordWrap/>
        <w:overflowPunct/>
        <w:topLinePunct w:val="0"/>
        <w:autoSpaceDE w:val="0"/>
        <w:autoSpaceDN w:val="0"/>
        <w:bidi w:val="0"/>
        <w:adjustRightInd w:val="0"/>
        <w:snapToGrid w:val="0"/>
        <w:spacing w:line="560" w:lineRule="exact"/>
        <w:ind w:firstLine="480" w:firstLineChars="200"/>
        <w:textAlignment w:val="auto"/>
        <w:rPr>
          <w:rFonts w:hint="eastAsia" w:ascii="宋体" w:hAnsi="宋体" w:cs="宋体"/>
          <w:color w:val="auto"/>
          <w:kern w:val="0"/>
          <w:sz w:val="24"/>
          <w:lang w:bidi="ar"/>
        </w:rPr>
      </w:pPr>
      <w:r>
        <w:rPr>
          <w:rFonts w:hint="eastAsia" w:ascii="宋体" w:hAnsi="宋体" w:cs="宋体"/>
          <w:color w:val="auto"/>
          <w:kern w:val="0"/>
          <w:sz w:val="24"/>
          <w:lang w:bidi="ar"/>
        </w:rPr>
        <w:t>1、</w:t>
      </w:r>
      <w:r>
        <w:rPr>
          <w:rFonts w:hint="eastAsia" w:ascii="宋体" w:hAnsi="宋体" w:eastAsia="宋体" w:cs="宋体"/>
          <w:color w:val="auto"/>
          <w:kern w:val="0"/>
          <w:sz w:val="24"/>
          <w:lang w:eastAsia="zh-CN" w:bidi="ar"/>
        </w:rPr>
        <w:t>预算金额：</w:t>
      </w:r>
      <w:r>
        <w:rPr>
          <w:rFonts w:hint="eastAsia" w:ascii="宋体" w:hAnsi="宋体" w:eastAsia="宋体" w:cs="宋体"/>
          <w:color w:val="auto"/>
          <w:kern w:val="0"/>
          <w:sz w:val="24"/>
          <w:u w:val="single"/>
          <w:lang w:val="en-US" w:eastAsia="zh-CN" w:bidi="ar"/>
        </w:rPr>
        <w:t>陆佰肆拾伍万元整（6450000.00元）</w:t>
      </w:r>
      <w:r>
        <w:rPr>
          <w:rFonts w:hint="eastAsia" w:ascii="宋体" w:hAnsi="宋体" w:eastAsia="宋体" w:cs="宋体"/>
          <w:color w:val="auto"/>
          <w:kern w:val="0"/>
          <w:sz w:val="24"/>
          <w:u w:val="none"/>
          <w:lang w:val="en-US" w:eastAsia="zh-CN" w:bidi="ar"/>
        </w:rPr>
        <w:t>，</w:t>
      </w:r>
      <w:r>
        <w:rPr>
          <w:rFonts w:hint="eastAsia" w:ascii="宋体" w:hAnsi="宋体" w:cs="宋体"/>
          <w:color w:val="auto"/>
          <w:kern w:val="0"/>
          <w:sz w:val="24"/>
          <w:lang w:val="en-US" w:eastAsia="zh-CN" w:bidi="ar"/>
        </w:rPr>
        <w:t>综合单价</w:t>
      </w:r>
      <w:r>
        <w:rPr>
          <w:rFonts w:hint="eastAsia" w:ascii="宋体" w:hAnsi="宋体" w:cs="宋体"/>
          <w:color w:val="auto"/>
          <w:kern w:val="0"/>
          <w:sz w:val="24"/>
          <w:lang w:bidi="ar"/>
        </w:rPr>
        <w:t>人民币</w:t>
      </w:r>
      <w:r>
        <w:rPr>
          <w:rFonts w:hint="eastAsia" w:ascii="宋体" w:hAnsi="宋体" w:eastAsia="宋体" w:cs="宋体"/>
          <w:color w:val="auto"/>
          <w:kern w:val="0"/>
          <w:sz w:val="24"/>
          <w:lang w:eastAsia="zh-CN" w:bidi="ar"/>
        </w:rPr>
        <w:t>：</w:t>
      </w:r>
      <w:r>
        <w:rPr>
          <w:rFonts w:hint="eastAsia" w:ascii="宋体" w:hAnsi="宋体" w:eastAsia="宋体" w:cs="宋体"/>
          <w:color w:val="auto"/>
          <w:kern w:val="0"/>
          <w:sz w:val="24"/>
          <w:u w:val="single"/>
          <w:lang w:val="en-US" w:eastAsia="zh-CN" w:bidi="ar"/>
        </w:rPr>
        <w:t xml:space="preserve">        </w:t>
      </w:r>
      <w:r>
        <w:rPr>
          <w:rFonts w:hint="eastAsia" w:ascii="宋体" w:hAnsi="宋体" w:cs="宋体"/>
          <w:color w:val="auto"/>
          <w:kern w:val="0"/>
          <w:sz w:val="24"/>
          <w:lang w:val="en-US" w:eastAsia="zh-CN" w:bidi="ar"/>
        </w:rPr>
        <w:t>,明细报价见附件</w:t>
      </w:r>
      <w:r>
        <w:rPr>
          <w:rFonts w:hint="eastAsia" w:ascii="宋体" w:hAnsi="宋体" w:eastAsia="宋体" w:cs="宋体"/>
          <w:color w:val="auto"/>
          <w:kern w:val="0"/>
          <w:sz w:val="24"/>
          <w:szCs w:val="24"/>
          <w:lang w:bidi="ar"/>
        </w:rPr>
        <w:t>。</w:t>
      </w:r>
    </w:p>
    <w:p w14:paraId="45D401FB">
      <w:pPr>
        <w:keepNext w:val="0"/>
        <w:keepLines w:val="0"/>
        <w:pageBreakBefore w:val="0"/>
        <w:tabs>
          <w:tab w:val="left" w:pos="735"/>
        </w:tabs>
        <w:kinsoku/>
        <w:wordWrap/>
        <w:overflowPunct/>
        <w:topLinePunct w:val="0"/>
        <w:autoSpaceDE w:val="0"/>
        <w:autoSpaceDN w:val="0"/>
        <w:bidi w:val="0"/>
        <w:adjustRightInd w:val="0"/>
        <w:snapToGrid w:val="0"/>
        <w:spacing w:line="560" w:lineRule="exact"/>
        <w:ind w:firstLine="480" w:firstLineChars="200"/>
        <w:textAlignment w:val="auto"/>
        <w:rPr>
          <w:rFonts w:ascii="宋体" w:hAnsi="宋体" w:cs="宋体"/>
          <w:color w:val="auto"/>
          <w:szCs w:val="21"/>
        </w:rPr>
      </w:pPr>
      <w:r>
        <w:rPr>
          <w:rFonts w:hint="eastAsia" w:ascii="宋体" w:hAnsi="宋体" w:cs="宋体"/>
          <w:color w:val="auto"/>
          <w:kern w:val="0"/>
          <w:sz w:val="24"/>
          <w:lang w:bidi="ar"/>
        </w:rPr>
        <w:t>2、合同价款包括完成本项目所需的一切费用。本合同价格为固定价格，包括了乙方履行合同全过程产生的所有成本和费用，以及乙方应承担的一切税费。</w:t>
      </w:r>
    </w:p>
    <w:p w14:paraId="6E2CD527">
      <w:pPr>
        <w:keepNext w:val="0"/>
        <w:keepLines w:val="0"/>
        <w:pageBreakBefore w:val="0"/>
        <w:kinsoku/>
        <w:wordWrap/>
        <w:overflowPunct/>
        <w:topLinePunct w:val="0"/>
        <w:bidi w:val="0"/>
        <w:spacing w:line="560" w:lineRule="exact"/>
        <w:jc w:val="left"/>
        <w:textAlignment w:val="auto"/>
        <w:rPr>
          <w:rFonts w:ascii="宋体" w:hAnsi="宋体" w:cs="宋体"/>
          <w:b/>
          <w:color w:val="auto"/>
          <w:szCs w:val="21"/>
        </w:rPr>
      </w:pPr>
      <w:r>
        <w:rPr>
          <w:rFonts w:hint="eastAsia" w:ascii="宋体" w:hAnsi="宋体" w:cs="宋体"/>
          <w:b/>
          <w:color w:val="auto"/>
          <w:szCs w:val="21"/>
        </w:rPr>
        <w:t>三、款项结算</w:t>
      </w:r>
    </w:p>
    <w:p w14:paraId="468456CB">
      <w:pPr>
        <w:keepNext w:val="0"/>
        <w:keepLines w:val="0"/>
        <w:pageBreakBefore w:val="0"/>
        <w:kinsoku/>
        <w:wordWrap/>
        <w:overflowPunct/>
        <w:topLinePunct w:val="0"/>
        <w:bidi w:val="0"/>
        <w:spacing w:line="560" w:lineRule="exact"/>
        <w:ind w:firstLine="480" w:firstLineChars="200"/>
        <w:jc w:val="left"/>
        <w:textAlignment w:val="auto"/>
        <w:rPr>
          <w:rFonts w:hint="eastAsia" w:ascii="宋体" w:hAnsi="宋体" w:cs="宋体"/>
          <w:color w:val="auto"/>
          <w:szCs w:val="21"/>
          <w:lang w:eastAsia="zh-CN"/>
        </w:rPr>
      </w:pPr>
      <w:r>
        <w:rPr>
          <w:rFonts w:hint="eastAsia" w:ascii="宋体" w:hAnsi="宋体" w:cs="宋体"/>
          <w:color w:val="auto"/>
          <w:szCs w:val="21"/>
          <w:lang w:val="en-US" w:eastAsia="zh-CN"/>
        </w:rPr>
        <w:t>1、</w:t>
      </w:r>
      <w:r>
        <w:rPr>
          <w:rFonts w:hint="eastAsia" w:ascii="宋体" w:hAnsi="宋体" w:cs="宋体"/>
          <w:color w:val="auto"/>
          <w:szCs w:val="21"/>
          <w:lang w:eastAsia="zh-CN"/>
        </w:rPr>
        <w:t>合同签订后按月结算，货款实际结算金额按实际销售数量×中标成交单价，成交单价在供货服务期限内不可改变。验收合格后，</w:t>
      </w:r>
      <w:r>
        <w:rPr>
          <w:rFonts w:hint="eastAsia" w:ascii="宋体" w:hAnsi="宋体" w:eastAsia="宋体" w:cs="宋体"/>
          <w:color w:val="auto"/>
          <w:szCs w:val="21"/>
        </w:rPr>
        <w:t>供应商持中标通知书，供货合同，双方确认的销货清单，政府采购项目验收单，开具增值税专用发票与采购人进行结算。</w:t>
      </w:r>
      <w:r>
        <w:rPr>
          <w:rFonts w:hint="eastAsia" w:ascii="宋体" w:hAnsi="宋体" w:cs="宋体"/>
          <w:color w:val="auto"/>
          <w:szCs w:val="21"/>
          <w:lang w:eastAsia="zh-CN"/>
        </w:rPr>
        <w:t>达到付款条件起5日内，支付</w:t>
      </w:r>
      <w:bookmarkStart w:id="30" w:name="_GoBack"/>
      <w:bookmarkEnd w:id="30"/>
      <w:r>
        <w:rPr>
          <w:rFonts w:hint="eastAsia" w:ascii="宋体" w:hAnsi="宋体" w:cs="宋体"/>
          <w:color w:val="auto"/>
          <w:szCs w:val="21"/>
          <w:lang w:eastAsia="zh-CN"/>
        </w:rPr>
        <w:t>实际销售金额的100.00%。</w:t>
      </w:r>
    </w:p>
    <w:p w14:paraId="505B6325">
      <w:pPr>
        <w:keepNext w:val="0"/>
        <w:keepLines w:val="0"/>
        <w:pageBreakBefore w:val="0"/>
        <w:kinsoku/>
        <w:wordWrap/>
        <w:overflowPunct/>
        <w:topLinePunct w:val="0"/>
        <w:bidi w:val="0"/>
        <w:spacing w:line="560" w:lineRule="exact"/>
        <w:ind w:firstLine="480" w:firstLineChars="200"/>
        <w:jc w:val="left"/>
        <w:textAlignment w:val="auto"/>
        <w:rPr>
          <w:rFonts w:hint="eastAsia" w:ascii="宋体" w:hAnsi="宋体" w:cs="宋体"/>
          <w:color w:val="auto"/>
          <w:szCs w:val="21"/>
        </w:rPr>
      </w:pPr>
      <w:r>
        <w:rPr>
          <w:rFonts w:hint="eastAsia" w:ascii="宋体" w:hAnsi="宋体" w:eastAsia="宋体" w:cs="宋体"/>
          <w:color w:val="auto"/>
          <w:szCs w:val="21"/>
          <w:lang w:val="en-US" w:eastAsia="zh-CN"/>
        </w:rPr>
        <w:t>2、</w:t>
      </w:r>
      <w:r>
        <w:rPr>
          <w:rFonts w:hint="eastAsia" w:ascii="宋体" w:hAnsi="宋体" w:cs="宋体"/>
          <w:color w:val="auto"/>
          <w:szCs w:val="21"/>
        </w:rPr>
        <w:t>支付方式：银行转账。</w:t>
      </w:r>
    </w:p>
    <w:p w14:paraId="6714A12C">
      <w:pPr>
        <w:keepNext w:val="0"/>
        <w:keepLines w:val="0"/>
        <w:pageBreakBefore w:val="0"/>
        <w:kinsoku/>
        <w:wordWrap/>
        <w:overflowPunct/>
        <w:topLinePunct w:val="0"/>
        <w:bidi w:val="0"/>
        <w:spacing w:line="560" w:lineRule="exact"/>
        <w:jc w:val="left"/>
        <w:textAlignment w:val="auto"/>
        <w:outlineLvl w:val="0"/>
        <w:rPr>
          <w:rFonts w:hint="eastAsia" w:ascii="宋体" w:hAnsi="宋体" w:cs="宋体"/>
          <w:b/>
          <w:color w:val="auto"/>
          <w:sz w:val="24"/>
          <w:szCs w:val="24"/>
        </w:rPr>
      </w:pPr>
      <w:bookmarkStart w:id="20" w:name="_Toc22074"/>
      <w:bookmarkStart w:id="21" w:name="_Toc6876"/>
      <w:r>
        <w:rPr>
          <w:rFonts w:hint="eastAsia" w:ascii="宋体" w:hAnsi="宋体" w:cs="宋体"/>
          <w:b/>
          <w:color w:val="auto"/>
          <w:sz w:val="24"/>
          <w:szCs w:val="24"/>
        </w:rPr>
        <w:t>四、服务要求</w:t>
      </w:r>
      <w:bookmarkEnd w:id="20"/>
      <w:bookmarkEnd w:id="21"/>
    </w:p>
    <w:p w14:paraId="7FF1FBA5">
      <w:pPr>
        <w:keepNext w:val="0"/>
        <w:keepLines w:val="0"/>
        <w:pageBreakBefore w:val="0"/>
        <w:kinsoku/>
        <w:wordWrap/>
        <w:overflowPunct/>
        <w:topLinePunct w:val="0"/>
        <w:bidi w:val="0"/>
        <w:spacing w:line="560" w:lineRule="exact"/>
        <w:ind w:firstLine="480" w:firstLineChars="200"/>
        <w:jc w:val="left"/>
        <w:textAlignment w:val="auto"/>
        <w:rPr>
          <w:rFonts w:hint="eastAsia" w:ascii="宋体" w:hAnsi="宋体" w:cs="宋体"/>
          <w:color w:val="auto"/>
          <w:sz w:val="24"/>
          <w:szCs w:val="24"/>
        </w:rPr>
      </w:pPr>
      <w:r>
        <w:rPr>
          <w:rFonts w:hint="eastAsia" w:ascii="宋体" w:hAnsi="宋体" w:cs="宋体"/>
          <w:color w:val="auto"/>
          <w:sz w:val="24"/>
          <w:szCs w:val="24"/>
        </w:rPr>
        <w:t>（一）各品类货物供货要求：</w:t>
      </w:r>
    </w:p>
    <w:p w14:paraId="598A2826">
      <w:pPr>
        <w:widowControl/>
        <w:spacing w:line="360" w:lineRule="auto"/>
        <w:ind w:firstLine="480" w:firstLineChars="200"/>
        <w:rPr>
          <w:rFonts w:hAnsi="宋体" w:eastAsia="Times New Roman" w:cs="宋体"/>
          <w:color w:val="auto"/>
          <w:sz w:val="24"/>
          <w:szCs w:val="24"/>
        </w:rPr>
      </w:pPr>
      <w:r>
        <w:rPr>
          <w:rFonts w:hint="eastAsia" w:hAnsi="宋体" w:eastAsia="Times New Roman" w:cs="宋体"/>
          <w:color w:val="auto"/>
          <w:sz w:val="24"/>
          <w:szCs w:val="24"/>
        </w:rPr>
        <w:t>1、所提供的产品是全新、完整、未使用过的，要求外观整洁、无裂纹、破损等，造型庄重简洁、图案美观大方，外形饱满；表面平整、内外无污物、不起泡、不缺材、不薄边；无局部结块、裂纹、孔洞等缺点；钉合整齐、均匀、牢固；胶黏剂均匀充分，不得溢出；倒棱、圆角、圆弧应均匀一致。产品均为环保型纸质和环保胶，燃烧后不影响炉体结构和骨灰质量。符合殡葬礼仪氛围。</w:t>
      </w:r>
      <w:r>
        <w:rPr>
          <w:rFonts w:hint="eastAsia" w:hAnsi="宋体" w:cs="宋体"/>
          <w:color w:val="auto"/>
          <w:sz w:val="24"/>
          <w:szCs w:val="24"/>
        </w:rPr>
        <w:t>由产品质量引发的家属投诉、纠纷、诉讼等由供应商负责。</w:t>
      </w:r>
    </w:p>
    <w:p w14:paraId="664E1843">
      <w:pPr>
        <w:widowControl/>
        <w:spacing w:line="360" w:lineRule="auto"/>
        <w:ind w:firstLine="480" w:firstLineChars="200"/>
        <w:rPr>
          <w:rFonts w:hAnsi="宋体" w:eastAsia="Times New Roman" w:cs="宋体"/>
          <w:color w:val="auto"/>
          <w:sz w:val="24"/>
          <w:szCs w:val="24"/>
        </w:rPr>
      </w:pPr>
      <w:r>
        <w:rPr>
          <w:rFonts w:hint="eastAsia" w:hAnsi="宋体" w:eastAsia="Times New Roman" w:cs="宋体"/>
          <w:color w:val="auto"/>
          <w:sz w:val="24"/>
          <w:szCs w:val="24"/>
        </w:rPr>
        <w:t>2、、提供产品有符合国家标准以及本产品的出厂标准的质量检验证明。</w:t>
      </w:r>
    </w:p>
    <w:p w14:paraId="204E420C">
      <w:pPr>
        <w:widowControl/>
        <w:spacing w:line="360" w:lineRule="auto"/>
        <w:ind w:firstLine="480" w:firstLineChars="200"/>
        <w:rPr>
          <w:rFonts w:hAnsi="宋体" w:eastAsia="Times New Roman" w:cs="宋体"/>
          <w:color w:val="auto"/>
          <w:sz w:val="24"/>
          <w:szCs w:val="24"/>
        </w:rPr>
      </w:pPr>
      <w:r>
        <w:rPr>
          <w:rFonts w:hint="eastAsia" w:hAnsi="宋体" w:cs="宋体"/>
          <w:color w:val="auto"/>
          <w:sz w:val="24"/>
          <w:szCs w:val="24"/>
          <w:lang w:val="en-US" w:eastAsia="zh-CN"/>
        </w:rPr>
        <w:t>3</w:t>
      </w:r>
      <w:r>
        <w:rPr>
          <w:rFonts w:hint="eastAsia" w:hAnsi="宋体" w:eastAsia="Times New Roman" w:cs="宋体"/>
          <w:color w:val="auto"/>
          <w:sz w:val="24"/>
          <w:szCs w:val="24"/>
        </w:rPr>
        <w:t>、所有投标产品须提供质量“三包”卡，《产品说明书》内容包括彩色图片、材质、规格、寓意、报价、产品工艺（纸质防虫、纸质防潮、防变形处理），材质鉴定报告，质量监督检验机构出具的产品合格检验报告。</w:t>
      </w:r>
    </w:p>
    <w:p w14:paraId="4F869D82">
      <w:pPr>
        <w:widowControl/>
        <w:spacing w:line="360" w:lineRule="auto"/>
        <w:ind w:firstLine="480" w:firstLineChars="200"/>
        <w:rPr>
          <w:rFonts w:hAnsi="宋体" w:eastAsia="Times New Roman" w:cs="宋体"/>
          <w:color w:val="auto"/>
          <w:sz w:val="24"/>
          <w:szCs w:val="24"/>
        </w:rPr>
      </w:pPr>
      <w:r>
        <w:rPr>
          <w:rFonts w:hint="eastAsia" w:hAnsi="宋体" w:cs="宋体"/>
          <w:color w:val="auto"/>
          <w:sz w:val="24"/>
          <w:szCs w:val="24"/>
          <w:lang w:val="en-US" w:eastAsia="zh-CN"/>
        </w:rPr>
        <w:t>4</w:t>
      </w:r>
      <w:r>
        <w:rPr>
          <w:rFonts w:hint="eastAsia" w:hAnsi="宋体" w:eastAsia="Times New Roman" w:cs="宋体"/>
          <w:color w:val="auto"/>
          <w:sz w:val="24"/>
          <w:szCs w:val="24"/>
        </w:rPr>
        <w:t>、本次招标，若投标方能提供符合陕西当地民风民俗的新型火化棺产品，招标方也可根据需求作具体要求，即：质量保证、生态环保、美观大方。</w:t>
      </w:r>
    </w:p>
    <w:p w14:paraId="58149FFC">
      <w:pPr>
        <w:widowControl/>
        <w:spacing w:line="360" w:lineRule="auto"/>
        <w:ind w:firstLine="480" w:firstLineChars="200"/>
        <w:rPr>
          <w:rFonts w:hAnsi="宋体" w:eastAsia="Times New Roman" w:cs="宋体"/>
          <w:color w:val="auto"/>
          <w:sz w:val="24"/>
          <w:szCs w:val="24"/>
        </w:rPr>
      </w:pPr>
      <w:r>
        <w:rPr>
          <w:rFonts w:hint="eastAsia" w:hAnsi="宋体" w:cs="宋体"/>
          <w:color w:val="auto"/>
          <w:sz w:val="24"/>
          <w:szCs w:val="24"/>
          <w:lang w:val="en-US" w:eastAsia="zh-CN"/>
        </w:rPr>
        <w:t>5</w:t>
      </w:r>
      <w:r>
        <w:rPr>
          <w:rFonts w:hint="eastAsia" w:hAnsi="宋体" w:eastAsia="Times New Roman" w:cs="宋体"/>
          <w:color w:val="auto"/>
          <w:sz w:val="24"/>
          <w:szCs w:val="24"/>
        </w:rPr>
        <w:t>、中标方负责将货物安全运送到招标方指定地点，不另收任何费用。</w:t>
      </w:r>
    </w:p>
    <w:p w14:paraId="66C80BF9">
      <w:pPr>
        <w:widowControl/>
        <w:spacing w:line="360" w:lineRule="auto"/>
        <w:ind w:firstLine="480" w:firstLineChars="200"/>
        <w:rPr>
          <w:rFonts w:hAnsi="宋体" w:eastAsia="Times New Roman" w:cs="宋体"/>
          <w:color w:val="auto"/>
          <w:sz w:val="24"/>
          <w:szCs w:val="24"/>
        </w:rPr>
      </w:pPr>
      <w:r>
        <w:rPr>
          <w:rFonts w:hint="eastAsia" w:hAnsi="宋体" w:cs="宋体"/>
          <w:color w:val="auto"/>
          <w:sz w:val="24"/>
          <w:szCs w:val="24"/>
          <w:lang w:val="en-US" w:eastAsia="zh-CN"/>
        </w:rPr>
        <w:t>6</w:t>
      </w:r>
      <w:r>
        <w:rPr>
          <w:rFonts w:hint="eastAsia" w:hAnsi="宋体" w:eastAsia="Times New Roman" w:cs="宋体"/>
          <w:color w:val="auto"/>
          <w:sz w:val="24"/>
          <w:szCs w:val="24"/>
        </w:rPr>
        <w:t>、中标方提供的全部货物均应按标准保护措施进行包装。包装应适用于远距离运输、防潮、防震、防不正当装卸，以确保货物安全无损运抵。</w:t>
      </w:r>
    </w:p>
    <w:p w14:paraId="47CA6598">
      <w:pPr>
        <w:widowControl/>
        <w:spacing w:line="360" w:lineRule="auto"/>
        <w:ind w:firstLine="480" w:firstLineChars="200"/>
        <w:rPr>
          <w:rFonts w:hint="eastAsia" w:ascii="宋体" w:hAnsi="宋体" w:cs="宋体"/>
          <w:color w:val="auto"/>
          <w:sz w:val="24"/>
          <w:szCs w:val="24"/>
        </w:rPr>
      </w:pPr>
      <w:r>
        <w:rPr>
          <w:rFonts w:hint="eastAsia" w:hAnsi="宋体" w:cs="宋体"/>
          <w:color w:val="auto"/>
          <w:sz w:val="24"/>
          <w:szCs w:val="24"/>
          <w:lang w:val="en-US" w:eastAsia="zh-CN"/>
        </w:rPr>
        <w:t>7</w:t>
      </w:r>
      <w:r>
        <w:rPr>
          <w:rFonts w:hint="eastAsia" w:hAnsi="宋体" w:eastAsia="Times New Roman" w:cs="宋体"/>
          <w:color w:val="auto"/>
          <w:sz w:val="24"/>
          <w:szCs w:val="24"/>
        </w:rPr>
        <w:t>、供应商必须根据采购方的业务需求保证充足货源；必须满足采购方临时特殊规格产品的需求，供货价格双方协商。</w:t>
      </w:r>
    </w:p>
    <w:p w14:paraId="655B4ACC">
      <w:pPr>
        <w:keepNext w:val="0"/>
        <w:keepLines w:val="0"/>
        <w:pageBreakBefore w:val="0"/>
        <w:kinsoku/>
        <w:wordWrap/>
        <w:overflowPunct/>
        <w:topLinePunct w:val="0"/>
        <w:bidi w:val="0"/>
        <w:spacing w:line="560" w:lineRule="exact"/>
        <w:ind w:firstLine="240" w:firstLineChars="100"/>
        <w:jc w:val="left"/>
        <w:textAlignment w:val="auto"/>
        <w:rPr>
          <w:rFonts w:hint="eastAsia" w:ascii="宋体" w:hAnsi="宋体" w:cs="宋体"/>
          <w:color w:val="auto"/>
          <w:sz w:val="24"/>
          <w:szCs w:val="24"/>
        </w:rPr>
      </w:pPr>
      <w:r>
        <w:rPr>
          <w:rFonts w:hint="eastAsia" w:ascii="宋体" w:hAnsi="宋体" w:cs="宋体"/>
          <w:color w:val="auto"/>
          <w:sz w:val="24"/>
          <w:szCs w:val="24"/>
        </w:rPr>
        <w:t>（二）各品类产品存放要求：</w:t>
      </w:r>
    </w:p>
    <w:p w14:paraId="066D1901">
      <w:pPr>
        <w:keepNext w:val="0"/>
        <w:keepLines w:val="0"/>
        <w:pageBreakBefore w:val="0"/>
        <w:kinsoku/>
        <w:wordWrap/>
        <w:overflowPunct/>
        <w:topLinePunct w:val="0"/>
        <w:bidi w:val="0"/>
        <w:spacing w:line="560" w:lineRule="exact"/>
        <w:ind w:firstLine="480" w:firstLineChars="200"/>
        <w:jc w:val="left"/>
        <w:textAlignment w:val="auto"/>
        <w:rPr>
          <w:rFonts w:hint="eastAsia" w:ascii="宋体" w:hAnsi="宋体" w:cs="宋体"/>
          <w:color w:val="auto"/>
          <w:sz w:val="24"/>
          <w:szCs w:val="24"/>
        </w:rPr>
      </w:pPr>
      <w:r>
        <w:rPr>
          <w:rFonts w:hint="eastAsia" w:ascii="宋体" w:hAnsi="宋体" w:cs="宋体"/>
          <w:color w:val="auto"/>
          <w:sz w:val="24"/>
          <w:szCs w:val="24"/>
        </w:rPr>
        <w:t>1、本项目所有品种（规格）的货物交货时均应存放在采购人指定的场地（存放场地由采购人免费向各中标人提供）。</w:t>
      </w:r>
    </w:p>
    <w:p w14:paraId="69FE187E">
      <w:pPr>
        <w:keepNext w:val="0"/>
        <w:keepLines w:val="0"/>
        <w:pageBreakBefore w:val="0"/>
        <w:kinsoku/>
        <w:wordWrap/>
        <w:overflowPunct/>
        <w:topLinePunct w:val="0"/>
        <w:bidi w:val="0"/>
        <w:spacing w:line="560" w:lineRule="exact"/>
        <w:ind w:firstLine="480" w:firstLineChars="200"/>
        <w:jc w:val="left"/>
        <w:textAlignment w:val="auto"/>
        <w:rPr>
          <w:rFonts w:hint="eastAsia" w:ascii="宋体" w:hAnsi="宋体" w:cs="宋体"/>
          <w:color w:val="auto"/>
          <w:sz w:val="24"/>
          <w:szCs w:val="24"/>
        </w:rPr>
      </w:pPr>
      <w:r>
        <w:rPr>
          <w:rFonts w:hint="eastAsia" w:ascii="宋体" w:hAnsi="宋体" w:cs="宋体"/>
          <w:color w:val="auto"/>
          <w:sz w:val="24"/>
          <w:szCs w:val="24"/>
        </w:rPr>
        <w:t>2、中标人应</w:t>
      </w:r>
      <w:r>
        <w:rPr>
          <w:rFonts w:hint="eastAsia" w:ascii="宋体" w:hAnsi="宋体" w:eastAsia="宋体" w:cs="宋体"/>
          <w:color w:val="auto"/>
          <w:sz w:val="24"/>
          <w:szCs w:val="24"/>
          <w:lang w:val="en-US" w:eastAsia="zh-CN"/>
        </w:rPr>
        <w:t>按照</w:t>
      </w:r>
      <w:r>
        <w:rPr>
          <w:rFonts w:hint="eastAsia" w:ascii="宋体" w:hAnsi="宋体" w:cs="宋体"/>
          <w:color w:val="auto"/>
          <w:sz w:val="24"/>
          <w:szCs w:val="24"/>
        </w:rPr>
        <w:t>场地的实际情况，将所有相关品种、规格的货物进行分类存放，做到货物品种齐全、名称标识清晰，便于选择和区分。</w:t>
      </w:r>
    </w:p>
    <w:p w14:paraId="4BA144A4">
      <w:pPr>
        <w:keepNext w:val="0"/>
        <w:keepLines w:val="0"/>
        <w:pageBreakBefore w:val="0"/>
        <w:kinsoku/>
        <w:wordWrap/>
        <w:overflowPunct/>
        <w:topLinePunct w:val="0"/>
        <w:bidi w:val="0"/>
        <w:spacing w:line="560" w:lineRule="exact"/>
        <w:ind w:firstLine="480" w:firstLineChars="200"/>
        <w:jc w:val="left"/>
        <w:textAlignment w:val="auto"/>
        <w:rPr>
          <w:rFonts w:hint="eastAsia" w:ascii="宋体" w:hAnsi="宋体" w:cs="宋体"/>
          <w:color w:val="auto"/>
          <w:sz w:val="24"/>
          <w:szCs w:val="24"/>
        </w:rPr>
      </w:pPr>
      <w:r>
        <w:rPr>
          <w:rFonts w:hint="eastAsia" w:ascii="宋体" w:hAnsi="宋体" w:cs="宋体"/>
          <w:color w:val="auto"/>
          <w:sz w:val="24"/>
          <w:szCs w:val="24"/>
        </w:rPr>
        <w:t>3、中标人应对所提供货物包装好，均应有良好的防湿、防锈、防潮、防雨、防腐及防碰撞的措施，安排专人每周不少于两次对货物进行检查，及时清理附着在货物上的灰尘和更换出现质量问题的货物，以确保货物洁净和防止出现货物质量事件，对此采购人有权进行不定期的检查，并对不符合要求的事项向有关中标人提出整改意见，有关中标人应及时作出有效的响应。</w:t>
      </w:r>
    </w:p>
    <w:p w14:paraId="58732DA8">
      <w:pPr>
        <w:keepNext w:val="0"/>
        <w:keepLines w:val="0"/>
        <w:pageBreakBefore w:val="0"/>
        <w:kinsoku/>
        <w:wordWrap/>
        <w:overflowPunct/>
        <w:topLinePunct w:val="0"/>
        <w:bidi w:val="0"/>
        <w:spacing w:line="560" w:lineRule="exact"/>
        <w:jc w:val="left"/>
        <w:textAlignment w:val="auto"/>
        <w:outlineLvl w:val="0"/>
        <w:rPr>
          <w:rFonts w:ascii="宋体" w:hAnsi="宋体" w:cs="宋体"/>
          <w:b/>
          <w:color w:val="auto"/>
          <w:sz w:val="24"/>
          <w:szCs w:val="24"/>
        </w:rPr>
      </w:pPr>
      <w:bookmarkStart w:id="22" w:name="_Toc3880"/>
      <w:bookmarkStart w:id="23" w:name="_Toc9296"/>
      <w:r>
        <w:rPr>
          <w:rFonts w:hint="eastAsia" w:ascii="宋体" w:hAnsi="宋体" w:cs="宋体"/>
          <w:b/>
          <w:color w:val="auto"/>
          <w:sz w:val="24"/>
          <w:szCs w:val="24"/>
        </w:rPr>
        <w:t>五、质量保证</w:t>
      </w:r>
      <w:bookmarkEnd w:id="22"/>
      <w:bookmarkEnd w:id="23"/>
    </w:p>
    <w:p w14:paraId="5B663350">
      <w:pPr>
        <w:keepNext w:val="0"/>
        <w:keepLines w:val="0"/>
        <w:pageBreakBefore w:val="0"/>
        <w:kinsoku/>
        <w:wordWrap/>
        <w:overflowPunct/>
        <w:topLinePunct w:val="0"/>
        <w:bidi w:val="0"/>
        <w:spacing w:line="560" w:lineRule="exact"/>
        <w:ind w:firstLine="480" w:firstLineChars="200"/>
        <w:jc w:val="left"/>
        <w:textAlignment w:val="auto"/>
        <w:rPr>
          <w:rFonts w:hint="eastAsia" w:ascii="宋体" w:hAnsi="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cs="宋体"/>
          <w:color w:val="auto"/>
          <w:sz w:val="24"/>
          <w:szCs w:val="24"/>
        </w:rPr>
        <w:t>所选原材料必须保证质量可靠、进货渠道正规，符合国家相关标准，并满足招标文件要求。所有产品是全新、完整、未使用过的合格产品，棺体表面平整，色泽均匀一致，接缝自然，无胶粘痕迹，棺内装饰、棺体表面字体粘贴牢靠，无脱落、掉落现象。由产品质量引发的家属投诉、纠纷、诉讼等由供应商负责。</w:t>
      </w:r>
    </w:p>
    <w:p w14:paraId="6839A5F7">
      <w:pPr>
        <w:keepNext w:val="0"/>
        <w:keepLines w:val="0"/>
        <w:pageBreakBefore w:val="0"/>
        <w:kinsoku/>
        <w:wordWrap/>
        <w:overflowPunct/>
        <w:topLinePunct w:val="0"/>
        <w:bidi w:val="0"/>
        <w:spacing w:line="560" w:lineRule="exact"/>
        <w:ind w:firstLine="480" w:firstLineChars="200"/>
        <w:jc w:val="left"/>
        <w:textAlignment w:val="auto"/>
        <w:rPr>
          <w:rFonts w:hint="eastAsia" w:ascii="宋体" w:hAnsi="宋体" w:cs="宋体"/>
          <w:color w:val="auto"/>
          <w:sz w:val="24"/>
          <w:szCs w:val="24"/>
        </w:rPr>
      </w:pPr>
      <w:r>
        <w:rPr>
          <w:rFonts w:hint="eastAsia" w:ascii="宋体" w:hAnsi="宋体" w:eastAsia="宋体" w:cs="宋体"/>
          <w:color w:val="auto"/>
          <w:sz w:val="24"/>
          <w:szCs w:val="24"/>
          <w:lang w:val="en-US" w:eastAsia="zh-CN"/>
        </w:rPr>
        <w:t>2、</w:t>
      </w:r>
      <w:r>
        <w:rPr>
          <w:rFonts w:hint="eastAsia" w:ascii="宋体" w:hAnsi="宋体" w:cs="宋体"/>
          <w:color w:val="auto"/>
          <w:sz w:val="24"/>
          <w:szCs w:val="24"/>
        </w:rPr>
        <w:t>质保期：质保期二年，保修期内免费上门维修，非人为原因导致的质量问题，需及时免费更换。</w:t>
      </w:r>
    </w:p>
    <w:p w14:paraId="132BCFC7">
      <w:pPr>
        <w:keepNext w:val="0"/>
        <w:keepLines w:val="0"/>
        <w:pageBreakBefore w:val="0"/>
        <w:kinsoku/>
        <w:wordWrap/>
        <w:overflowPunct/>
        <w:topLinePunct w:val="0"/>
        <w:bidi w:val="0"/>
        <w:spacing w:line="560" w:lineRule="exact"/>
        <w:ind w:firstLine="480" w:firstLineChars="200"/>
        <w:jc w:val="left"/>
        <w:textAlignment w:val="auto"/>
        <w:rPr>
          <w:rFonts w:ascii="宋体" w:hAnsi="宋体" w:cs="宋体"/>
          <w:color w:val="auto"/>
          <w:sz w:val="24"/>
          <w:szCs w:val="24"/>
        </w:rPr>
      </w:pPr>
      <w:r>
        <w:rPr>
          <w:rFonts w:hint="eastAsia" w:ascii="宋体" w:hAnsi="宋体" w:eastAsia="宋体" w:cs="宋体"/>
          <w:color w:val="auto"/>
          <w:sz w:val="24"/>
          <w:szCs w:val="24"/>
          <w:lang w:val="en-US" w:eastAsia="zh-CN"/>
        </w:rPr>
        <w:t>3、</w:t>
      </w:r>
      <w:r>
        <w:rPr>
          <w:rFonts w:hint="eastAsia" w:ascii="宋体" w:hAnsi="宋体" w:cs="宋体"/>
          <w:color w:val="auto"/>
          <w:sz w:val="24"/>
          <w:szCs w:val="24"/>
        </w:rPr>
        <w:t>中标供应商所供货物，若发生侵权而产生的一切后果，由中标供应商负责。采购人保留索赔权力。</w:t>
      </w:r>
    </w:p>
    <w:p w14:paraId="5418FF12">
      <w:pPr>
        <w:keepNext w:val="0"/>
        <w:keepLines w:val="0"/>
        <w:pageBreakBefore w:val="0"/>
        <w:kinsoku/>
        <w:wordWrap/>
        <w:overflowPunct/>
        <w:topLinePunct w:val="0"/>
        <w:bidi w:val="0"/>
        <w:spacing w:line="560" w:lineRule="exact"/>
        <w:jc w:val="left"/>
        <w:textAlignment w:val="auto"/>
        <w:outlineLvl w:val="0"/>
        <w:rPr>
          <w:rFonts w:ascii="宋体" w:hAnsi="宋体" w:cs="宋体"/>
          <w:b/>
          <w:color w:val="auto"/>
          <w:sz w:val="24"/>
          <w:szCs w:val="24"/>
        </w:rPr>
      </w:pPr>
      <w:bookmarkStart w:id="24" w:name="_Toc3482"/>
      <w:bookmarkStart w:id="25" w:name="_Toc21564"/>
      <w:r>
        <w:rPr>
          <w:rFonts w:hint="eastAsia" w:ascii="宋体" w:hAnsi="宋体" w:cs="宋体"/>
          <w:b/>
          <w:color w:val="auto"/>
          <w:sz w:val="24"/>
          <w:szCs w:val="24"/>
        </w:rPr>
        <w:t>六、运输</w:t>
      </w:r>
      <w:bookmarkEnd w:id="24"/>
      <w:bookmarkEnd w:id="25"/>
    </w:p>
    <w:p w14:paraId="3EF44283">
      <w:pPr>
        <w:keepNext w:val="0"/>
        <w:keepLines w:val="0"/>
        <w:pageBreakBefore w:val="0"/>
        <w:kinsoku/>
        <w:wordWrap/>
        <w:overflowPunct/>
        <w:topLinePunct w:val="0"/>
        <w:bidi w:val="0"/>
        <w:spacing w:line="560" w:lineRule="exact"/>
        <w:ind w:firstLine="480" w:firstLineChars="200"/>
        <w:jc w:val="left"/>
        <w:textAlignment w:val="auto"/>
        <w:rPr>
          <w:rFonts w:ascii="宋体" w:hAnsi="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cs="宋体"/>
          <w:color w:val="auto"/>
          <w:sz w:val="24"/>
          <w:szCs w:val="24"/>
        </w:rPr>
        <w:t>运输由中标供应商负责，运杂费已包含在合同总价内，包括从货物供应地点运送至交货地点所含的运输费、装卸费、仓储费、安装费、保险费等。</w:t>
      </w:r>
    </w:p>
    <w:p w14:paraId="47CFF1DD">
      <w:pPr>
        <w:keepNext w:val="0"/>
        <w:keepLines w:val="0"/>
        <w:pageBreakBefore w:val="0"/>
        <w:kinsoku/>
        <w:wordWrap/>
        <w:overflowPunct/>
        <w:topLinePunct w:val="0"/>
        <w:bidi w:val="0"/>
        <w:spacing w:line="560" w:lineRule="exact"/>
        <w:ind w:firstLine="480" w:firstLineChars="200"/>
        <w:jc w:val="left"/>
        <w:textAlignment w:val="auto"/>
        <w:rPr>
          <w:rFonts w:ascii="宋体" w:hAnsi="宋体" w:cs="宋体"/>
          <w:color w:val="auto"/>
          <w:sz w:val="24"/>
          <w:szCs w:val="24"/>
        </w:rPr>
      </w:pPr>
      <w:r>
        <w:rPr>
          <w:rFonts w:hint="eastAsia" w:ascii="宋体" w:hAnsi="宋体" w:eastAsia="宋体" w:cs="宋体"/>
          <w:color w:val="auto"/>
          <w:sz w:val="24"/>
          <w:szCs w:val="24"/>
          <w:lang w:val="en-US" w:eastAsia="zh-CN"/>
        </w:rPr>
        <w:t>2、</w:t>
      </w:r>
      <w:r>
        <w:rPr>
          <w:rFonts w:hint="eastAsia" w:ascii="宋体" w:hAnsi="宋体" w:cs="宋体"/>
          <w:color w:val="auto"/>
          <w:sz w:val="24"/>
          <w:szCs w:val="24"/>
        </w:rPr>
        <w:t>运输方式由中标供应商自行选择，但必须保证按期交货。</w:t>
      </w:r>
    </w:p>
    <w:p w14:paraId="01A34AF4">
      <w:pPr>
        <w:keepNext w:val="0"/>
        <w:keepLines w:val="0"/>
        <w:pageBreakBefore w:val="0"/>
        <w:kinsoku/>
        <w:wordWrap/>
        <w:overflowPunct/>
        <w:topLinePunct w:val="0"/>
        <w:bidi w:val="0"/>
        <w:spacing w:line="560" w:lineRule="exact"/>
        <w:jc w:val="left"/>
        <w:textAlignment w:val="auto"/>
        <w:outlineLvl w:val="0"/>
        <w:rPr>
          <w:rFonts w:ascii="宋体" w:hAnsi="宋体" w:cs="宋体"/>
          <w:b/>
          <w:color w:val="auto"/>
          <w:sz w:val="24"/>
          <w:szCs w:val="24"/>
        </w:rPr>
      </w:pPr>
      <w:bookmarkStart w:id="26" w:name="_Toc32583"/>
      <w:bookmarkStart w:id="27" w:name="_Toc454"/>
      <w:r>
        <w:rPr>
          <w:rFonts w:hint="eastAsia" w:ascii="宋体" w:hAnsi="宋体" w:cs="宋体"/>
          <w:b/>
          <w:color w:val="auto"/>
          <w:sz w:val="24"/>
          <w:szCs w:val="24"/>
        </w:rPr>
        <w:t>七、验收</w:t>
      </w:r>
      <w:bookmarkEnd w:id="26"/>
      <w:bookmarkEnd w:id="27"/>
    </w:p>
    <w:p w14:paraId="6D72C049">
      <w:pPr>
        <w:keepNext w:val="0"/>
        <w:keepLines w:val="0"/>
        <w:pageBreakBefore w:val="0"/>
        <w:kinsoku/>
        <w:wordWrap/>
        <w:overflowPunct/>
        <w:topLinePunct w:val="0"/>
        <w:bidi w:val="0"/>
        <w:spacing w:line="560" w:lineRule="exact"/>
        <w:ind w:firstLine="480" w:firstLineChars="200"/>
        <w:jc w:val="left"/>
        <w:textAlignment w:val="auto"/>
        <w:rPr>
          <w:rFonts w:ascii="宋体" w:hAnsi="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cs="宋体"/>
          <w:color w:val="auto"/>
          <w:sz w:val="24"/>
          <w:szCs w:val="24"/>
        </w:rPr>
        <w:t>货物到达采购人指定地点后，采购人根据合同要求，进行验收，确认产地、规格和数量。必要时委托具有相关资质的第三方检测机构或邀请行业内专家对货物外观质量等进行抽样检验，检验费用由中标供应商承担。</w:t>
      </w:r>
    </w:p>
    <w:p w14:paraId="07071389">
      <w:pPr>
        <w:keepNext w:val="0"/>
        <w:keepLines w:val="0"/>
        <w:pageBreakBefore w:val="0"/>
        <w:kinsoku/>
        <w:wordWrap/>
        <w:overflowPunct/>
        <w:topLinePunct w:val="0"/>
        <w:bidi w:val="0"/>
        <w:spacing w:line="560" w:lineRule="exact"/>
        <w:ind w:firstLine="480" w:firstLineChars="200"/>
        <w:jc w:val="left"/>
        <w:textAlignment w:val="auto"/>
        <w:rPr>
          <w:rFonts w:ascii="宋体" w:hAnsi="宋体" w:cs="宋体"/>
          <w:color w:val="auto"/>
          <w:sz w:val="24"/>
          <w:szCs w:val="24"/>
        </w:rPr>
      </w:pPr>
      <w:r>
        <w:rPr>
          <w:rFonts w:hint="eastAsia" w:ascii="宋体" w:hAnsi="宋体" w:eastAsia="宋体" w:cs="宋体"/>
          <w:color w:val="auto"/>
          <w:sz w:val="24"/>
          <w:szCs w:val="24"/>
          <w:lang w:val="en-US" w:eastAsia="zh-CN"/>
        </w:rPr>
        <w:t>2、</w:t>
      </w:r>
      <w:r>
        <w:rPr>
          <w:rFonts w:hint="eastAsia" w:ascii="宋体" w:hAnsi="宋体" w:cs="宋体"/>
          <w:color w:val="auto"/>
          <w:sz w:val="24"/>
          <w:szCs w:val="24"/>
        </w:rPr>
        <w:t>验收按国家有关的规定、规范结合本项目的各项要求和投标人提供的样品进行。如在验收时发现所提供的货物有损坏和不符合本项目要求的或与样品发生偏离的情形的，由参与验收的工作人员作出详尽的现场记录并由相关工作人员和中标方经办人双方签署备案。</w:t>
      </w:r>
    </w:p>
    <w:p w14:paraId="100638EC">
      <w:pPr>
        <w:keepNext w:val="0"/>
        <w:keepLines w:val="0"/>
        <w:pageBreakBefore w:val="0"/>
        <w:kinsoku/>
        <w:wordWrap/>
        <w:overflowPunct/>
        <w:topLinePunct w:val="0"/>
        <w:bidi w:val="0"/>
        <w:spacing w:line="560" w:lineRule="exact"/>
        <w:ind w:firstLine="480" w:firstLineChars="200"/>
        <w:jc w:val="left"/>
        <w:textAlignment w:val="auto"/>
        <w:rPr>
          <w:rFonts w:hint="eastAsia" w:ascii="宋体" w:hAnsi="宋体" w:cs="宋体"/>
          <w:color w:val="auto"/>
          <w:sz w:val="24"/>
          <w:szCs w:val="24"/>
        </w:rPr>
      </w:pPr>
      <w:r>
        <w:rPr>
          <w:rFonts w:hint="eastAsia" w:ascii="宋体" w:hAnsi="宋体" w:eastAsia="宋体" w:cs="宋体"/>
          <w:color w:val="auto"/>
          <w:sz w:val="24"/>
          <w:szCs w:val="24"/>
          <w:lang w:val="en-US" w:eastAsia="zh-CN"/>
        </w:rPr>
        <w:t>3、</w:t>
      </w:r>
      <w:r>
        <w:rPr>
          <w:rFonts w:hint="eastAsia" w:ascii="宋体" w:hAnsi="宋体" w:cs="宋体"/>
          <w:color w:val="auto"/>
          <w:sz w:val="24"/>
          <w:szCs w:val="24"/>
        </w:rPr>
        <w:t>对于不符合要求的货物，采购人有权拒绝进场并要求中标人予以更换，由此产生的有关费用由相关的中标人承担。</w:t>
      </w:r>
    </w:p>
    <w:p w14:paraId="0ED60DB0">
      <w:pPr>
        <w:keepNext w:val="0"/>
        <w:keepLines w:val="0"/>
        <w:pageBreakBefore w:val="0"/>
        <w:kinsoku/>
        <w:wordWrap/>
        <w:overflowPunct/>
        <w:topLinePunct w:val="0"/>
        <w:bidi w:val="0"/>
        <w:spacing w:line="560" w:lineRule="exact"/>
        <w:ind w:firstLine="480" w:firstLineChars="200"/>
        <w:jc w:val="left"/>
        <w:textAlignment w:val="auto"/>
        <w:rPr>
          <w:rFonts w:hint="eastAsia" w:ascii="宋体" w:hAnsi="宋体" w:cs="宋体"/>
          <w:color w:val="auto"/>
          <w:sz w:val="24"/>
          <w:szCs w:val="24"/>
        </w:rPr>
      </w:pPr>
      <w:r>
        <w:rPr>
          <w:rFonts w:hint="eastAsia" w:ascii="宋体" w:hAnsi="宋体" w:eastAsia="宋体" w:cs="宋体"/>
          <w:color w:val="auto"/>
          <w:sz w:val="24"/>
          <w:szCs w:val="24"/>
          <w:lang w:val="en-US" w:eastAsia="zh-CN"/>
        </w:rPr>
        <w:t>4、</w:t>
      </w:r>
      <w:r>
        <w:rPr>
          <w:rFonts w:hint="eastAsia" w:ascii="宋体" w:hAnsi="宋体" w:cs="宋体"/>
          <w:color w:val="auto"/>
          <w:sz w:val="24"/>
          <w:szCs w:val="24"/>
        </w:rPr>
        <w:t>如发生货物不符合要求需要更换相关货物的情况，有关的中标人应在24小时内完成换货工作，所更换的货物应是符合要求产品。如因更换不及时或更换的货物再次出质量问题从而给采购人的管理服务工作带来不良影响的，采购人有权依照本项目的有关规定对中标人进行处理。</w:t>
      </w:r>
    </w:p>
    <w:p w14:paraId="763602BF">
      <w:pPr>
        <w:keepNext w:val="0"/>
        <w:keepLines w:val="0"/>
        <w:pageBreakBefore w:val="0"/>
        <w:kinsoku/>
        <w:wordWrap/>
        <w:overflowPunct/>
        <w:topLinePunct w:val="0"/>
        <w:bidi w:val="0"/>
        <w:spacing w:line="560" w:lineRule="exact"/>
        <w:ind w:firstLine="480" w:firstLineChars="200"/>
        <w:jc w:val="left"/>
        <w:textAlignment w:val="auto"/>
        <w:rPr>
          <w:rFonts w:ascii="宋体" w:hAnsi="宋体" w:cs="宋体"/>
          <w:color w:val="auto"/>
          <w:szCs w:val="21"/>
        </w:rPr>
      </w:pPr>
      <w:r>
        <w:rPr>
          <w:rFonts w:hint="eastAsia" w:ascii="宋体" w:hAnsi="宋体" w:cs="宋体"/>
          <w:color w:val="auto"/>
          <w:szCs w:val="21"/>
          <w:lang w:val="en-US" w:eastAsia="zh-CN"/>
        </w:rPr>
        <w:t>5、</w:t>
      </w:r>
      <w:r>
        <w:rPr>
          <w:rFonts w:hint="eastAsia" w:ascii="宋体" w:hAnsi="宋体" w:cs="宋体"/>
          <w:color w:val="auto"/>
          <w:szCs w:val="21"/>
        </w:rPr>
        <w:t>如因货物的质量、品种样式、用材、技术指标、工艺等问题发生争议的，由质量技术鉴定部门进行鉴定，如经鉴定货物符合要求的，鉴定费由采购人承担；否则鉴定费由中标人承担。</w:t>
      </w:r>
    </w:p>
    <w:p w14:paraId="72BBCCD2">
      <w:pPr>
        <w:keepNext w:val="0"/>
        <w:keepLines w:val="0"/>
        <w:pageBreakBefore w:val="0"/>
        <w:kinsoku/>
        <w:wordWrap/>
        <w:overflowPunct/>
        <w:topLinePunct w:val="0"/>
        <w:bidi w:val="0"/>
        <w:spacing w:line="560" w:lineRule="exact"/>
        <w:jc w:val="left"/>
        <w:textAlignment w:val="auto"/>
        <w:rPr>
          <w:rFonts w:ascii="宋体" w:hAnsi="宋体" w:cs="宋体"/>
          <w:b/>
          <w:color w:val="auto"/>
          <w:szCs w:val="21"/>
        </w:rPr>
      </w:pPr>
      <w:r>
        <w:rPr>
          <w:rFonts w:hint="eastAsia" w:ascii="宋体" w:hAnsi="宋体" w:eastAsia="宋体" w:cs="宋体"/>
          <w:b/>
          <w:color w:val="auto"/>
          <w:szCs w:val="21"/>
          <w:lang w:val="en-US" w:eastAsia="zh-CN"/>
        </w:rPr>
        <w:t>八</w:t>
      </w:r>
      <w:r>
        <w:rPr>
          <w:rFonts w:hint="eastAsia" w:ascii="宋体" w:hAnsi="宋体" w:cs="宋体"/>
          <w:b/>
          <w:color w:val="auto"/>
          <w:szCs w:val="21"/>
        </w:rPr>
        <w:t>、技术与服务</w:t>
      </w:r>
    </w:p>
    <w:p w14:paraId="6450C9A0">
      <w:pPr>
        <w:keepNext w:val="0"/>
        <w:keepLines w:val="0"/>
        <w:pageBreakBefore w:val="0"/>
        <w:kinsoku/>
        <w:wordWrap/>
        <w:overflowPunct/>
        <w:topLinePunct w:val="0"/>
        <w:bidi w:val="0"/>
        <w:spacing w:line="560" w:lineRule="exact"/>
        <w:ind w:firstLine="480" w:firstLineChars="200"/>
        <w:jc w:val="left"/>
        <w:textAlignment w:val="auto"/>
        <w:rPr>
          <w:rFonts w:ascii="宋体" w:hAnsi="宋体" w:cs="宋体"/>
          <w:color w:val="auto"/>
          <w:szCs w:val="21"/>
        </w:rPr>
      </w:pPr>
      <w:r>
        <w:rPr>
          <w:rFonts w:hint="eastAsia" w:ascii="宋体" w:hAnsi="宋体" w:cs="宋体"/>
          <w:color w:val="auto"/>
          <w:szCs w:val="21"/>
        </w:rPr>
        <w:t>（一）技术资料</w:t>
      </w:r>
    </w:p>
    <w:p w14:paraId="45AB8B86">
      <w:pPr>
        <w:keepNext w:val="0"/>
        <w:keepLines w:val="0"/>
        <w:pageBreakBefore w:val="0"/>
        <w:kinsoku/>
        <w:wordWrap/>
        <w:overflowPunct/>
        <w:topLinePunct w:val="0"/>
        <w:bidi w:val="0"/>
        <w:spacing w:line="560" w:lineRule="exact"/>
        <w:ind w:firstLine="480" w:firstLineChars="200"/>
        <w:jc w:val="left"/>
        <w:textAlignment w:val="auto"/>
        <w:rPr>
          <w:rFonts w:ascii="宋体" w:hAnsi="宋体" w:cs="宋体"/>
          <w:color w:val="auto"/>
          <w:szCs w:val="21"/>
        </w:rPr>
      </w:pPr>
      <w:r>
        <w:rPr>
          <w:rFonts w:hint="eastAsia" w:ascii="宋体" w:hAnsi="宋体" w:cs="宋体"/>
          <w:color w:val="auto"/>
          <w:szCs w:val="21"/>
        </w:rPr>
        <w:t>1、质量合格证；</w:t>
      </w:r>
    </w:p>
    <w:p w14:paraId="3B966BB2">
      <w:pPr>
        <w:keepNext w:val="0"/>
        <w:keepLines w:val="0"/>
        <w:pageBreakBefore w:val="0"/>
        <w:kinsoku/>
        <w:wordWrap/>
        <w:overflowPunct/>
        <w:topLinePunct w:val="0"/>
        <w:bidi w:val="0"/>
        <w:spacing w:line="560" w:lineRule="exact"/>
        <w:ind w:firstLine="480" w:firstLineChars="200"/>
        <w:jc w:val="left"/>
        <w:textAlignment w:val="auto"/>
        <w:rPr>
          <w:rFonts w:ascii="宋体" w:hAnsi="宋体" w:cs="宋体"/>
          <w:color w:val="auto"/>
          <w:szCs w:val="21"/>
        </w:rPr>
      </w:pPr>
      <w:r>
        <w:rPr>
          <w:rFonts w:hint="eastAsia" w:ascii="宋体" w:hAnsi="宋体" w:cs="宋体"/>
          <w:color w:val="auto"/>
          <w:szCs w:val="21"/>
        </w:rPr>
        <w:t>2、原材料成份及检测报告；</w:t>
      </w:r>
    </w:p>
    <w:p w14:paraId="4C43D3CA">
      <w:pPr>
        <w:keepNext w:val="0"/>
        <w:keepLines w:val="0"/>
        <w:pageBreakBefore w:val="0"/>
        <w:kinsoku/>
        <w:wordWrap/>
        <w:overflowPunct/>
        <w:topLinePunct w:val="0"/>
        <w:bidi w:val="0"/>
        <w:spacing w:line="560" w:lineRule="exact"/>
        <w:ind w:firstLine="480" w:firstLineChars="200"/>
        <w:jc w:val="left"/>
        <w:textAlignment w:val="auto"/>
        <w:rPr>
          <w:rFonts w:ascii="宋体" w:hAnsi="宋体" w:cs="宋体"/>
          <w:color w:val="auto"/>
          <w:szCs w:val="21"/>
        </w:rPr>
      </w:pPr>
      <w:r>
        <w:rPr>
          <w:rFonts w:hint="eastAsia" w:ascii="宋体" w:hAnsi="宋体" w:cs="宋体"/>
          <w:color w:val="auto"/>
          <w:szCs w:val="21"/>
        </w:rPr>
        <w:t>3、使用说明；</w:t>
      </w:r>
    </w:p>
    <w:p w14:paraId="5027F4FA">
      <w:pPr>
        <w:keepNext w:val="0"/>
        <w:keepLines w:val="0"/>
        <w:pageBreakBefore w:val="0"/>
        <w:kinsoku/>
        <w:wordWrap/>
        <w:overflowPunct/>
        <w:topLinePunct w:val="0"/>
        <w:bidi w:val="0"/>
        <w:spacing w:line="560" w:lineRule="exact"/>
        <w:ind w:firstLine="480" w:firstLineChars="200"/>
        <w:jc w:val="left"/>
        <w:textAlignment w:val="auto"/>
        <w:rPr>
          <w:rFonts w:ascii="宋体" w:hAnsi="宋体" w:cs="宋体"/>
          <w:color w:val="auto"/>
          <w:szCs w:val="21"/>
        </w:rPr>
      </w:pPr>
      <w:r>
        <w:rPr>
          <w:rFonts w:hint="eastAsia" w:ascii="宋体" w:hAnsi="宋体" w:cs="宋体"/>
          <w:color w:val="auto"/>
          <w:szCs w:val="21"/>
        </w:rPr>
        <w:t>4、其它资料。</w:t>
      </w:r>
    </w:p>
    <w:p w14:paraId="02EB3605">
      <w:pPr>
        <w:keepNext w:val="0"/>
        <w:keepLines w:val="0"/>
        <w:pageBreakBefore w:val="0"/>
        <w:kinsoku/>
        <w:wordWrap/>
        <w:overflowPunct/>
        <w:topLinePunct w:val="0"/>
        <w:bidi w:val="0"/>
        <w:spacing w:line="560" w:lineRule="exact"/>
        <w:ind w:firstLine="480" w:firstLineChars="200"/>
        <w:jc w:val="left"/>
        <w:textAlignment w:val="auto"/>
        <w:rPr>
          <w:rFonts w:ascii="宋体" w:hAnsi="宋体" w:cs="宋体"/>
          <w:color w:val="auto"/>
          <w:szCs w:val="21"/>
        </w:rPr>
      </w:pPr>
      <w:r>
        <w:rPr>
          <w:rFonts w:hint="eastAsia" w:ascii="宋体" w:hAnsi="宋体" w:cs="宋体"/>
          <w:color w:val="auto"/>
          <w:szCs w:val="21"/>
        </w:rPr>
        <w:t>（二）服务承诺</w:t>
      </w:r>
    </w:p>
    <w:p w14:paraId="2DB18F49">
      <w:pPr>
        <w:spacing w:line="560" w:lineRule="exact"/>
        <w:ind w:firstLine="480" w:firstLineChars="200"/>
        <w:jc w:val="left"/>
        <w:rPr>
          <w:rFonts w:hint="eastAsia" w:ascii="宋体" w:hAnsi="宋体" w:cs="宋体"/>
          <w:color w:val="auto"/>
          <w:szCs w:val="21"/>
        </w:rPr>
      </w:pPr>
      <w:r>
        <w:rPr>
          <w:rFonts w:hint="eastAsia" w:ascii="宋体" w:hAnsi="宋体" w:cs="宋体"/>
          <w:color w:val="auto"/>
          <w:szCs w:val="21"/>
        </w:rPr>
        <w:t>1、投标人需提供详细的质量保证承诺及售后服务计划。货物送达采购人指定的地点后，如非采购人人为发生货物损坏的，供货商应及时退、换货</w:t>
      </w:r>
      <w:r>
        <w:rPr>
          <w:rFonts w:hint="eastAsia" w:ascii="宋体" w:hAnsi="宋体" w:eastAsia="宋体" w:cs="宋体"/>
          <w:color w:val="auto"/>
          <w:szCs w:val="21"/>
          <w:lang w:eastAsia="zh-CN"/>
        </w:rPr>
        <w:t>，</w:t>
      </w:r>
      <w:r>
        <w:rPr>
          <w:rFonts w:hint="eastAsia" w:ascii="宋体" w:hAnsi="宋体" w:eastAsia="宋体" w:cs="宋体"/>
          <w:color w:val="auto"/>
          <w:szCs w:val="21"/>
        </w:rPr>
        <w:t>退换货的费用由供应商承担</w:t>
      </w:r>
      <w:r>
        <w:rPr>
          <w:rFonts w:hint="eastAsia" w:ascii="宋体" w:hAnsi="宋体" w:cs="宋体"/>
          <w:color w:val="auto"/>
          <w:szCs w:val="21"/>
        </w:rPr>
        <w:t>。</w:t>
      </w:r>
    </w:p>
    <w:p w14:paraId="3A368848">
      <w:pPr>
        <w:keepNext w:val="0"/>
        <w:keepLines w:val="0"/>
        <w:pageBreakBefore w:val="0"/>
        <w:kinsoku/>
        <w:wordWrap/>
        <w:overflowPunct/>
        <w:topLinePunct w:val="0"/>
        <w:bidi w:val="0"/>
        <w:spacing w:line="560" w:lineRule="exact"/>
        <w:ind w:firstLine="480" w:firstLineChars="200"/>
        <w:jc w:val="left"/>
        <w:textAlignment w:val="auto"/>
        <w:rPr>
          <w:rFonts w:hint="eastAsia" w:ascii="宋体" w:hAnsi="宋体" w:cs="宋体"/>
          <w:color w:val="auto"/>
          <w:szCs w:val="21"/>
        </w:rPr>
      </w:pPr>
      <w:r>
        <w:rPr>
          <w:rFonts w:hint="eastAsia" w:ascii="宋体" w:hAnsi="宋体" w:cs="宋体"/>
          <w:color w:val="auto"/>
          <w:szCs w:val="21"/>
        </w:rPr>
        <w:t>2、采购人如要求中标人提供非产品质量问题的服务，其费用另议。</w:t>
      </w:r>
    </w:p>
    <w:p w14:paraId="2935C57B">
      <w:pPr>
        <w:keepNext w:val="0"/>
        <w:keepLines w:val="0"/>
        <w:pageBreakBefore w:val="0"/>
        <w:kinsoku/>
        <w:wordWrap/>
        <w:overflowPunct/>
        <w:topLinePunct w:val="0"/>
        <w:bidi w:val="0"/>
        <w:spacing w:line="560" w:lineRule="exact"/>
        <w:ind w:firstLine="480" w:firstLineChars="200"/>
        <w:jc w:val="left"/>
        <w:textAlignment w:val="auto"/>
        <w:rPr>
          <w:rFonts w:hint="eastAsia" w:ascii="宋体" w:hAnsi="宋体" w:cs="宋体"/>
          <w:color w:val="auto"/>
          <w:szCs w:val="21"/>
        </w:rPr>
      </w:pPr>
      <w:r>
        <w:rPr>
          <w:rFonts w:hint="eastAsia" w:ascii="宋体" w:hAnsi="宋体" w:cs="宋体"/>
          <w:color w:val="auto"/>
          <w:szCs w:val="21"/>
        </w:rPr>
        <w:t>3、在合同期内，中标人可针对同规格、型号、同材质的货物，使用便于区分、有特色的详细名称供货，但需列明对应的招标时所用的货物类别（商品名称在投标文件、合同、验货单、销售单等不同文件中的表述应当一致），且按投标时所报价格结算，不得以人工、材料成本上升原因，对供货价格上调。</w:t>
      </w:r>
    </w:p>
    <w:p w14:paraId="7C06DD86">
      <w:pPr>
        <w:keepNext w:val="0"/>
        <w:keepLines w:val="0"/>
        <w:pageBreakBefore w:val="0"/>
        <w:kinsoku/>
        <w:wordWrap/>
        <w:overflowPunct/>
        <w:topLinePunct w:val="0"/>
        <w:bidi w:val="0"/>
        <w:spacing w:line="560" w:lineRule="exact"/>
        <w:ind w:firstLine="480" w:firstLineChars="200"/>
        <w:jc w:val="left"/>
        <w:textAlignment w:val="auto"/>
        <w:rPr>
          <w:rFonts w:hint="eastAsia" w:ascii="宋体" w:hAnsi="宋体" w:cs="宋体"/>
          <w:color w:val="auto"/>
          <w:szCs w:val="21"/>
        </w:rPr>
      </w:pPr>
      <w:r>
        <w:rPr>
          <w:rFonts w:hint="eastAsia" w:ascii="宋体" w:hAnsi="宋体" w:cs="宋体"/>
          <w:color w:val="auto"/>
          <w:szCs w:val="21"/>
        </w:rPr>
        <w:t>4、如果中标人的产品存在质量问题，采购人可暂停该品种产品，要求中标人及时整改。如果整改3次仍不能满足质量要求，则采购人有权停止该品种产品。如果中标人的产品滞销，连续3个月销售记录为零，则采购人有权停止该品种产品。</w:t>
      </w:r>
    </w:p>
    <w:p w14:paraId="0DB6D5A8">
      <w:pPr>
        <w:keepNext w:val="0"/>
        <w:keepLines w:val="0"/>
        <w:pageBreakBefore w:val="0"/>
        <w:kinsoku/>
        <w:wordWrap/>
        <w:overflowPunct/>
        <w:topLinePunct w:val="0"/>
        <w:bidi w:val="0"/>
        <w:spacing w:line="560" w:lineRule="exact"/>
        <w:ind w:firstLine="480" w:firstLineChars="200"/>
        <w:jc w:val="left"/>
        <w:textAlignment w:val="auto"/>
        <w:rPr>
          <w:rFonts w:hint="eastAsia" w:ascii="宋体" w:hAnsi="宋体" w:cs="宋体"/>
          <w:color w:val="auto"/>
          <w:szCs w:val="21"/>
        </w:rPr>
      </w:pPr>
      <w:r>
        <w:rPr>
          <w:rFonts w:hint="eastAsia" w:ascii="宋体" w:hAnsi="宋体" w:cs="宋体"/>
          <w:color w:val="auto"/>
          <w:szCs w:val="21"/>
          <w:lang w:val="en-US" w:eastAsia="zh-CN"/>
        </w:rPr>
        <w:t>5</w:t>
      </w:r>
      <w:r>
        <w:rPr>
          <w:rFonts w:hint="eastAsia" w:ascii="宋体" w:hAnsi="宋体" w:cs="宋体"/>
          <w:color w:val="auto"/>
          <w:szCs w:val="21"/>
        </w:rPr>
        <w:t>、中标方有义务按招标方的要求进行产品规格和款式的修改。</w:t>
      </w:r>
    </w:p>
    <w:p w14:paraId="28B5A8DD">
      <w:pPr>
        <w:keepNext w:val="0"/>
        <w:keepLines w:val="0"/>
        <w:pageBreakBefore w:val="0"/>
        <w:kinsoku/>
        <w:wordWrap/>
        <w:overflowPunct/>
        <w:topLinePunct w:val="0"/>
        <w:bidi w:val="0"/>
        <w:spacing w:line="560" w:lineRule="exact"/>
        <w:ind w:firstLine="480" w:firstLineChars="200"/>
        <w:jc w:val="left"/>
        <w:textAlignment w:val="auto"/>
        <w:rPr>
          <w:rFonts w:hint="eastAsia" w:ascii="宋体" w:hAnsi="宋体" w:cs="宋体"/>
          <w:color w:val="auto"/>
          <w:szCs w:val="21"/>
        </w:rPr>
      </w:pPr>
      <w:r>
        <w:rPr>
          <w:rFonts w:hint="eastAsia" w:ascii="宋体" w:hAnsi="宋体" w:cs="宋体"/>
          <w:color w:val="auto"/>
          <w:szCs w:val="21"/>
          <w:lang w:val="en-US" w:eastAsia="zh-CN"/>
        </w:rPr>
        <w:t>6</w:t>
      </w:r>
      <w:r>
        <w:rPr>
          <w:rFonts w:hint="eastAsia" w:ascii="宋体" w:hAnsi="宋体" w:cs="宋体"/>
          <w:color w:val="auto"/>
          <w:szCs w:val="21"/>
        </w:rPr>
        <w:t>、中标方提供的全部货物均应按标准保护措施进行包装，这类包装应适应于远距离运输、防潮、防震、防锈和防野蛮装卸，以确保货物安全无损运抵指定现场。</w:t>
      </w:r>
    </w:p>
    <w:p w14:paraId="41E0D3EF">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ascii="宋体" w:hAnsi="宋体" w:cs="宋体"/>
          <w:color w:val="auto"/>
          <w:szCs w:val="21"/>
        </w:rPr>
      </w:pPr>
      <w:r>
        <w:rPr>
          <w:rFonts w:hint="eastAsia" w:ascii="宋体" w:hAnsi="宋体" w:cs="宋体"/>
          <w:color w:val="auto"/>
          <w:szCs w:val="21"/>
          <w:lang w:val="en-US" w:eastAsia="zh-CN"/>
        </w:rPr>
        <w:t>7</w:t>
      </w:r>
      <w:r>
        <w:rPr>
          <w:rFonts w:hint="eastAsia" w:ascii="宋体" w:hAnsi="宋体" w:cs="宋体"/>
          <w:color w:val="auto"/>
          <w:szCs w:val="21"/>
        </w:rPr>
        <w:t>、成交供应商必须根据采购人的业务销售需求保证供货量。</w:t>
      </w:r>
    </w:p>
    <w:p w14:paraId="01AD7E97">
      <w:pPr>
        <w:keepNext w:val="0"/>
        <w:keepLines w:val="0"/>
        <w:pageBreakBefore w:val="0"/>
        <w:widowControl w:val="0"/>
        <w:kinsoku/>
        <w:wordWrap/>
        <w:overflowPunct/>
        <w:topLinePunct w:val="0"/>
        <w:autoSpaceDE/>
        <w:autoSpaceDN/>
        <w:bidi w:val="0"/>
        <w:adjustRightInd/>
        <w:snapToGrid/>
        <w:spacing w:line="420" w:lineRule="exact"/>
        <w:jc w:val="left"/>
        <w:textAlignment w:val="auto"/>
        <w:rPr>
          <w:rFonts w:ascii="宋体" w:hAnsi="宋体" w:cs="宋体"/>
          <w:b/>
          <w:color w:val="auto"/>
          <w:szCs w:val="21"/>
        </w:rPr>
      </w:pPr>
      <w:r>
        <w:rPr>
          <w:rFonts w:hint="eastAsia" w:ascii="宋体" w:hAnsi="宋体" w:eastAsia="宋体" w:cs="宋体"/>
          <w:b/>
          <w:color w:val="auto"/>
          <w:szCs w:val="21"/>
          <w:lang w:val="en-US" w:eastAsia="zh-CN"/>
        </w:rPr>
        <w:t>九</w:t>
      </w:r>
      <w:r>
        <w:rPr>
          <w:rFonts w:hint="eastAsia" w:ascii="宋体" w:hAnsi="宋体" w:cs="宋体"/>
          <w:b/>
          <w:color w:val="auto"/>
          <w:szCs w:val="21"/>
        </w:rPr>
        <w:t>、违约责任</w:t>
      </w:r>
    </w:p>
    <w:p w14:paraId="012BBFAD">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ascii="宋体" w:hAnsi="宋体" w:cs="宋体"/>
          <w:color w:val="auto"/>
          <w:szCs w:val="21"/>
        </w:rPr>
      </w:pPr>
      <w:r>
        <w:rPr>
          <w:rFonts w:hint="eastAsia" w:ascii="宋体" w:hAnsi="宋体" w:eastAsia="宋体" w:cs="宋体"/>
          <w:color w:val="auto"/>
          <w:szCs w:val="21"/>
          <w:lang w:val="en-US" w:eastAsia="zh-CN"/>
        </w:rPr>
        <w:t>1、</w:t>
      </w:r>
      <w:r>
        <w:rPr>
          <w:rFonts w:hint="eastAsia" w:ascii="宋体" w:hAnsi="宋体" w:cs="宋体"/>
          <w:color w:val="auto"/>
          <w:szCs w:val="21"/>
        </w:rPr>
        <w:t>按《</w:t>
      </w:r>
      <w:r>
        <w:rPr>
          <w:rFonts w:hint="eastAsia" w:ascii="宋体" w:hAnsi="宋体" w:cs="宋体"/>
          <w:color w:val="auto"/>
          <w:szCs w:val="21"/>
          <w:lang w:val="en-US" w:eastAsia="zh-CN"/>
        </w:rPr>
        <w:t>民法典</w:t>
      </w:r>
      <w:r>
        <w:rPr>
          <w:rFonts w:hint="eastAsia" w:ascii="宋体" w:hAnsi="宋体" w:cs="宋体"/>
          <w:color w:val="auto"/>
          <w:szCs w:val="21"/>
        </w:rPr>
        <w:t>》中的相关条款执行。</w:t>
      </w:r>
    </w:p>
    <w:p w14:paraId="6184970F">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ascii="宋体" w:hAnsi="宋体" w:cs="宋体"/>
          <w:color w:val="auto"/>
          <w:szCs w:val="21"/>
        </w:rPr>
      </w:pPr>
      <w:r>
        <w:rPr>
          <w:rFonts w:hint="eastAsia" w:ascii="宋体" w:hAnsi="宋体" w:eastAsia="宋体" w:cs="宋体"/>
          <w:color w:val="auto"/>
          <w:szCs w:val="21"/>
          <w:lang w:val="en-US" w:eastAsia="zh-CN"/>
        </w:rPr>
        <w:t>2、</w:t>
      </w:r>
      <w:r>
        <w:rPr>
          <w:rFonts w:hint="eastAsia" w:ascii="宋体" w:hAnsi="宋体" w:cs="宋体"/>
          <w:color w:val="auto"/>
          <w:szCs w:val="21"/>
        </w:rPr>
        <w:t>未按合同要求提供货物或货物不能满足合同要求，采购人有权终止合同和对中标供应商的违约行为进行追究，同时按</w:t>
      </w:r>
      <w:r>
        <w:rPr>
          <w:rFonts w:hint="eastAsia" w:ascii="宋体" w:hAnsi="宋体" w:cs="宋体"/>
          <w:color w:val="auto"/>
          <w:kern w:val="0"/>
          <w:sz w:val="24"/>
          <w:lang w:bidi="ar"/>
        </w:rPr>
        <w:t>《中华人民共和国政府采购法》</w:t>
      </w:r>
      <w:r>
        <w:rPr>
          <w:rFonts w:hint="eastAsia" w:ascii="宋体" w:hAnsi="宋体" w:cs="宋体"/>
          <w:color w:val="auto"/>
          <w:szCs w:val="21"/>
        </w:rPr>
        <w:t>及相关法律法规的处罚条款报监管机构进行相应的处罚。</w:t>
      </w:r>
    </w:p>
    <w:p w14:paraId="4C9250F4">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color w:val="auto"/>
          <w:szCs w:val="21"/>
        </w:rPr>
      </w:pPr>
      <w:r>
        <w:rPr>
          <w:rFonts w:hint="eastAsia" w:ascii="宋体" w:hAnsi="宋体" w:eastAsia="宋体" w:cs="宋体"/>
          <w:color w:val="auto"/>
          <w:szCs w:val="21"/>
          <w:lang w:val="en-US" w:eastAsia="zh-CN"/>
        </w:rPr>
        <w:t>3、</w:t>
      </w:r>
      <w:r>
        <w:rPr>
          <w:rFonts w:hint="eastAsia" w:ascii="宋体" w:hAnsi="宋体" w:eastAsia="宋体" w:cs="宋体"/>
          <w:color w:val="auto"/>
          <w:szCs w:val="21"/>
        </w:rPr>
        <w:t>若乙方未按照规定时间完成供货，每延期一日，甲方有权要求乙方承担合同总价0.5%的违约金。</w:t>
      </w:r>
    </w:p>
    <w:p w14:paraId="3C6DBC08">
      <w:pPr>
        <w:keepNext w:val="0"/>
        <w:keepLines w:val="0"/>
        <w:pageBreakBefore w:val="0"/>
        <w:widowControl w:val="0"/>
        <w:kinsoku/>
        <w:wordWrap/>
        <w:overflowPunct/>
        <w:topLinePunct w:val="0"/>
        <w:autoSpaceDE/>
        <w:autoSpaceDN/>
        <w:bidi w:val="0"/>
        <w:adjustRightInd/>
        <w:snapToGrid/>
        <w:spacing w:line="420" w:lineRule="exact"/>
        <w:jc w:val="left"/>
        <w:textAlignment w:val="auto"/>
        <w:rPr>
          <w:rFonts w:hint="eastAsia" w:ascii="宋体" w:hAnsi="宋体" w:eastAsia="宋体" w:cs="宋体"/>
          <w:b/>
          <w:color w:val="auto"/>
          <w:szCs w:val="21"/>
        </w:rPr>
      </w:pPr>
      <w:r>
        <w:rPr>
          <w:rFonts w:hint="eastAsia" w:ascii="宋体" w:hAnsi="宋体" w:eastAsia="宋体" w:cs="宋体"/>
          <w:b/>
          <w:color w:val="auto"/>
          <w:szCs w:val="21"/>
        </w:rPr>
        <w:t>十、争议解决</w:t>
      </w:r>
    </w:p>
    <w:p w14:paraId="456E7A0C">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bCs/>
          <w:color w:val="auto"/>
          <w:szCs w:val="21"/>
        </w:rPr>
      </w:pPr>
      <w:r>
        <w:rPr>
          <w:rFonts w:hint="eastAsia" w:ascii="宋体" w:hAnsi="宋体" w:eastAsia="宋体" w:cs="宋体"/>
          <w:color w:val="auto"/>
        </w:rPr>
        <w:t xml:space="preserve">本合同产生争议，甲乙双方应本着友好积极态度进行协商解决；协商不成，可提请有关部门进行调解，调解不成的向甲方所在地人民法院提出诉讼。 </w:t>
      </w:r>
    </w:p>
    <w:p w14:paraId="252CB9CD">
      <w:pPr>
        <w:keepNext w:val="0"/>
        <w:keepLines w:val="0"/>
        <w:pageBreakBefore w:val="0"/>
        <w:widowControl w:val="0"/>
        <w:kinsoku/>
        <w:wordWrap/>
        <w:overflowPunct/>
        <w:topLinePunct w:val="0"/>
        <w:autoSpaceDE/>
        <w:autoSpaceDN/>
        <w:bidi w:val="0"/>
        <w:adjustRightInd/>
        <w:snapToGrid/>
        <w:spacing w:line="420" w:lineRule="exact"/>
        <w:jc w:val="left"/>
        <w:textAlignment w:val="auto"/>
        <w:rPr>
          <w:rFonts w:ascii="宋体" w:hAnsi="宋体" w:cs="宋体"/>
          <w:b/>
          <w:color w:val="auto"/>
          <w:szCs w:val="21"/>
        </w:rPr>
      </w:pPr>
      <w:r>
        <w:rPr>
          <w:rFonts w:hint="eastAsia" w:ascii="宋体" w:hAnsi="宋体" w:eastAsia="宋体" w:cs="宋体"/>
          <w:b/>
          <w:color w:val="auto"/>
          <w:szCs w:val="21"/>
          <w:lang w:val="en-US" w:eastAsia="zh-CN"/>
        </w:rPr>
        <w:t>十一</w:t>
      </w:r>
      <w:r>
        <w:rPr>
          <w:rFonts w:hint="eastAsia" w:ascii="宋体" w:hAnsi="宋体" w:cs="宋体"/>
          <w:b/>
          <w:color w:val="auto"/>
          <w:szCs w:val="21"/>
        </w:rPr>
        <w:t>、合同份数</w:t>
      </w:r>
    </w:p>
    <w:p w14:paraId="6A7646D9">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ascii="宋体" w:hAnsi="宋体" w:cs="宋体"/>
          <w:color w:val="auto"/>
          <w:szCs w:val="21"/>
        </w:rPr>
      </w:pPr>
      <w:r>
        <w:rPr>
          <w:rFonts w:hint="eastAsia" w:ascii="宋体" w:hAnsi="宋体" w:cs="宋体"/>
          <w:color w:val="auto"/>
          <w:szCs w:val="21"/>
        </w:rPr>
        <w:t>合同一式</w:t>
      </w:r>
      <w:r>
        <w:rPr>
          <w:rFonts w:hint="eastAsia" w:ascii="宋体" w:hAnsi="宋体" w:eastAsia="宋体" w:cs="宋体"/>
          <w:color w:val="auto"/>
          <w:szCs w:val="21"/>
          <w:lang w:eastAsia="zh-CN"/>
        </w:rPr>
        <w:t>肆</w:t>
      </w:r>
      <w:r>
        <w:rPr>
          <w:rFonts w:hint="eastAsia" w:ascii="宋体" w:hAnsi="宋体" w:cs="宋体"/>
          <w:color w:val="auto"/>
          <w:szCs w:val="21"/>
        </w:rPr>
        <w:t>份，采购人、中标供应商各执</w:t>
      </w:r>
      <w:r>
        <w:rPr>
          <w:rFonts w:hint="eastAsia" w:ascii="宋体" w:hAnsi="宋体" w:eastAsia="宋体" w:cs="宋体"/>
          <w:color w:val="auto"/>
          <w:szCs w:val="21"/>
          <w:lang w:val="en-US" w:eastAsia="zh-CN"/>
        </w:rPr>
        <w:t>2</w:t>
      </w:r>
      <w:r>
        <w:rPr>
          <w:rFonts w:hint="eastAsia" w:ascii="宋体" w:hAnsi="宋体" w:cs="宋体"/>
          <w:color w:val="auto"/>
          <w:szCs w:val="21"/>
        </w:rPr>
        <w:t>份。</w:t>
      </w:r>
    </w:p>
    <w:p w14:paraId="6BFF3EF2">
      <w:pPr>
        <w:keepNext w:val="0"/>
        <w:keepLines w:val="0"/>
        <w:pageBreakBefore w:val="0"/>
        <w:widowControl w:val="0"/>
        <w:kinsoku/>
        <w:wordWrap/>
        <w:overflowPunct/>
        <w:topLinePunct w:val="0"/>
        <w:autoSpaceDE/>
        <w:autoSpaceDN/>
        <w:bidi w:val="0"/>
        <w:adjustRightInd/>
        <w:snapToGrid/>
        <w:spacing w:line="420" w:lineRule="exact"/>
        <w:textAlignment w:val="auto"/>
        <w:rPr>
          <w:rFonts w:ascii="宋体" w:hAnsi="宋体" w:cs="宋体"/>
          <w:b/>
          <w:color w:val="auto"/>
          <w:szCs w:val="21"/>
        </w:rPr>
      </w:pPr>
      <w:r>
        <w:rPr>
          <w:rFonts w:hint="eastAsia" w:ascii="宋体" w:hAnsi="宋体" w:cs="宋体"/>
          <w:b/>
          <w:color w:val="auto"/>
          <w:szCs w:val="21"/>
        </w:rPr>
        <w:t>十</w:t>
      </w:r>
      <w:r>
        <w:rPr>
          <w:rFonts w:hint="eastAsia" w:ascii="宋体" w:hAnsi="宋体" w:eastAsia="宋体" w:cs="宋体"/>
          <w:b/>
          <w:color w:val="auto"/>
          <w:szCs w:val="21"/>
          <w:lang w:val="en-US" w:eastAsia="zh-CN"/>
        </w:rPr>
        <w:t>二</w:t>
      </w:r>
      <w:r>
        <w:rPr>
          <w:rFonts w:hint="eastAsia" w:ascii="宋体" w:hAnsi="宋体" w:cs="宋体"/>
          <w:b/>
          <w:color w:val="auto"/>
          <w:szCs w:val="21"/>
        </w:rPr>
        <w:t>、其他</w:t>
      </w:r>
    </w:p>
    <w:p w14:paraId="4788D1B8">
      <w:pPr>
        <w:pStyle w:val="11"/>
        <w:keepNext w:val="0"/>
        <w:keepLines w:val="0"/>
        <w:pageBreakBefore w:val="0"/>
        <w:widowControl w:val="0"/>
        <w:kinsoku/>
        <w:wordWrap/>
        <w:overflowPunct/>
        <w:topLinePunct w:val="0"/>
        <w:autoSpaceDE/>
        <w:autoSpaceDN/>
        <w:bidi w:val="0"/>
        <w:adjustRightInd/>
        <w:snapToGrid/>
        <w:spacing w:line="420" w:lineRule="exact"/>
        <w:ind w:firstLine="420"/>
        <w:textAlignment w:val="auto"/>
        <w:rPr>
          <w:rFonts w:ascii="宋体" w:hAnsi="宋体" w:cs="宋体"/>
          <w:color w:val="auto"/>
          <w:szCs w:val="21"/>
        </w:rPr>
      </w:pPr>
      <w:r>
        <w:rPr>
          <w:rFonts w:hint="eastAsia" w:ascii="宋体" w:hAnsi="宋体" w:cs="宋体"/>
          <w:color w:val="auto"/>
          <w:szCs w:val="21"/>
        </w:rPr>
        <w:t>未尽事宜由双方在签订合同时具体明确。</w:t>
      </w:r>
    </w:p>
    <w:tbl>
      <w:tblPr>
        <w:tblStyle w:val="7"/>
        <w:tblW w:w="91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8"/>
        <w:gridCol w:w="4501"/>
      </w:tblGrid>
      <w:tr w14:paraId="13043B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648" w:type="dxa"/>
            <w:shd w:val="clear" w:color="auto" w:fill="FFFFFF"/>
            <w:noWrap w:val="0"/>
            <w:vAlign w:val="top"/>
          </w:tcPr>
          <w:p w14:paraId="194644BD">
            <w:pPr>
              <w:spacing w:line="360" w:lineRule="auto"/>
              <w:jc w:val="center"/>
              <w:rPr>
                <w:rFonts w:ascii="宋体" w:hAnsi="宋体" w:cs="宋体"/>
                <w:b/>
                <w:color w:val="auto"/>
                <w:szCs w:val="21"/>
              </w:rPr>
            </w:pPr>
            <w:r>
              <w:rPr>
                <w:rFonts w:hint="eastAsia" w:ascii="宋体" w:hAnsi="宋体" w:cs="宋体"/>
                <w:b/>
                <w:color w:val="auto"/>
                <w:szCs w:val="21"/>
              </w:rPr>
              <w:t>甲  方</w:t>
            </w:r>
          </w:p>
        </w:tc>
        <w:tc>
          <w:tcPr>
            <w:tcW w:w="4501" w:type="dxa"/>
            <w:shd w:val="clear" w:color="auto" w:fill="FFFFFF"/>
            <w:noWrap w:val="0"/>
            <w:vAlign w:val="top"/>
          </w:tcPr>
          <w:p w14:paraId="6D65E6F0">
            <w:pPr>
              <w:spacing w:line="360" w:lineRule="auto"/>
              <w:jc w:val="center"/>
              <w:rPr>
                <w:rFonts w:ascii="宋体" w:hAnsi="宋体" w:cs="宋体"/>
                <w:b/>
                <w:color w:val="auto"/>
                <w:szCs w:val="21"/>
              </w:rPr>
            </w:pPr>
            <w:r>
              <w:rPr>
                <w:rFonts w:hint="eastAsia" w:ascii="宋体" w:hAnsi="宋体" w:cs="宋体"/>
                <w:b/>
                <w:color w:val="auto"/>
                <w:szCs w:val="21"/>
              </w:rPr>
              <w:t>乙  方</w:t>
            </w:r>
          </w:p>
        </w:tc>
      </w:tr>
      <w:tr w14:paraId="297C41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9" w:hRule="atLeast"/>
          <w:jc w:val="center"/>
        </w:trPr>
        <w:tc>
          <w:tcPr>
            <w:tcW w:w="4648" w:type="dxa"/>
            <w:noWrap w:val="0"/>
            <w:vAlign w:val="center"/>
          </w:tcPr>
          <w:p w14:paraId="279DFFBD">
            <w:pPr>
              <w:spacing w:line="360" w:lineRule="auto"/>
              <w:jc w:val="center"/>
              <w:rPr>
                <w:rFonts w:hint="eastAsia" w:ascii="宋体" w:hAnsi="宋体" w:eastAsia="宋体" w:cs="宋体"/>
                <w:color w:val="auto"/>
                <w:szCs w:val="21"/>
                <w:lang w:val="en-US" w:eastAsia="zh-CN"/>
              </w:rPr>
            </w:pPr>
            <w:r>
              <w:rPr>
                <w:rFonts w:hint="eastAsia" w:ascii="宋体" w:hAnsi="宋体" w:cs="宋体"/>
                <w:color w:val="auto"/>
                <w:szCs w:val="21"/>
              </w:rPr>
              <w:t>采购人（公章）</w:t>
            </w:r>
            <w:r>
              <w:rPr>
                <w:rFonts w:hint="eastAsia" w:ascii="宋体" w:hAnsi="宋体" w:eastAsia="宋体" w:cs="宋体"/>
                <w:color w:val="auto"/>
                <w:szCs w:val="21"/>
                <w:lang w:eastAsia="zh-CN"/>
              </w:rPr>
              <w:t>：</w:t>
            </w:r>
            <w:r>
              <w:rPr>
                <w:rFonts w:hint="eastAsia" w:ascii="宋体" w:hAnsi="宋体" w:eastAsia="宋体" w:cs="宋体"/>
                <w:color w:val="auto"/>
                <w:sz w:val="24"/>
                <w:szCs w:val="24"/>
                <w:lang w:val="zh-CN"/>
              </w:rPr>
              <w:t>西安市殡仪馆</w:t>
            </w:r>
          </w:p>
        </w:tc>
        <w:tc>
          <w:tcPr>
            <w:tcW w:w="4501" w:type="dxa"/>
            <w:noWrap w:val="0"/>
            <w:vAlign w:val="center"/>
          </w:tcPr>
          <w:p w14:paraId="67CE0B51">
            <w:pPr>
              <w:spacing w:line="360" w:lineRule="auto"/>
              <w:jc w:val="both"/>
              <w:rPr>
                <w:rFonts w:hint="eastAsia" w:ascii="宋体" w:hAnsi="宋体" w:eastAsia="宋体" w:cs="宋体"/>
                <w:color w:val="auto"/>
                <w:szCs w:val="21"/>
                <w:lang w:val="en-US" w:eastAsia="zh-CN"/>
              </w:rPr>
            </w:pPr>
            <w:r>
              <w:rPr>
                <w:rFonts w:hint="eastAsia" w:ascii="宋体" w:hAnsi="宋体" w:cs="宋体"/>
                <w:color w:val="auto"/>
                <w:szCs w:val="21"/>
                <w:lang w:eastAsia="zh-CN"/>
              </w:rPr>
              <w:t>中标</w:t>
            </w:r>
            <w:r>
              <w:rPr>
                <w:rFonts w:hint="eastAsia" w:ascii="宋体" w:hAnsi="宋体" w:cs="宋体"/>
                <w:color w:val="auto"/>
                <w:szCs w:val="21"/>
              </w:rPr>
              <w:t>供应商（公章）</w:t>
            </w:r>
            <w:r>
              <w:rPr>
                <w:rFonts w:hint="eastAsia" w:ascii="宋体" w:hAnsi="宋体" w:eastAsia="宋体" w:cs="宋体"/>
                <w:color w:val="auto"/>
                <w:szCs w:val="21"/>
                <w:lang w:eastAsia="zh-CN"/>
              </w:rPr>
              <w:t>：</w:t>
            </w:r>
            <w:r>
              <w:rPr>
                <w:rFonts w:hint="eastAsia" w:ascii="宋体" w:hAnsi="宋体" w:eastAsia="宋体" w:cs="宋体"/>
                <w:color w:val="auto"/>
                <w:sz w:val="24"/>
                <w:szCs w:val="24"/>
                <w:lang w:val="zh-CN"/>
              </w:rPr>
              <w:t xml:space="preserve"> </w:t>
            </w:r>
          </w:p>
        </w:tc>
      </w:tr>
      <w:tr w14:paraId="0D073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48" w:type="dxa"/>
            <w:noWrap w:val="0"/>
            <w:vAlign w:val="top"/>
          </w:tcPr>
          <w:p w14:paraId="5FCACE2D">
            <w:pPr>
              <w:spacing w:line="360" w:lineRule="auto"/>
              <w:rPr>
                <w:rFonts w:ascii="宋体" w:hAnsi="宋体" w:cs="宋体"/>
                <w:color w:val="auto"/>
                <w:szCs w:val="21"/>
              </w:rPr>
            </w:pPr>
            <w:r>
              <w:rPr>
                <w:rFonts w:hint="eastAsia" w:ascii="宋体" w:hAnsi="宋体" w:cs="宋体"/>
                <w:color w:val="auto"/>
                <w:szCs w:val="21"/>
              </w:rPr>
              <w:t>地址：</w:t>
            </w:r>
          </w:p>
        </w:tc>
        <w:tc>
          <w:tcPr>
            <w:tcW w:w="4501" w:type="dxa"/>
            <w:noWrap w:val="0"/>
            <w:vAlign w:val="top"/>
          </w:tcPr>
          <w:p w14:paraId="55C8B835">
            <w:pPr>
              <w:spacing w:line="360" w:lineRule="auto"/>
              <w:rPr>
                <w:rFonts w:ascii="宋体" w:hAnsi="宋体" w:cs="宋体"/>
                <w:color w:val="auto"/>
                <w:szCs w:val="21"/>
              </w:rPr>
            </w:pPr>
            <w:r>
              <w:rPr>
                <w:rFonts w:hint="eastAsia" w:ascii="宋体" w:hAnsi="宋体" w:cs="宋体"/>
                <w:color w:val="auto"/>
                <w:szCs w:val="21"/>
              </w:rPr>
              <w:t>地址：</w:t>
            </w:r>
          </w:p>
        </w:tc>
      </w:tr>
      <w:tr w14:paraId="01AFE5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48" w:type="dxa"/>
            <w:noWrap w:val="0"/>
            <w:vAlign w:val="top"/>
          </w:tcPr>
          <w:p w14:paraId="14F65445">
            <w:pPr>
              <w:spacing w:line="360" w:lineRule="auto"/>
              <w:rPr>
                <w:rFonts w:ascii="宋体" w:hAnsi="宋体" w:cs="宋体"/>
                <w:color w:val="auto"/>
                <w:szCs w:val="21"/>
              </w:rPr>
            </w:pPr>
            <w:r>
              <w:rPr>
                <w:rFonts w:hint="eastAsia" w:ascii="宋体" w:hAnsi="宋体" w:cs="宋体"/>
                <w:color w:val="auto"/>
                <w:szCs w:val="21"/>
              </w:rPr>
              <w:t>法定代表人：</w:t>
            </w:r>
          </w:p>
        </w:tc>
        <w:tc>
          <w:tcPr>
            <w:tcW w:w="4501" w:type="dxa"/>
            <w:noWrap w:val="0"/>
            <w:vAlign w:val="top"/>
          </w:tcPr>
          <w:p w14:paraId="72085376">
            <w:pPr>
              <w:spacing w:line="360" w:lineRule="auto"/>
              <w:rPr>
                <w:rFonts w:ascii="宋体" w:hAnsi="宋体" w:cs="宋体"/>
                <w:color w:val="auto"/>
                <w:szCs w:val="21"/>
              </w:rPr>
            </w:pPr>
            <w:r>
              <w:rPr>
                <w:rFonts w:hint="eastAsia" w:ascii="宋体" w:hAnsi="宋体" w:cs="宋体"/>
                <w:color w:val="auto"/>
                <w:szCs w:val="21"/>
              </w:rPr>
              <w:t>法定代表人：</w:t>
            </w:r>
          </w:p>
        </w:tc>
      </w:tr>
      <w:tr w14:paraId="6BFEFC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48" w:type="dxa"/>
            <w:noWrap w:val="0"/>
            <w:vAlign w:val="top"/>
          </w:tcPr>
          <w:p w14:paraId="0111C253">
            <w:pPr>
              <w:spacing w:line="360" w:lineRule="auto"/>
              <w:rPr>
                <w:rFonts w:ascii="宋体" w:hAnsi="宋体" w:cs="宋体"/>
                <w:color w:val="auto"/>
                <w:szCs w:val="21"/>
              </w:rPr>
            </w:pPr>
            <w:r>
              <w:rPr>
                <w:rFonts w:hint="eastAsia" w:ascii="宋体" w:hAnsi="宋体" w:cs="宋体"/>
                <w:color w:val="auto"/>
                <w:szCs w:val="21"/>
              </w:rPr>
              <w:t>授权代表：（签字）</w:t>
            </w:r>
          </w:p>
        </w:tc>
        <w:tc>
          <w:tcPr>
            <w:tcW w:w="4501" w:type="dxa"/>
            <w:noWrap w:val="0"/>
            <w:vAlign w:val="top"/>
          </w:tcPr>
          <w:p w14:paraId="6F4F0AA6">
            <w:pPr>
              <w:spacing w:line="360" w:lineRule="auto"/>
              <w:rPr>
                <w:rFonts w:ascii="宋体" w:hAnsi="宋体" w:cs="宋体"/>
                <w:color w:val="auto"/>
                <w:szCs w:val="21"/>
              </w:rPr>
            </w:pPr>
            <w:r>
              <w:rPr>
                <w:rFonts w:hint="eastAsia" w:ascii="宋体" w:hAnsi="宋体" w:cs="宋体"/>
                <w:color w:val="auto"/>
                <w:szCs w:val="21"/>
              </w:rPr>
              <w:t>授权代表：（签字）</w:t>
            </w:r>
          </w:p>
        </w:tc>
      </w:tr>
      <w:tr w14:paraId="5D917B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jc w:val="center"/>
        </w:trPr>
        <w:tc>
          <w:tcPr>
            <w:tcW w:w="4648" w:type="dxa"/>
            <w:noWrap w:val="0"/>
            <w:vAlign w:val="top"/>
          </w:tcPr>
          <w:p w14:paraId="0628BD03">
            <w:pPr>
              <w:spacing w:line="360" w:lineRule="auto"/>
              <w:rPr>
                <w:rFonts w:ascii="宋体" w:hAnsi="宋体" w:cs="宋体"/>
                <w:color w:val="auto"/>
                <w:szCs w:val="21"/>
              </w:rPr>
            </w:pPr>
            <w:r>
              <w:rPr>
                <w:rFonts w:hint="eastAsia" w:ascii="宋体" w:hAnsi="宋体" w:cs="宋体"/>
                <w:color w:val="auto"/>
                <w:szCs w:val="21"/>
              </w:rPr>
              <w:t>电话：</w:t>
            </w:r>
          </w:p>
        </w:tc>
        <w:tc>
          <w:tcPr>
            <w:tcW w:w="4501" w:type="dxa"/>
            <w:noWrap w:val="0"/>
            <w:vAlign w:val="top"/>
          </w:tcPr>
          <w:p w14:paraId="53BC7141">
            <w:pPr>
              <w:spacing w:line="360" w:lineRule="auto"/>
              <w:rPr>
                <w:rFonts w:ascii="宋体" w:hAnsi="宋体" w:cs="宋体"/>
                <w:color w:val="auto"/>
                <w:szCs w:val="21"/>
              </w:rPr>
            </w:pPr>
            <w:r>
              <w:rPr>
                <w:rFonts w:hint="eastAsia" w:ascii="宋体" w:hAnsi="宋体" w:cs="宋体"/>
                <w:color w:val="auto"/>
                <w:szCs w:val="21"/>
              </w:rPr>
              <w:t>电话：</w:t>
            </w:r>
          </w:p>
        </w:tc>
      </w:tr>
      <w:tr w14:paraId="68CA8F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48" w:type="dxa"/>
            <w:noWrap w:val="0"/>
            <w:vAlign w:val="top"/>
          </w:tcPr>
          <w:p w14:paraId="2D929788">
            <w:pPr>
              <w:spacing w:line="360" w:lineRule="auto"/>
              <w:rPr>
                <w:rFonts w:ascii="宋体" w:hAnsi="宋体" w:cs="宋体"/>
                <w:color w:val="auto"/>
                <w:szCs w:val="21"/>
              </w:rPr>
            </w:pPr>
            <w:r>
              <w:rPr>
                <w:rFonts w:hint="eastAsia" w:ascii="宋体" w:hAnsi="宋体" w:cs="宋体"/>
                <w:color w:val="auto"/>
                <w:szCs w:val="21"/>
              </w:rPr>
              <w:t>传真：</w:t>
            </w:r>
          </w:p>
        </w:tc>
        <w:tc>
          <w:tcPr>
            <w:tcW w:w="4501" w:type="dxa"/>
            <w:noWrap w:val="0"/>
            <w:vAlign w:val="top"/>
          </w:tcPr>
          <w:p w14:paraId="1F031CD9">
            <w:pPr>
              <w:spacing w:line="360" w:lineRule="auto"/>
              <w:rPr>
                <w:rFonts w:ascii="宋体" w:hAnsi="宋体" w:cs="宋体"/>
                <w:color w:val="auto"/>
                <w:szCs w:val="21"/>
              </w:rPr>
            </w:pPr>
            <w:r>
              <w:rPr>
                <w:rFonts w:hint="eastAsia" w:ascii="宋体" w:hAnsi="宋体" w:cs="宋体"/>
                <w:color w:val="auto"/>
                <w:szCs w:val="21"/>
              </w:rPr>
              <w:t>传真：</w:t>
            </w:r>
          </w:p>
        </w:tc>
      </w:tr>
      <w:tr w14:paraId="4EA68C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48" w:type="dxa"/>
            <w:noWrap w:val="0"/>
            <w:vAlign w:val="top"/>
          </w:tcPr>
          <w:p w14:paraId="2FA105D9">
            <w:pPr>
              <w:spacing w:line="360" w:lineRule="auto"/>
              <w:rPr>
                <w:rFonts w:ascii="宋体" w:hAnsi="宋体" w:cs="宋体"/>
                <w:color w:val="auto"/>
                <w:szCs w:val="21"/>
              </w:rPr>
            </w:pPr>
          </w:p>
        </w:tc>
        <w:tc>
          <w:tcPr>
            <w:tcW w:w="4501" w:type="dxa"/>
            <w:noWrap w:val="0"/>
            <w:vAlign w:val="top"/>
          </w:tcPr>
          <w:p w14:paraId="0948AA87">
            <w:pPr>
              <w:spacing w:line="360" w:lineRule="auto"/>
              <w:rPr>
                <w:rFonts w:ascii="宋体" w:hAnsi="宋体" w:cs="宋体"/>
                <w:color w:val="auto"/>
                <w:szCs w:val="21"/>
              </w:rPr>
            </w:pPr>
            <w:r>
              <w:rPr>
                <w:rFonts w:hint="eastAsia" w:ascii="宋体" w:hAnsi="宋体" w:cs="宋体"/>
                <w:color w:val="auto"/>
                <w:szCs w:val="21"/>
              </w:rPr>
              <w:t>开户银行：</w:t>
            </w:r>
          </w:p>
        </w:tc>
      </w:tr>
      <w:tr w14:paraId="78CBCE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48" w:type="dxa"/>
            <w:noWrap w:val="0"/>
            <w:vAlign w:val="top"/>
          </w:tcPr>
          <w:p w14:paraId="11B7CE8D">
            <w:pPr>
              <w:spacing w:line="360" w:lineRule="auto"/>
              <w:rPr>
                <w:rFonts w:ascii="宋体" w:hAnsi="宋体" w:cs="宋体"/>
                <w:color w:val="auto"/>
                <w:szCs w:val="21"/>
              </w:rPr>
            </w:pPr>
          </w:p>
        </w:tc>
        <w:tc>
          <w:tcPr>
            <w:tcW w:w="4501" w:type="dxa"/>
            <w:noWrap w:val="0"/>
            <w:vAlign w:val="top"/>
          </w:tcPr>
          <w:p w14:paraId="11A1B27D">
            <w:pPr>
              <w:spacing w:line="360" w:lineRule="auto"/>
              <w:rPr>
                <w:rFonts w:ascii="宋体" w:hAnsi="宋体" w:cs="宋体"/>
                <w:color w:val="auto"/>
                <w:szCs w:val="21"/>
              </w:rPr>
            </w:pPr>
            <w:r>
              <w:rPr>
                <w:rFonts w:hint="eastAsia" w:ascii="宋体" w:hAnsi="宋体" w:cs="宋体"/>
                <w:color w:val="auto"/>
                <w:szCs w:val="21"/>
              </w:rPr>
              <w:t>账号：</w:t>
            </w:r>
          </w:p>
        </w:tc>
      </w:tr>
      <w:tr w14:paraId="445022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48" w:type="dxa"/>
            <w:shd w:val="clear" w:color="auto" w:fill="auto"/>
            <w:noWrap w:val="0"/>
            <w:vAlign w:val="top"/>
          </w:tcPr>
          <w:p w14:paraId="3CFD6329">
            <w:pPr>
              <w:spacing w:line="360" w:lineRule="auto"/>
              <w:rPr>
                <w:rFonts w:hint="default" w:ascii="宋体" w:hAnsi="宋体" w:eastAsia="Times New Roman" w:cs="宋体"/>
                <w:color w:val="auto"/>
                <w:kern w:val="0"/>
                <w:sz w:val="24"/>
                <w:szCs w:val="21"/>
                <w:lang w:val="en-US" w:eastAsia="zh-CN" w:bidi="ar"/>
              </w:rPr>
            </w:pPr>
            <w:r>
              <w:rPr>
                <w:rFonts w:hint="eastAsia" w:ascii="宋体" w:hAnsi="宋体" w:cs="宋体"/>
                <w:color w:val="auto"/>
                <w:szCs w:val="21"/>
              </w:rPr>
              <w:t>日期：   年  月  日</w:t>
            </w:r>
          </w:p>
        </w:tc>
        <w:tc>
          <w:tcPr>
            <w:tcW w:w="4501" w:type="dxa"/>
            <w:shd w:val="clear" w:color="auto" w:fill="auto"/>
            <w:noWrap w:val="0"/>
            <w:vAlign w:val="top"/>
          </w:tcPr>
          <w:p w14:paraId="1DC61E35">
            <w:pPr>
              <w:spacing w:line="360" w:lineRule="auto"/>
              <w:rPr>
                <w:rFonts w:hint="eastAsia" w:ascii="宋体" w:hAnsi="宋体" w:eastAsia="Times New Roman" w:cs="宋体"/>
                <w:color w:val="auto"/>
                <w:kern w:val="0"/>
                <w:sz w:val="24"/>
                <w:szCs w:val="21"/>
                <w:lang w:val="en-US" w:eastAsia="zh-CN" w:bidi="ar"/>
              </w:rPr>
            </w:pPr>
            <w:r>
              <w:rPr>
                <w:rFonts w:hint="eastAsia" w:ascii="宋体" w:hAnsi="宋体" w:cs="宋体"/>
                <w:color w:val="auto"/>
                <w:szCs w:val="21"/>
              </w:rPr>
              <w:t>日期：   年  月  日</w:t>
            </w:r>
          </w:p>
        </w:tc>
      </w:tr>
    </w:tbl>
    <w:p w14:paraId="6F821E94">
      <w:pPr>
        <w:spacing w:line="360" w:lineRule="auto"/>
        <w:rPr>
          <w:rFonts w:hint="eastAsia" w:ascii="宋体" w:hAnsi="宋体" w:cs="宋体"/>
          <w:color w:val="auto"/>
          <w:szCs w:val="21"/>
        </w:rPr>
        <w:sectPr>
          <w:pgSz w:w="11906" w:h="16838"/>
          <w:pgMar w:top="1304" w:right="1361" w:bottom="1304" w:left="1361" w:header="851" w:footer="992" w:gutter="0"/>
          <w:cols w:space="425" w:num="1"/>
          <w:docGrid w:type="lines" w:linePitch="312" w:charSpace="0"/>
        </w:sectPr>
      </w:pPr>
    </w:p>
    <w:p w14:paraId="67D9B042">
      <w:pPr>
        <w:keepNext w:val="0"/>
        <w:keepLines w:val="0"/>
        <w:pageBreakBefore w:val="0"/>
        <w:kinsoku/>
        <w:wordWrap/>
        <w:overflowPunct/>
        <w:topLinePunct w:val="0"/>
        <w:autoSpaceDE/>
        <w:autoSpaceDN/>
        <w:bidi w:val="0"/>
        <w:adjustRightInd/>
        <w:snapToGrid/>
        <w:spacing w:line="380" w:lineRule="exact"/>
        <w:ind w:firstLine="600" w:firstLineChars="200"/>
        <w:jc w:val="center"/>
        <w:textAlignment w:val="auto"/>
        <w:rPr>
          <w:rFonts w:hint="eastAsia" w:ascii="宋体" w:hAnsi="宋体" w:eastAsia="宋体" w:cs="宋体"/>
          <w:color w:val="auto"/>
          <w:sz w:val="30"/>
          <w:szCs w:val="30"/>
          <w:lang w:val="en-US" w:eastAsia="zh-CN"/>
        </w:rPr>
      </w:pPr>
      <w:bookmarkStart w:id="28" w:name="_Toc4750"/>
      <w:bookmarkStart w:id="29" w:name="_Toc24573"/>
      <w:r>
        <w:rPr>
          <w:rFonts w:hint="eastAsia" w:ascii="宋体" w:hAnsi="宋体" w:eastAsia="宋体" w:cs="宋体"/>
          <w:color w:val="auto"/>
          <w:sz w:val="30"/>
          <w:szCs w:val="30"/>
          <w:lang w:val="en-US" w:eastAsia="zh-CN"/>
        </w:rPr>
        <w:t>分项报价表</w:t>
      </w:r>
      <w:bookmarkEnd w:id="28"/>
      <w:bookmarkEnd w:id="29"/>
    </w:p>
    <w:p w14:paraId="5EF98E35">
      <w:pPr>
        <w:keepNext w:val="0"/>
        <w:keepLines w:val="0"/>
        <w:pageBreakBefore w:val="0"/>
        <w:kinsoku/>
        <w:wordWrap/>
        <w:overflowPunct/>
        <w:topLinePunct w:val="0"/>
        <w:autoSpaceDE/>
        <w:autoSpaceDN/>
        <w:bidi w:val="0"/>
        <w:adjustRightInd/>
        <w:snapToGrid/>
        <w:spacing w:line="380" w:lineRule="exact"/>
        <w:ind w:firstLine="600" w:firstLineChars="200"/>
        <w:textAlignment w:val="auto"/>
        <w:rPr>
          <w:rFonts w:hint="eastAsia" w:ascii="宋体" w:hAnsi="宋体" w:eastAsia="宋体" w:cs="宋体"/>
          <w:color w:val="auto"/>
          <w:sz w:val="30"/>
          <w:szCs w:val="30"/>
          <w:lang w:val="en-US" w:eastAsia="zh-CN"/>
        </w:rPr>
      </w:pPr>
    </w:p>
    <w:tbl>
      <w:tblPr>
        <w:tblStyle w:val="7"/>
        <w:tblW w:w="14374" w:type="dxa"/>
        <w:tblInd w:w="93" w:type="dxa"/>
        <w:tblLayout w:type="autofit"/>
        <w:tblCellMar>
          <w:top w:w="0" w:type="dxa"/>
          <w:left w:w="108" w:type="dxa"/>
          <w:bottom w:w="0" w:type="dxa"/>
          <w:right w:w="108" w:type="dxa"/>
        </w:tblCellMar>
      </w:tblPr>
      <w:tblGrid>
        <w:gridCol w:w="673"/>
        <w:gridCol w:w="1968"/>
        <w:gridCol w:w="1446"/>
        <w:gridCol w:w="1466"/>
        <w:gridCol w:w="1779"/>
        <w:gridCol w:w="2349"/>
        <w:gridCol w:w="2270"/>
        <w:gridCol w:w="1688"/>
        <w:gridCol w:w="735"/>
      </w:tblGrid>
      <w:tr w14:paraId="7DFFA8BA">
        <w:trPr>
          <w:trHeight w:val="649" w:hRule="atLeast"/>
        </w:trPr>
        <w:tc>
          <w:tcPr>
            <w:tcW w:w="673" w:type="dxa"/>
            <w:tcBorders>
              <w:top w:val="single" w:color="000000" w:sz="4" w:space="0"/>
              <w:left w:val="single" w:color="000000" w:sz="4" w:space="0"/>
              <w:bottom w:val="single" w:color="000000" w:sz="4" w:space="0"/>
              <w:right w:val="single" w:color="000000" w:sz="4" w:space="0"/>
            </w:tcBorders>
            <w:vAlign w:val="center"/>
          </w:tcPr>
          <w:p w14:paraId="3592C8C0">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序号</w:t>
            </w:r>
          </w:p>
        </w:tc>
        <w:tc>
          <w:tcPr>
            <w:tcW w:w="1968" w:type="dxa"/>
            <w:tcBorders>
              <w:top w:val="single" w:color="000000" w:sz="4" w:space="0"/>
              <w:left w:val="single" w:color="000000" w:sz="4" w:space="0"/>
              <w:bottom w:val="single" w:color="000000" w:sz="4" w:space="0"/>
              <w:right w:val="single" w:color="000000" w:sz="4" w:space="0"/>
            </w:tcBorders>
            <w:vAlign w:val="center"/>
          </w:tcPr>
          <w:p w14:paraId="5B2C40EB">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货物名称</w:t>
            </w:r>
          </w:p>
        </w:tc>
        <w:tc>
          <w:tcPr>
            <w:tcW w:w="1446" w:type="dxa"/>
            <w:tcBorders>
              <w:top w:val="single" w:color="000000" w:sz="4" w:space="0"/>
              <w:left w:val="single" w:color="000000" w:sz="4" w:space="0"/>
              <w:bottom w:val="single" w:color="000000" w:sz="4" w:space="0"/>
              <w:right w:val="single" w:color="000000" w:sz="4" w:space="0"/>
            </w:tcBorders>
            <w:vAlign w:val="center"/>
          </w:tcPr>
          <w:p w14:paraId="4BC36909">
            <w:pPr>
              <w:widowControl/>
              <w:jc w:val="center"/>
              <w:rPr>
                <w:rFonts w:hint="eastAsia" w:ascii="宋体" w:hAnsi="宋体" w:cs="宋体"/>
                <w:color w:val="000000"/>
                <w:sz w:val="22"/>
                <w:szCs w:val="22"/>
              </w:rPr>
            </w:pPr>
            <w:r>
              <w:rPr>
                <w:rFonts w:hint="eastAsia" w:ascii="宋体" w:hAnsi="宋体" w:eastAsia="宋体" w:cs="宋体"/>
                <w:color w:val="000000"/>
                <w:kern w:val="0"/>
                <w:sz w:val="21"/>
                <w:szCs w:val="21"/>
              </w:rPr>
              <w:t>材质</w:t>
            </w:r>
          </w:p>
        </w:tc>
        <w:tc>
          <w:tcPr>
            <w:tcW w:w="1466" w:type="dxa"/>
            <w:tcBorders>
              <w:top w:val="single" w:color="000000" w:sz="4" w:space="0"/>
              <w:left w:val="single" w:color="000000" w:sz="4" w:space="0"/>
              <w:bottom w:val="single" w:color="000000" w:sz="4" w:space="0"/>
              <w:right w:val="single" w:color="000000" w:sz="4" w:space="0"/>
            </w:tcBorders>
            <w:vAlign w:val="center"/>
          </w:tcPr>
          <w:p w14:paraId="78BDA222">
            <w:pPr>
              <w:widowControl/>
              <w:jc w:val="center"/>
              <w:rPr>
                <w:rFonts w:hint="eastAsia" w:ascii="宋体" w:hAnsi="宋体" w:cs="宋体"/>
                <w:color w:val="000000"/>
                <w:sz w:val="22"/>
                <w:szCs w:val="22"/>
              </w:rPr>
            </w:pPr>
            <w:r>
              <w:rPr>
                <w:rFonts w:hint="eastAsia" w:ascii="宋体" w:hAnsi="宋体" w:eastAsia="宋体" w:cs="宋体"/>
                <w:color w:val="000000"/>
                <w:kern w:val="0"/>
                <w:sz w:val="21"/>
                <w:szCs w:val="21"/>
                <w:lang w:val="en-US" w:eastAsia="zh-CN" w:bidi="ar-SA"/>
              </w:rPr>
              <w:t>品牌、产地</w:t>
            </w:r>
          </w:p>
        </w:tc>
        <w:tc>
          <w:tcPr>
            <w:tcW w:w="1779" w:type="dxa"/>
            <w:tcBorders>
              <w:top w:val="single" w:color="000000" w:sz="4" w:space="0"/>
              <w:left w:val="single" w:color="000000" w:sz="4" w:space="0"/>
              <w:bottom w:val="single" w:color="000000" w:sz="4" w:space="0"/>
              <w:right w:val="single" w:color="000000" w:sz="4" w:space="0"/>
            </w:tcBorders>
            <w:vAlign w:val="center"/>
          </w:tcPr>
          <w:p w14:paraId="5FAE084A">
            <w:pPr>
              <w:widowControl/>
              <w:jc w:val="center"/>
              <w:rPr>
                <w:rFonts w:hint="eastAsia" w:ascii="宋体" w:hAnsi="宋体" w:cs="宋体"/>
                <w:color w:val="000000"/>
                <w:kern w:val="0"/>
                <w:sz w:val="22"/>
                <w:szCs w:val="22"/>
                <w:lang w:bidi="ar"/>
              </w:rPr>
            </w:pPr>
            <w:r>
              <w:rPr>
                <w:rFonts w:hint="eastAsia" w:ascii="宋体" w:hAnsi="宋体" w:eastAsia="宋体" w:cs="宋体"/>
                <w:color w:val="000000"/>
                <w:kern w:val="0"/>
                <w:sz w:val="21"/>
                <w:szCs w:val="21"/>
                <w:lang w:val="en-US" w:eastAsia="zh-CN" w:bidi="ar-SA"/>
              </w:rPr>
              <w:t>规格</w:t>
            </w:r>
          </w:p>
        </w:tc>
        <w:tc>
          <w:tcPr>
            <w:tcW w:w="2349" w:type="dxa"/>
            <w:tcBorders>
              <w:top w:val="single" w:color="000000" w:sz="4" w:space="0"/>
              <w:left w:val="single" w:color="000000" w:sz="4" w:space="0"/>
              <w:bottom w:val="single" w:color="000000" w:sz="4" w:space="0"/>
              <w:right w:val="single" w:color="000000" w:sz="4" w:space="0"/>
            </w:tcBorders>
            <w:vAlign w:val="center"/>
          </w:tcPr>
          <w:p w14:paraId="49B105E4">
            <w:pPr>
              <w:widowControl/>
              <w:jc w:val="center"/>
              <w:rPr>
                <w:rFonts w:hint="eastAsia" w:ascii="宋体" w:hAnsi="宋体" w:cs="宋体"/>
                <w:color w:val="000000"/>
                <w:kern w:val="0"/>
                <w:sz w:val="22"/>
                <w:szCs w:val="22"/>
                <w:lang w:bidi="ar"/>
              </w:rPr>
            </w:pPr>
            <w:r>
              <w:rPr>
                <w:rFonts w:hint="eastAsia" w:ascii="宋体" w:hAnsi="宋体" w:eastAsia="宋体" w:cs="宋体"/>
                <w:color w:val="000000"/>
                <w:kern w:val="0"/>
                <w:sz w:val="21"/>
                <w:szCs w:val="21"/>
                <w:lang w:val="en-US" w:eastAsia="zh-CN"/>
              </w:rPr>
              <w:t>单位</w:t>
            </w:r>
          </w:p>
        </w:tc>
        <w:tc>
          <w:tcPr>
            <w:tcW w:w="2270" w:type="dxa"/>
            <w:tcBorders>
              <w:top w:val="single" w:color="000000" w:sz="4" w:space="0"/>
              <w:left w:val="single" w:color="000000" w:sz="4" w:space="0"/>
              <w:bottom w:val="single" w:color="000000" w:sz="4" w:space="0"/>
              <w:right w:val="single" w:color="000000" w:sz="4" w:space="0"/>
            </w:tcBorders>
            <w:vAlign w:val="center"/>
          </w:tcPr>
          <w:p w14:paraId="4A4DDDFA">
            <w:pPr>
              <w:widowControl/>
              <w:jc w:val="center"/>
              <w:rPr>
                <w:rFonts w:hint="eastAsia" w:ascii="宋体" w:hAnsi="宋体" w:cs="宋体"/>
                <w:color w:val="000000"/>
                <w:kern w:val="0"/>
                <w:sz w:val="22"/>
                <w:szCs w:val="22"/>
                <w:lang w:bidi="ar"/>
              </w:rPr>
            </w:pPr>
            <w:r>
              <w:rPr>
                <w:rFonts w:hint="eastAsia" w:ascii="宋体" w:hAnsi="宋体" w:eastAsia="宋体" w:cs="宋体"/>
                <w:color w:val="000000"/>
                <w:kern w:val="0"/>
                <w:sz w:val="21"/>
                <w:szCs w:val="21"/>
              </w:rPr>
              <w:t>最高限价</w:t>
            </w:r>
            <w:r>
              <w:rPr>
                <w:rFonts w:hint="eastAsia" w:ascii="宋体" w:hAnsi="宋体" w:eastAsia="宋体" w:cs="宋体"/>
                <w:color w:val="000000"/>
                <w:kern w:val="0"/>
                <w:sz w:val="21"/>
                <w:szCs w:val="21"/>
                <w:lang w:val="en-US" w:eastAsia="zh-CN"/>
              </w:rPr>
              <w:t>(元）</w:t>
            </w:r>
          </w:p>
        </w:tc>
        <w:tc>
          <w:tcPr>
            <w:tcW w:w="1688" w:type="dxa"/>
            <w:tcBorders>
              <w:top w:val="single" w:color="000000" w:sz="4" w:space="0"/>
              <w:left w:val="single" w:color="000000" w:sz="4" w:space="0"/>
              <w:bottom w:val="single" w:color="000000" w:sz="4" w:space="0"/>
              <w:right w:val="single" w:color="000000" w:sz="4" w:space="0"/>
            </w:tcBorders>
            <w:vAlign w:val="center"/>
          </w:tcPr>
          <w:p w14:paraId="24F6539D">
            <w:pPr>
              <w:widowControl/>
              <w:jc w:val="center"/>
              <w:rPr>
                <w:rFonts w:hint="eastAsia" w:ascii="宋体" w:hAnsi="宋体" w:cs="宋体"/>
                <w:color w:val="000000"/>
                <w:kern w:val="0"/>
                <w:sz w:val="22"/>
                <w:szCs w:val="22"/>
                <w:lang w:bidi="ar"/>
              </w:rPr>
            </w:pPr>
            <w:r>
              <w:rPr>
                <w:rFonts w:hint="eastAsia" w:ascii="宋体" w:hAnsi="宋体" w:eastAsia="宋体" w:cs="宋体"/>
                <w:color w:val="000000"/>
                <w:kern w:val="0"/>
                <w:sz w:val="21"/>
                <w:szCs w:val="21"/>
                <w:lang w:eastAsia="zh-CN"/>
              </w:rPr>
              <w:t>报价</w:t>
            </w:r>
            <w:r>
              <w:rPr>
                <w:rFonts w:hint="eastAsia" w:ascii="宋体" w:hAnsi="宋体" w:eastAsia="宋体" w:cs="宋体"/>
                <w:color w:val="000000"/>
                <w:kern w:val="0"/>
                <w:sz w:val="21"/>
                <w:szCs w:val="21"/>
                <w:lang w:val="en-US" w:eastAsia="zh-CN"/>
              </w:rPr>
              <w:t>(元）</w:t>
            </w:r>
          </w:p>
        </w:tc>
        <w:tc>
          <w:tcPr>
            <w:tcW w:w="735" w:type="dxa"/>
            <w:tcBorders>
              <w:top w:val="single" w:color="000000" w:sz="4" w:space="0"/>
              <w:left w:val="single" w:color="000000" w:sz="4" w:space="0"/>
              <w:bottom w:val="single" w:color="000000" w:sz="4" w:space="0"/>
              <w:right w:val="single" w:color="000000" w:sz="4" w:space="0"/>
            </w:tcBorders>
            <w:vAlign w:val="center"/>
          </w:tcPr>
          <w:p w14:paraId="29087EF8">
            <w:pPr>
              <w:widowControl/>
              <w:jc w:val="center"/>
              <w:rPr>
                <w:rFonts w:hint="eastAsia" w:ascii="宋体" w:hAnsi="宋体" w:eastAsia="宋体" w:cs="宋体"/>
                <w:color w:val="000000"/>
                <w:kern w:val="0"/>
                <w:sz w:val="21"/>
                <w:szCs w:val="21"/>
                <w:lang w:eastAsia="zh-CN"/>
              </w:rPr>
            </w:pPr>
            <w:r>
              <w:rPr>
                <w:rFonts w:hint="eastAsia" w:ascii="宋体" w:hAnsi="宋体" w:eastAsia="宋体" w:cs="宋体"/>
                <w:color w:val="000000"/>
                <w:kern w:val="0"/>
                <w:sz w:val="21"/>
                <w:szCs w:val="21"/>
                <w:lang w:eastAsia="zh-CN"/>
              </w:rPr>
              <w:t>备注</w:t>
            </w:r>
          </w:p>
        </w:tc>
      </w:tr>
      <w:tr w14:paraId="6CE8646C">
        <w:tblPrEx>
          <w:tblCellMar>
            <w:top w:w="0" w:type="dxa"/>
            <w:left w:w="108" w:type="dxa"/>
            <w:bottom w:w="0" w:type="dxa"/>
            <w:right w:w="108" w:type="dxa"/>
          </w:tblCellMar>
        </w:tblPrEx>
        <w:trPr>
          <w:trHeight w:val="382" w:hRule="atLeast"/>
        </w:trPr>
        <w:tc>
          <w:tcPr>
            <w:tcW w:w="673" w:type="dxa"/>
            <w:tcBorders>
              <w:top w:val="single" w:color="auto" w:sz="4" w:space="0"/>
              <w:left w:val="single" w:color="auto" w:sz="4" w:space="0"/>
              <w:bottom w:val="single" w:color="auto" w:sz="4" w:space="0"/>
              <w:right w:val="single" w:color="auto" w:sz="4" w:space="0"/>
            </w:tcBorders>
            <w:vAlign w:val="center"/>
          </w:tcPr>
          <w:p w14:paraId="0E875513">
            <w:pPr>
              <w:widowControl/>
              <w:jc w:val="center"/>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1</w:t>
            </w:r>
          </w:p>
        </w:tc>
        <w:tc>
          <w:tcPr>
            <w:tcW w:w="1968" w:type="dxa"/>
            <w:tcBorders>
              <w:top w:val="single" w:color="000000" w:sz="4" w:space="0"/>
              <w:left w:val="single" w:color="auto" w:sz="4" w:space="0"/>
              <w:bottom w:val="single" w:color="000000" w:sz="4" w:space="0"/>
              <w:right w:val="single" w:color="000000" w:sz="4" w:space="0"/>
            </w:tcBorders>
            <w:vAlign w:val="center"/>
          </w:tcPr>
          <w:p w14:paraId="78D77C5C">
            <w:pPr>
              <w:widowControl/>
              <w:jc w:val="center"/>
              <w:textAlignment w:val="center"/>
              <w:rPr>
                <w:rFonts w:hint="eastAsia" w:ascii="宋体" w:hAnsi="宋体" w:cs="宋体"/>
                <w:color w:val="000000"/>
                <w:kern w:val="0"/>
                <w:sz w:val="21"/>
                <w:lang w:bidi="ar"/>
              </w:rPr>
            </w:pPr>
            <w:r>
              <w:rPr>
                <w:rFonts w:ascii="宋体" w:hAnsi="宋体" w:cs="宋体"/>
                <w:color w:val="000000"/>
                <w:kern w:val="0"/>
                <w:sz w:val="24"/>
                <w:szCs w:val="24"/>
                <w:lang w:bidi="ar"/>
              </w:rPr>
              <w:t>火化棺</w:t>
            </w:r>
            <w:r>
              <w:rPr>
                <w:rFonts w:hint="eastAsia" w:ascii="宋体" w:hAnsi="宋体" w:cs="宋体"/>
                <w:color w:val="000000"/>
                <w:kern w:val="0"/>
                <w:sz w:val="24"/>
                <w:szCs w:val="24"/>
                <w:lang w:bidi="ar"/>
              </w:rPr>
              <w:t>一</w:t>
            </w:r>
            <w:r>
              <w:rPr>
                <w:rFonts w:ascii="宋体" w:hAnsi="宋体" w:cs="宋体"/>
                <w:color w:val="000000"/>
                <w:kern w:val="0"/>
                <w:sz w:val="24"/>
                <w:szCs w:val="24"/>
                <w:lang w:bidi="ar"/>
              </w:rPr>
              <w:t xml:space="preserve">类 </w:t>
            </w:r>
          </w:p>
        </w:tc>
        <w:tc>
          <w:tcPr>
            <w:tcW w:w="1446" w:type="dxa"/>
            <w:tcBorders>
              <w:top w:val="single" w:color="000000" w:sz="4" w:space="0"/>
              <w:left w:val="single" w:color="000000" w:sz="4" w:space="0"/>
              <w:bottom w:val="single" w:color="000000" w:sz="4" w:space="0"/>
              <w:right w:val="single" w:color="000000" w:sz="4" w:space="0"/>
            </w:tcBorders>
            <w:vAlign w:val="center"/>
          </w:tcPr>
          <w:p w14:paraId="7DCADA0B">
            <w:pPr>
              <w:widowControl/>
              <w:jc w:val="center"/>
              <w:textAlignment w:val="center"/>
              <w:rPr>
                <w:rFonts w:hint="eastAsia" w:ascii="宋体" w:hAnsi="宋体" w:cs="宋体"/>
                <w:color w:val="000000"/>
                <w:sz w:val="22"/>
                <w:szCs w:val="22"/>
              </w:rPr>
            </w:pPr>
          </w:p>
        </w:tc>
        <w:tc>
          <w:tcPr>
            <w:tcW w:w="1466" w:type="dxa"/>
            <w:tcBorders>
              <w:top w:val="single" w:color="000000" w:sz="4" w:space="0"/>
              <w:left w:val="single" w:color="000000" w:sz="4" w:space="0"/>
              <w:bottom w:val="single" w:color="000000" w:sz="4" w:space="0"/>
              <w:right w:val="single" w:color="000000" w:sz="4" w:space="0"/>
            </w:tcBorders>
            <w:vAlign w:val="center"/>
          </w:tcPr>
          <w:p w14:paraId="466D8EDD">
            <w:pPr>
              <w:widowControl/>
              <w:jc w:val="center"/>
              <w:textAlignment w:val="center"/>
              <w:rPr>
                <w:rFonts w:hint="eastAsia" w:ascii="宋体" w:hAnsi="宋体" w:cs="宋体"/>
                <w:color w:val="000000"/>
                <w:sz w:val="24"/>
                <w:szCs w:val="24"/>
              </w:rPr>
            </w:pPr>
          </w:p>
        </w:tc>
        <w:tc>
          <w:tcPr>
            <w:tcW w:w="1779" w:type="dxa"/>
            <w:tcBorders>
              <w:top w:val="single" w:color="000000" w:sz="4" w:space="0"/>
              <w:left w:val="single" w:color="000000" w:sz="4" w:space="0"/>
              <w:bottom w:val="single" w:color="000000" w:sz="4" w:space="0"/>
              <w:right w:val="single" w:color="000000" w:sz="4" w:space="0"/>
            </w:tcBorders>
            <w:vAlign w:val="center"/>
          </w:tcPr>
          <w:p w14:paraId="38C0A9AF">
            <w:pPr>
              <w:widowControl/>
              <w:jc w:val="center"/>
              <w:textAlignment w:val="center"/>
              <w:rPr>
                <w:rFonts w:hint="eastAsia" w:ascii="宋体" w:hAnsi="宋体" w:cs="宋体"/>
                <w:color w:val="000000"/>
                <w:sz w:val="24"/>
                <w:szCs w:val="24"/>
              </w:rPr>
            </w:pPr>
          </w:p>
        </w:tc>
        <w:tc>
          <w:tcPr>
            <w:tcW w:w="2349" w:type="dxa"/>
            <w:tcBorders>
              <w:top w:val="single" w:color="000000" w:sz="4" w:space="0"/>
              <w:left w:val="single" w:color="000000" w:sz="4" w:space="0"/>
              <w:bottom w:val="single" w:color="000000" w:sz="4" w:space="0"/>
              <w:right w:val="single" w:color="000000" w:sz="4" w:space="0"/>
            </w:tcBorders>
            <w:vAlign w:val="center"/>
          </w:tcPr>
          <w:p w14:paraId="78C5758B">
            <w:pPr>
              <w:widowControl/>
              <w:jc w:val="center"/>
              <w:textAlignment w:val="center"/>
              <w:rPr>
                <w:rFonts w:hint="eastAsia" w:ascii="宋体" w:hAnsi="宋体" w:cs="宋体"/>
                <w:color w:val="000000"/>
                <w:sz w:val="24"/>
                <w:szCs w:val="24"/>
              </w:rPr>
            </w:pPr>
          </w:p>
        </w:tc>
        <w:tc>
          <w:tcPr>
            <w:tcW w:w="2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125957">
            <w:pPr>
              <w:widowControl/>
              <w:jc w:val="center"/>
              <w:textAlignment w:val="center"/>
              <w:rPr>
                <w:rFonts w:hint="eastAsia" w:ascii="宋体" w:hAnsi="宋体" w:eastAsia="宋体" w:cs="宋体"/>
                <w:color w:val="000000"/>
                <w:kern w:val="2"/>
                <w:sz w:val="24"/>
                <w:szCs w:val="24"/>
                <w:lang w:val="en-US" w:eastAsia="zh-CN" w:bidi="ar-SA"/>
              </w:rPr>
            </w:pPr>
            <w:r>
              <w:rPr>
                <w:rFonts w:hint="eastAsia" w:ascii="宋体" w:hAnsi="宋体" w:cs="宋体"/>
                <w:color w:val="000000"/>
                <w:sz w:val="24"/>
                <w:szCs w:val="24"/>
              </w:rPr>
              <w:t>116</w:t>
            </w:r>
          </w:p>
        </w:tc>
        <w:tc>
          <w:tcPr>
            <w:tcW w:w="1688" w:type="dxa"/>
            <w:tcBorders>
              <w:top w:val="single" w:color="000000" w:sz="4" w:space="0"/>
              <w:left w:val="single" w:color="000000" w:sz="4" w:space="0"/>
              <w:bottom w:val="single" w:color="000000" w:sz="4" w:space="0"/>
              <w:right w:val="single" w:color="000000" w:sz="4" w:space="0"/>
            </w:tcBorders>
            <w:vAlign w:val="center"/>
          </w:tcPr>
          <w:p w14:paraId="59FCF26A">
            <w:pPr>
              <w:widowControl/>
              <w:jc w:val="center"/>
              <w:textAlignment w:val="center"/>
              <w:rPr>
                <w:rFonts w:hint="eastAsia" w:ascii="宋体" w:hAnsi="宋体" w:cs="宋体"/>
                <w:color w:val="000000"/>
                <w:sz w:val="24"/>
                <w:szCs w:val="24"/>
              </w:rPr>
            </w:pPr>
          </w:p>
        </w:tc>
        <w:tc>
          <w:tcPr>
            <w:tcW w:w="735" w:type="dxa"/>
            <w:tcBorders>
              <w:top w:val="single" w:color="000000" w:sz="4" w:space="0"/>
              <w:left w:val="single" w:color="000000" w:sz="4" w:space="0"/>
              <w:bottom w:val="single" w:color="000000" w:sz="4" w:space="0"/>
              <w:right w:val="single" w:color="000000" w:sz="4" w:space="0"/>
            </w:tcBorders>
            <w:vAlign w:val="center"/>
          </w:tcPr>
          <w:p w14:paraId="0272EC58">
            <w:pPr>
              <w:widowControl/>
              <w:jc w:val="center"/>
              <w:textAlignment w:val="center"/>
              <w:rPr>
                <w:rFonts w:hint="eastAsia" w:ascii="宋体" w:hAnsi="宋体" w:cs="宋体"/>
                <w:color w:val="000000"/>
                <w:sz w:val="24"/>
                <w:szCs w:val="24"/>
              </w:rPr>
            </w:pPr>
          </w:p>
        </w:tc>
      </w:tr>
      <w:tr w14:paraId="54663F8B">
        <w:tblPrEx>
          <w:tblCellMar>
            <w:top w:w="0" w:type="dxa"/>
            <w:left w:w="108" w:type="dxa"/>
            <w:bottom w:w="0" w:type="dxa"/>
            <w:right w:w="108" w:type="dxa"/>
          </w:tblCellMar>
        </w:tblPrEx>
        <w:trPr>
          <w:trHeight w:val="420" w:hRule="atLeast"/>
        </w:trPr>
        <w:tc>
          <w:tcPr>
            <w:tcW w:w="673" w:type="dxa"/>
            <w:tcBorders>
              <w:top w:val="single" w:color="auto" w:sz="4" w:space="0"/>
              <w:left w:val="single" w:color="auto" w:sz="4" w:space="0"/>
              <w:bottom w:val="single" w:color="auto" w:sz="4" w:space="0"/>
              <w:right w:val="single" w:color="auto" w:sz="4" w:space="0"/>
            </w:tcBorders>
            <w:vAlign w:val="center"/>
          </w:tcPr>
          <w:p w14:paraId="6ED0C363">
            <w:pPr>
              <w:widowControl/>
              <w:jc w:val="center"/>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2</w:t>
            </w:r>
          </w:p>
        </w:tc>
        <w:tc>
          <w:tcPr>
            <w:tcW w:w="1968" w:type="dxa"/>
            <w:tcBorders>
              <w:top w:val="single" w:color="000000" w:sz="4" w:space="0"/>
              <w:left w:val="single" w:color="auto" w:sz="4" w:space="0"/>
              <w:bottom w:val="single" w:color="000000" w:sz="4" w:space="0"/>
              <w:right w:val="single" w:color="000000" w:sz="4" w:space="0"/>
            </w:tcBorders>
            <w:vAlign w:val="center"/>
          </w:tcPr>
          <w:p w14:paraId="59E4A4A0">
            <w:pPr>
              <w:widowControl/>
              <w:jc w:val="center"/>
              <w:textAlignment w:val="center"/>
              <w:rPr>
                <w:rFonts w:hint="eastAsia" w:ascii="宋体" w:hAnsi="宋体" w:cs="宋体"/>
                <w:color w:val="000000"/>
                <w:kern w:val="0"/>
                <w:sz w:val="21"/>
                <w:lang w:bidi="ar"/>
              </w:rPr>
            </w:pPr>
            <w:r>
              <w:rPr>
                <w:rFonts w:ascii="宋体" w:hAnsi="宋体" w:cs="宋体"/>
                <w:color w:val="000000"/>
                <w:kern w:val="0"/>
                <w:sz w:val="24"/>
                <w:szCs w:val="24"/>
                <w:lang w:bidi="ar"/>
              </w:rPr>
              <w:t>火化棺</w:t>
            </w:r>
            <w:r>
              <w:rPr>
                <w:rFonts w:hint="eastAsia" w:ascii="宋体" w:hAnsi="宋体" w:cs="宋体"/>
                <w:color w:val="000000"/>
                <w:kern w:val="0"/>
                <w:sz w:val="24"/>
                <w:szCs w:val="24"/>
                <w:lang w:eastAsia="zh-CN" w:bidi="ar"/>
              </w:rPr>
              <w:t>二</w:t>
            </w:r>
            <w:r>
              <w:rPr>
                <w:rFonts w:ascii="宋体" w:hAnsi="宋体" w:cs="宋体"/>
                <w:color w:val="000000"/>
                <w:kern w:val="0"/>
                <w:sz w:val="24"/>
                <w:szCs w:val="24"/>
                <w:lang w:bidi="ar"/>
              </w:rPr>
              <w:t xml:space="preserve">类 </w:t>
            </w:r>
          </w:p>
        </w:tc>
        <w:tc>
          <w:tcPr>
            <w:tcW w:w="1446" w:type="dxa"/>
            <w:tcBorders>
              <w:top w:val="single" w:color="000000" w:sz="4" w:space="0"/>
              <w:left w:val="single" w:color="000000" w:sz="4" w:space="0"/>
              <w:bottom w:val="single" w:color="000000" w:sz="4" w:space="0"/>
              <w:right w:val="single" w:color="000000" w:sz="4" w:space="0"/>
            </w:tcBorders>
            <w:vAlign w:val="center"/>
          </w:tcPr>
          <w:p w14:paraId="338C6B1D">
            <w:pPr>
              <w:jc w:val="center"/>
              <w:rPr>
                <w:rFonts w:hint="eastAsia" w:ascii="宋体" w:hAnsi="宋体" w:cs="宋体"/>
                <w:color w:val="000000"/>
                <w:kern w:val="0"/>
                <w:sz w:val="22"/>
                <w:szCs w:val="22"/>
                <w:lang w:bidi="ar"/>
              </w:rPr>
            </w:pPr>
          </w:p>
        </w:tc>
        <w:tc>
          <w:tcPr>
            <w:tcW w:w="1466" w:type="dxa"/>
            <w:tcBorders>
              <w:top w:val="single" w:color="000000" w:sz="4" w:space="0"/>
              <w:left w:val="single" w:color="000000" w:sz="4" w:space="0"/>
              <w:bottom w:val="single" w:color="000000" w:sz="4" w:space="0"/>
              <w:right w:val="single" w:color="000000" w:sz="4" w:space="0"/>
            </w:tcBorders>
            <w:vAlign w:val="center"/>
          </w:tcPr>
          <w:p w14:paraId="73A9E836">
            <w:pPr>
              <w:widowControl/>
              <w:jc w:val="center"/>
              <w:textAlignment w:val="center"/>
              <w:rPr>
                <w:rFonts w:hint="eastAsia" w:ascii="宋体" w:hAnsi="宋体" w:cs="宋体"/>
                <w:color w:val="000000"/>
                <w:kern w:val="0"/>
                <w:sz w:val="24"/>
                <w:szCs w:val="24"/>
                <w:lang w:bidi="ar"/>
              </w:rPr>
            </w:pPr>
          </w:p>
        </w:tc>
        <w:tc>
          <w:tcPr>
            <w:tcW w:w="1779" w:type="dxa"/>
            <w:tcBorders>
              <w:top w:val="single" w:color="000000" w:sz="4" w:space="0"/>
              <w:left w:val="single" w:color="000000" w:sz="4" w:space="0"/>
              <w:bottom w:val="single" w:color="000000" w:sz="4" w:space="0"/>
              <w:right w:val="single" w:color="000000" w:sz="4" w:space="0"/>
            </w:tcBorders>
            <w:vAlign w:val="center"/>
          </w:tcPr>
          <w:p w14:paraId="273B5FDE">
            <w:pPr>
              <w:widowControl/>
              <w:jc w:val="center"/>
              <w:textAlignment w:val="center"/>
              <w:rPr>
                <w:rFonts w:hint="eastAsia" w:ascii="宋体" w:hAnsi="宋体" w:cs="宋体"/>
                <w:color w:val="000000"/>
                <w:kern w:val="0"/>
                <w:sz w:val="24"/>
                <w:szCs w:val="24"/>
                <w:lang w:bidi="ar"/>
              </w:rPr>
            </w:pPr>
          </w:p>
        </w:tc>
        <w:tc>
          <w:tcPr>
            <w:tcW w:w="2349" w:type="dxa"/>
            <w:tcBorders>
              <w:top w:val="single" w:color="000000" w:sz="4" w:space="0"/>
              <w:left w:val="single" w:color="000000" w:sz="4" w:space="0"/>
              <w:bottom w:val="single" w:color="000000" w:sz="4" w:space="0"/>
              <w:right w:val="single" w:color="000000" w:sz="4" w:space="0"/>
            </w:tcBorders>
            <w:vAlign w:val="center"/>
          </w:tcPr>
          <w:p w14:paraId="4540D5F9">
            <w:pPr>
              <w:widowControl/>
              <w:jc w:val="center"/>
              <w:textAlignment w:val="center"/>
              <w:rPr>
                <w:rFonts w:hint="eastAsia" w:ascii="宋体" w:hAnsi="宋体" w:cs="宋体"/>
                <w:color w:val="000000"/>
                <w:kern w:val="0"/>
                <w:sz w:val="24"/>
                <w:szCs w:val="24"/>
                <w:lang w:bidi="ar"/>
              </w:rPr>
            </w:pPr>
          </w:p>
        </w:tc>
        <w:tc>
          <w:tcPr>
            <w:tcW w:w="2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043212">
            <w:pPr>
              <w:widowControl/>
              <w:jc w:val="center"/>
              <w:textAlignment w:val="center"/>
              <w:rPr>
                <w:rFonts w:hint="eastAsia" w:ascii="宋体" w:hAnsi="宋体" w:eastAsia="宋体" w:cs="宋体"/>
                <w:color w:val="000000"/>
                <w:kern w:val="0"/>
                <w:sz w:val="24"/>
                <w:szCs w:val="24"/>
                <w:lang w:val="en-US" w:eastAsia="zh-CN" w:bidi="ar"/>
              </w:rPr>
            </w:pPr>
            <w:r>
              <w:rPr>
                <w:rFonts w:hint="eastAsia" w:ascii="宋体" w:hAnsi="宋体" w:cs="宋体"/>
                <w:color w:val="000000"/>
                <w:kern w:val="0"/>
                <w:sz w:val="24"/>
                <w:szCs w:val="24"/>
                <w:lang w:bidi="ar"/>
              </w:rPr>
              <w:t>170</w:t>
            </w:r>
          </w:p>
        </w:tc>
        <w:tc>
          <w:tcPr>
            <w:tcW w:w="1688" w:type="dxa"/>
            <w:tcBorders>
              <w:top w:val="single" w:color="000000" w:sz="4" w:space="0"/>
              <w:left w:val="single" w:color="000000" w:sz="4" w:space="0"/>
              <w:bottom w:val="single" w:color="000000" w:sz="4" w:space="0"/>
              <w:right w:val="single" w:color="000000" w:sz="4" w:space="0"/>
            </w:tcBorders>
            <w:vAlign w:val="center"/>
          </w:tcPr>
          <w:p w14:paraId="18DD3668">
            <w:pPr>
              <w:widowControl/>
              <w:jc w:val="center"/>
              <w:textAlignment w:val="center"/>
              <w:rPr>
                <w:rFonts w:hint="eastAsia" w:ascii="宋体" w:hAnsi="宋体" w:cs="宋体"/>
                <w:color w:val="000000"/>
                <w:kern w:val="0"/>
                <w:sz w:val="24"/>
                <w:szCs w:val="24"/>
                <w:lang w:bidi="ar"/>
              </w:rPr>
            </w:pPr>
          </w:p>
        </w:tc>
        <w:tc>
          <w:tcPr>
            <w:tcW w:w="735" w:type="dxa"/>
            <w:tcBorders>
              <w:top w:val="single" w:color="000000" w:sz="4" w:space="0"/>
              <w:left w:val="single" w:color="000000" w:sz="4" w:space="0"/>
              <w:bottom w:val="single" w:color="000000" w:sz="4" w:space="0"/>
              <w:right w:val="single" w:color="000000" w:sz="4" w:space="0"/>
            </w:tcBorders>
            <w:vAlign w:val="center"/>
          </w:tcPr>
          <w:p w14:paraId="79983904">
            <w:pPr>
              <w:widowControl/>
              <w:jc w:val="center"/>
              <w:textAlignment w:val="center"/>
              <w:rPr>
                <w:rFonts w:hint="eastAsia" w:ascii="宋体" w:hAnsi="宋体" w:cs="宋体"/>
                <w:color w:val="000000"/>
                <w:kern w:val="0"/>
                <w:sz w:val="24"/>
                <w:szCs w:val="24"/>
                <w:lang w:bidi="ar"/>
              </w:rPr>
            </w:pPr>
          </w:p>
        </w:tc>
      </w:tr>
      <w:tr w14:paraId="69146DDD">
        <w:tblPrEx>
          <w:tblCellMar>
            <w:top w:w="0" w:type="dxa"/>
            <w:left w:w="108" w:type="dxa"/>
            <w:bottom w:w="0" w:type="dxa"/>
            <w:right w:w="108" w:type="dxa"/>
          </w:tblCellMar>
        </w:tblPrEx>
        <w:trPr>
          <w:trHeight w:val="437" w:hRule="atLeast"/>
        </w:trPr>
        <w:tc>
          <w:tcPr>
            <w:tcW w:w="673" w:type="dxa"/>
            <w:tcBorders>
              <w:top w:val="single" w:color="auto" w:sz="4" w:space="0"/>
              <w:left w:val="single" w:color="auto" w:sz="4" w:space="0"/>
              <w:bottom w:val="single" w:color="auto" w:sz="4" w:space="0"/>
              <w:right w:val="single" w:color="auto" w:sz="4" w:space="0"/>
            </w:tcBorders>
            <w:vAlign w:val="center"/>
          </w:tcPr>
          <w:p w14:paraId="6C8CE5FF">
            <w:pPr>
              <w:widowControl/>
              <w:jc w:val="center"/>
              <w:textAlignment w:val="center"/>
              <w:rPr>
                <w:rFonts w:hint="eastAsia" w:ascii="宋体" w:hAnsi="宋体" w:cs="宋体"/>
                <w:color w:val="000000"/>
                <w:sz w:val="22"/>
                <w:szCs w:val="22"/>
              </w:rPr>
            </w:pPr>
            <w:r>
              <w:rPr>
                <w:rFonts w:hint="eastAsia" w:ascii="宋体" w:hAnsi="宋体" w:cs="宋体"/>
                <w:color w:val="000000"/>
                <w:sz w:val="22"/>
                <w:szCs w:val="22"/>
              </w:rPr>
              <w:t>3</w:t>
            </w:r>
          </w:p>
        </w:tc>
        <w:tc>
          <w:tcPr>
            <w:tcW w:w="1968" w:type="dxa"/>
            <w:tcBorders>
              <w:top w:val="single" w:color="000000" w:sz="4" w:space="0"/>
              <w:left w:val="single" w:color="auto" w:sz="4" w:space="0"/>
              <w:bottom w:val="single" w:color="000000" w:sz="4" w:space="0"/>
              <w:right w:val="single" w:color="000000" w:sz="4" w:space="0"/>
            </w:tcBorders>
            <w:vAlign w:val="center"/>
          </w:tcPr>
          <w:p w14:paraId="7460527B">
            <w:pPr>
              <w:widowControl/>
              <w:jc w:val="center"/>
              <w:textAlignment w:val="center"/>
              <w:rPr>
                <w:rFonts w:hint="eastAsia" w:ascii="宋体" w:hAnsi="宋体" w:cs="宋体"/>
                <w:color w:val="000000"/>
                <w:kern w:val="0"/>
                <w:sz w:val="21"/>
                <w:lang w:bidi="ar"/>
              </w:rPr>
            </w:pPr>
            <w:r>
              <w:rPr>
                <w:rFonts w:ascii="宋体" w:hAnsi="宋体" w:cs="宋体"/>
                <w:color w:val="000000"/>
                <w:kern w:val="0"/>
                <w:sz w:val="24"/>
                <w:szCs w:val="24"/>
                <w:lang w:bidi="ar"/>
              </w:rPr>
              <w:t>火化棺</w:t>
            </w:r>
            <w:r>
              <w:rPr>
                <w:rFonts w:hint="eastAsia" w:ascii="宋体" w:hAnsi="宋体" w:cs="宋体"/>
                <w:color w:val="000000"/>
                <w:kern w:val="0"/>
                <w:sz w:val="24"/>
                <w:szCs w:val="24"/>
                <w:lang w:eastAsia="zh-CN" w:bidi="ar"/>
              </w:rPr>
              <w:t>三</w:t>
            </w:r>
            <w:r>
              <w:rPr>
                <w:rFonts w:ascii="宋体" w:hAnsi="宋体" w:cs="宋体"/>
                <w:color w:val="000000"/>
                <w:kern w:val="0"/>
                <w:sz w:val="24"/>
                <w:szCs w:val="24"/>
                <w:lang w:bidi="ar"/>
              </w:rPr>
              <w:t xml:space="preserve">类 </w:t>
            </w:r>
          </w:p>
        </w:tc>
        <w:tc>
          <w:tcPr>
            <w:tcW w:w="1446" w:type="dxa"/>
            <w:tcBorders>
              <w:top w:val="single" w:color="000000" w:sz="4" w:space="0"/>
              <w:left w:val="single" w:color="000000" w:sz="4" w:space="0"/>
              <w:bottom w:val="single" w:color="000000" w:sz="4" w:space="0"/>
              <w:right w:val="single" w:color="000000" w:sz="4" w:space="0"/>
            </w:tcBorders>
            <w:vAlign w:val="center"/>
          </w:tcPr>
          <w:p w14:paraId="2E4939C9">
            <w:pPr>
              <w:widowControl/>
              <w:jc w:val="center"/>
              <w:textAlignment w:val="center"/>
              <w:rPr>
                <w:rFonts w:hint="eastAsia" w:ascii="宋体" w:hAnsi="宋体" w:cs="宋体"/>
                <w:color w:val="000000"/>
                <w:sz w:val="22"/>
                <w:szCs w:val="22"/>
              </w:rPr>
            </w:pPr>
          </w:p>
        </w:tc>
        <w:tc>
          <w:tcPr>
            <w:tcW w:w="1466" w:type="dxa"/>
            <w:tcBorders>
              <w:top w:val="single" w:color="000000" w:sz="4" w:space="0"/>
              <w:left w:val="single" w:color="000000" w:sz="4" w:space="0"/>
              <w:bottom w:val="single" w:color="000000" w:sz="4" w:space="0"/>
              <w:right w:val="single" w:color="000000" w:sz="4" w:space="0"/>
            </w:tcBorders>
            <w:vAlign w:val="center"/>
          </w:tcPr>
          <w:p w14:paraId="47FEA4AA">
            <w:pPr>
              <w:widowControl/>
              <w:jc w:val="center"/>
              <w:textAlignment w:val="center"/>
              <w:rPr>
                <w:rFonts w:hint="eastAsia" w:ascii="宋体" w:hAnsi="宋体" w:cs="宋体"/>
                <w:color w:val="000000"/>
                <w:sz w:val="24"/>
                <w:szCs w:val="24"/>
              </w:rPr>
            </w:pPr>
          </w:p>
        </w:tc>
        <w:tc>
          <w:tcPr>
            <w:tcW w:w="1779" w:type="dxa"/>
            <w:tcBorders>
              <w:top w:val="single" w:color="000000" w:sz="4" w:space="0"/>
              <w:left w:val="single" w:color="000000" w:sz="4" w:space="0"/>
              <w:bottom w:val="single" w:color="000000" w:sz="4" w:space="0"/>
              <w:right w:val="single" w:color="000000" w:sz="4" w:space="0"/>
            </w:tcBorders>
            <w:vAlign w:val="center"/>
          </w:tcPr>
          <w:p w14:paraId="4B1D15A3">
            <w:pPr>
              <w:widowControl/>
              <w:jc w:val="center"/>
              <w:textAlignment w:val="center"/>
              <w:rPr>
                <w:rFonts w:hint="eastAsia" w:ascii="宋体" w:hAnsi="宋体" w:cs="宋体"/>
                <w:color w:val="000000"/>
                <w:sz w:val="24"/>
                <w:szCs w:val="24"/>
              </w:rPr>
            </w:pPr>
          </w:p>
        </w:tc>
        <w:tc>
          <w:tcPr>
            <w:tcW w:w="2349" w:type="dxa"/>
            <w:tcBorders>
              <w:top w:val="single" w:color="000000" w:sz="4" w:space="0"/>
              <w:left w:val="single" w:color="000000" w:sz="4" w:space="0"/>
              <w:bottom w:val="single" w:color="000000" w:sz="4" w:space="0"/>
              <w:right w:val="single" w:color="000000" w:sz="4" w:space="0"/>
            </w:tcBorders>
            <w:vAlign w:val="center"/>
          </w:tcPr>
          <w:p w14:paraId="4101463B">
            <w:pPr>
              <w:widowControl/>
              <w:jc w:val="center"/>
              <w:textAlignment w:val="center"/>
              <w:rPr>
                <w:rFonts w:hint="eastAsia" w:ascii="宋体" w:hAnsi="宋体" w:cs="宋体"/>
                <w:color w:val="000000"/>
                <w:sz w:val="24"/>
                <w:szCs w:val="24"/>
              </w:rPr>
            </w:pPr>
          </w:p>
        </w:tc>
        <w:tc>
          <w:tcPr>
            <w:tcW w:w="2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621F74">
            <w:pPr>
              <w:widowControl/>
              <w:jc w:val="center"/>
              <w:textAlignment w:val="center"/>
              <w:rPr>
                <w:rFonts w:hint="eastAsia" w:ascii="宋体" w:hAnsi="宋体" w:eastAsia="宋体" w:cs="宋体"/>
                <w:color w:val="000000"/>
                <w:kern w:val="2"/>
                <w:sz w:val="24"/>
                <w:szCs w:val="24"/>
                <w:lang w:val="en-US" w:eastAsia="zh-CN" w:bidi="ar-SA"/>
              </w:rPr>
            </w:pPr>
            <w:r>
              <w:rPr>
                <w:rFonts w:hint="eastAsia" w:ascii="宋体" w:hAnsi="宋体" w:cs="宋体"/>
                <w:color w:val="000000"/>
                <w:sz w:val="24"/>
                <w:szCs w:val="24"/>
              </w:rPr>
              <w:t>295</w:t>
            </w:r>
          </w:p>
        </w:tc>
        <w:tc>
          <w:tcPr>
            <w:tcW w:w="1688" w:type="dxa"/>
            <w:tcBorders>
              <w:top w:val="single" w:color="000000" w:sz="4" w:space="0"/>
              <w:left w:val="single" w:color="000000" w:sz="4" w:space="0"/>
              <w:bottom w:val="single" w:color="000000" w:sz="4" w:space="0"/>
              <w:right w:val="single" w:color="000000" w:sz="4" w:space="0"/>
            </w:tcBorders>
            <w:vAlign w:val="center"/>
          </w:tcPr>
          <w:p w14:paraId="1FC82558">
            <w:pPr>
              <w:widowControl/>
              <w:jc w:val="center"/>
              <w:textAlignment w:val="center"/>
              <w:rPr>
                <w:rFonts w:hint="eastAsia" w:ascii="宋体" w:hAnsi="宋体" w:cs="宋体"/>
                <w:color w:val="000000"/>
                <w:sz w:val="24"/>
                <w:szCs w:val="24"/>
              </w:rPr>
            </w:pPr>
          </w:p>
        </w:tc>
        <w:tc>
          <w:tcPr>
            <w:tcW w:w="735" w:type="dxa"/>
            <w:tcBorders>
              <w:top w:val="single" w:color="000000" w:sz="4" w:space="0"/>
              <w:left w:val="single" w:color="000000" w:sz="4" w:space="0"/>
              <w:bottom w:val="single" w:color="000000" w:sz="4" w:space="0"/>
              <w:right w:val="single" w:color="000000" w:sz="4" w:space="0"/>
            </w:tcBorders>
            <w:vAlign w:val="center"/>
          </w:tcPr>
          <w:p w14:paraId="3CB47E21">
            <w:pPr>
              <w:widowControl/>
              <w:jc w:val="center"/>
              <w:textAlignment w:val="center"/>
              <w:rPr>
                <w:rFonts w:hint="eastAsia" w:ascii="宋体" w:hAnsi="宋体" w:cs="宋体"/>
                <w:color w:val="000000"/>
                <w:sz w:val="24"/>
                <w:szCs w:val="24"/>
              </w:rPr>
            </w:pPr>
          </w:p>
        </w:tc>
      </w:tr>
      <w:tr w14:paraId="133ACCDC">
        <w:tblPrEx>
          <w:tblCellMar>
            <w:top w:w="0" w:type="dxa"/>
            <w:left w:w="108" w:type="dxa"/>
            <w:bottom w:w="0" w:type="dxa"/>
            <w:right w:w="108" w:type="dxa"/>
          </w:tblCellMar>
        </w:tblPrEx>
        <w:trPr>
          <w:trHeight w:val="426" w:hRule="atLeast"/>
        </w:trPr>
        <w:tc>
          <w:tcPr>
            <w:tcW w:w="673" w:type="dxa"/>
            <w:tcBorders>
              <w:top w:val="single" w:color="auto" w:sz="4" w:space="0"/>
              <w:left w:val="single" w:color="auto" w:sz="4" w:space="0"/>
              <w:bottom w:val="single" w:color="auto" w:sz="4" w:space="0"/>
              <w:right w:val="single" w:color="auto" w:sz="4" w:space="0"/>
            </w:tcBorders>
            <w:vAlign w:val="center"/>
          </w:tcPr>
          <w:p w14:paraId="08B57DA8">
            <w:pPr>
              <w:widowControl/>
              <w:jc w:val="center"/>
              <w:textAlignment w:val="center"/>
              <w:rPr>
                <w:rFonts w:hint="eastAsia" w:ascii="宋体" w:hAnsi="宋体" w:cs="宋体"/>
                <w:color w:val="000000"/>
                <w:sz w:val="22"/>
                <w:szCs w:val="22"/>
              </w:rPr>
            </w:pPr>
            <w:r>
              <w:rPr>
                <w:rFonts w:hint="eastAsia" w:ascii="宋体" w:hAnsi="宋体" w:cs="宋体"/>
                <w:color w:val="000000"/>
                <w:sz w:val="22"/>
                <w:szCs w:val="22"/>
              </w:rPr>
              <w:t>4</w:t>
            </w:r>
          </w:p>
        </w:tc>
        <w:tc>
          <w:tcPr>
            <w:tcW w:w="1968" w:type="dxa"/>
            <w:tcBorders>
              <w:top w:val="single" w:color="000000" w:sz="4" w:space="0"/>
              <w:left w:val="single" w:color="auto" w:sz="4" w:space="0"/>
              <w:bottom w:val="single" w:color="000000" w:sz="4" w:space="0"/>
              <w:right w:val="single" w:color="000000" w:sz="4" w:space="0"/>
            </w:tcBorders>
            <w:vAlign w:val="center"/>
          </w:tcPr>
          <w:p w14:paraId="35A24D67">
            <w:pPr>
              <w:widowControl/>
              <w:jc w:val="center"/>
              <w:textAlignment w:val="center"/>
              <w:rPr>
                <w:rFonts w:hint="eastAsia" w:ascii="宋体" w:hAnsi="宋体" w:cs="宋体"/>
                <w:color w:val="000000"/>
                <w:kern w:val="0"/>
                <w:sz w:val="21"/>
                <w:lang w:bidi="ar"/>
              </w:rPr>
            </w:pPr>
            <w:r>
              <w:rPr>
                <w:rFonts w:ascii="宋体" w:hAnsi="宋体" w:cs="宋体"/>
                <w:color w:val="000000"/>
                <w:kern w:val="0"/>
                <w:sz w:val="24"/>
                <w:szCs w:val="24"/>
                <w:lang w:bidi="ar"/>
              </w:rPr>
              <w:t>火化棺</w:t>
            </w:r>
            <w:r>
              <w:rPr>
                <w:rFonts w:hint="eastAsia" w:ascii="宋体" w:hAnsi="宋体" w:cs="宋体"/>
                <w:color w:val="000000"/>
                <w:kern w:val="0"/>
                <w:sz w:val="24"/>
                <w:szCs w:val="24"/>
                <w:lang w:eastAsia="zh-CN" w:bidi="ar"/>
              </w:rPr>
              <w:t>四</w:t>
            </w:r>
            <w:r>
              <w:rPr>
                <w:rFonts w:ascii="宋体" w:hAnsi="宋体" w:cs="宋体"/>
                <w:color w:val="000000"/>
                <w:kern w:val="0"/>
                <w:sz w:val="24"/>
                <w:szCs w:val="24"/>
                <w:lang w:bidi="ar"/>
              </w:rPr>
              <w:t xml:space="preserve">类 </w:t>
            </w:r>
          </w:p>
        </w:tc>
        <w:tc>
          <w:tcPr>
            <w:tcW w:w="1446" w:type="dxa"/>
            <w:tcBorders>
              <w:top w:val="single" w:color="000000" w:sz="4" w:space="0"/>
              <w:left w:val="single" w:color="000000" w:sz="4" w:space="0"/>
              <w:bottom w:val="single" w:color="000000" w:sz="4" w:space="0"/>
              <w:right w:val="single" w:color="000000" w:sz="4" w:space="0"/>
            </w:tcBorders>
            <w:vAlign w:val="center"/>
          </w:tcPr>
          <w:p w14:paraId="2E804B2D">
            <w:pPr>
              <w:widowControl/>
              <w:jc w:val="center"/>
              <w:textAlignment w:val="center"/>
              <w:rPr>
                <w:rFonts w:hint="eastAsia" w:ascii="宋体" w:hAnsi="宋体" w:cs="宋体"/>
                <w:color w:val="000000"/>
                <w:kern w:val="0"/>
                <w:sz w:val="22"/>
                <w:szCs w:val="22"/>
                <w:lang w:bidi="ar"/>
              </w:rPr>
            </w:pPr>
          </w:p>
        </w:tc>
        <w:tc>
          <w:tcPr>
            <w:tcW w:w="1466" w:type="dxa"/>
            <w:tcBorders>
              <w:top w:val="single" w:color="000000" w:sz="4" w:space="0"/>
              <w:left w:val="single" w:color="000000" w:sz="4" w:space="0"/>
              <w:bottom w:val="single" w:color="000000" w:sz="4" w:space="0"/>
              <w:right w:val="single" w:color="000000" w:sz="4" w:space="0"/>
            </w:tcBorders>
            <w:vAlign w:val="center"/>
          </w:tcPr>
          <w:p w14:paraId="056C85B0">
            <w:pPr>
              <w:widowControl/>
              <w:jc w:val="center"/>
              <w:textAlignment w:val="center"/>
              <w:rPr>
                <w:rFonts w:hint="eastAsia" w:ascii="宋体" w:hAnsi="宋体" w:cs="宋体"/>
                <w:color w:val="000000"/>
                <w:kern w:val="0"/>
                <w:sz w:val="24"/>
                <w:szCs w:val="24"/>
                <w:lang w:bidi="ar"/>
              </w:rPr>
            </w:pPr>
          </w:p>
        </w:tc>
        <w:tc>
          <w:tcPr>
            <w:tcW w:w="1779" w:type="dxa"/>
            <w:tcBorders>
              <w:top w:val="single" w:color="000000" w:sz="4" w:space="0"/>
              <w:left w:val="single" w:color="000000" w:sz="4" w:space="0"/>
              <w:bottom w:val="single" w:color="000000" w:sz="4" w:space="0"/>
              <w:right w:val="single" w:color="000000" w:sz="4" w:space="0"/>
            </w:tcBorders>
            <w:vAlign w:val="center"/>
          </w:tcPr>
          <w:p w14:paraId="7C9A873E">
            <w:pPr>
              <w:widowControl/>
              <w:jc w:val="center"/>
              <w:textAlignment w:val="center"/>
              <w:rPr>
                <w:rFonts w:hint="eastAsia" w:ascii="宋体" w:hAnsi="宋体" w:cs="宋体"/>
                <w:color w:val="000000"/>
                <w:kern w:val="0"/>
                <w:sz w:val="24"/>
                <w:szCs w:val="24"/>
                <w:lang w:bidi="ar"/>
              </w:rPr>
            </w:pPr>
          </w:p>
        </w:tc>
        <w:tc>
          <w:tcPr>
            <w:tcW w:w="2349" w:type="dxa"/>
            <w:tcBorders>
              <w:top w:val="single" w:color="000000" w:sz="4" w:space="0"/>
              <w:left w:val="single" w:color="000000" w:sz="4" w:space="0"/>
              <w:bottom w:val="single" w:color="000000" w:sz="4" w:space="0"/>
              <w:right w:val="single" w:color="000000" w:sz="4" w:space="0"/>
            </w:tcBorders>
            <w:vAlign w:val="center"/>
          </w:tcPr>
          <w:p w14:paraId="11239A88">
            <w:pPr>
              <w:widowControl/>
              <w:jc w:val="center"/>
              <w:textAlignment w:val="center"/>
              <w:rPr>
                <w:rFonts w:hint="eastAsia" w:ascii="宋体" w:hAnsi="宋体" w:cs="宋体"/>
                <w:color w:val="000000"/>
                <w:kern w:val="0"/>
                <w:sz w:val="24"/>
                <w:szCs w:val="24"/>
                <w:lang w:bidi="ar"/>
              </w:rPr>
            </w:pPr>
          </w:p>
        </w:tc>
        <w:tc>
          <w:tcPr>
            <w:tcW w:w="2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5C9EF0">
            <w:pPr>
              <w:widowControl/>
              <w:jc w:val="center"/>
              <w:textAlignment w:val="center"/>
              <w:rPr>
                <w:rFonts w:hint="eastAsia" w:ascii="宋体" w:hAnsi="宋体" w:eastAsia="宋体" w:cs="宋体"/>
                <w:color w:val="000000"/>
                <w:kern w:val="0"/>
                <w:sz w:val="24"/>
                <w:szCs w:val="24"/>
                <w:lang w:val="en-US" w:eastAsia="zh-CN" w:bidi="ar"/>
              </w:rPr>
            </w:pPr>
            <w:r>
              <w:rPr>
                <w:rFonts w:hint="eastAsia" w:ascii="宋体" w:hAnsi="宋体" w:cs="宋体"/>
                <w:color w:val="000000"/>
                <w:kern w:val="0"/>
                <w:sz w:val="24"/>
                <w:szCs w:val="24"/>
                <w:lang w:bidi="ar"/>
              </w:rPr>
              <w:t>350</w:t>
            </w:r>
          </w:p>
        </w:tc>
        <w:tc>
          <w:tcPr>
            <w:tcW w:w="1688" w:type="dxa"/>
            <w:tcBorders>
              <w:top w:val="single" w:color="000000" w:sz="4" w:space="0"/>
              <w:left w:val="single" w:color="000000" w:sz="4" w:space="0"/>
              <w:bottom w:val="single" w:color="000000" w:sz="4" w:space="0"/>
              <w:right w:val="single" w:color="000000" w:sz="4" w:space="0"/>
            </w:tcBorders>
            <w:vAlign w:val="center"/>
          </w:tcPr>
          <w:p w14:paraId="5415BCB2">
            <w:pPr>
              <w:widowControl/>
              <w:jc w:val="center"/>
              <w:textAlignment w:val="center"/>
              <w:rPr>
                <w:rFonts w:hint="eastAsia" w:ascii="宋体" w:hAnsi="宋体" w:cs="宋体"/>
                <w:color w:val="000000"/>
                <w:kern w:val="0"/>
                <w:sz w:val="24"/>
                <w:szCs w:val="24"/>
                <w:lang w:bidi="ar"/>
              </w:rPr>
            </w:pPr>
          </w:p>
        </w:tc>
        <w:tc>
          <w:tcPr>
            <w:tcW w:w="735" w:type="dxa"/>
            <w:tcBorders>
              <w:top w:val="single" w:color="000000" w:sz="4" w:space="0"/>
              <w:left w:val="single" w:color="000000" w:sz="4" w:space="0"/>
              <w:bottom w:val="single" w:color="000000" w:sz="4" w:space="0"/>
              <w:right w:val="single" w:color="000000" w:sz="4" w:space="0"/>
            </w:tcBorders>
            <w:vAlign w:val="center"/>
          </w:tcPr>
          <w:p w14:paraId="18390890">
            <w:pPr>
              <w:widowControl/>
              <w:jc w:val="center"/>
              <w:textAlignment w:val="center"/>
              <w:rPr>
                <w:rFonts w:hint="eastAsia" w:ascii="宋体" w:hAnsi="宋体" w:cs="宋体"/>
                <w:color w:val="000000"/>
                <w:kern w:val="0"/>
                <w:sz w:val="24"/>
                <w:szCs w:val="24"/>
                <w:lang w:bidi="ar"/>
              </w:rPr>
            </w:pPr>
          </w:p>
        </w:tc>
      </w:tr>
      <w:tr w14:paraId="2727A79F">
        <w:tblPrEx>
          <w:tblCellMar>
            <w:top w:w="0" w:type="dxa"/>
            <w:left w:w="108" w:type="dxa"/>
            <w:bottom w:w="0" w:type="dxa"/>
            <w:right w:w="108" w:type="dxa"/>
          </w:tblCellMar>
        </w:tblPrEx>
        <w:trPr>
          <w:trHeight w:val="382" w:hRule="atLeast"/>
        </w:trPr>
        <w:tc>
          <w:tcPr>
            <w:tcW w:w="673" w:type="dxa"/>
            <w:tcBorders>
              <w:top w:val="single" w:color="auto" w:sz="4" w:space="0"/>
              <w:left w:val="single" w:color="auto" w:sz="4" w:space="0"/>
              <w:bottom w:val="single" w:color="auto" w:sz="4" w:space="0"/>
              <w:right w:val="single" w:color="auto" w:sz="4" w:space="0"/>
            </w:tcBorders>
            <w:vAlign w:val="center"/>
          </w:tcPr>
          <w:p w14:paraId="5FB7117D">
            <w:pPr>
              <w:widowControl/>
              <w:jc w:val="center"/>
              <w:textAlignment w:val="center"/>
              <w:rPr>
                <w:rFonts w:hint="eastAsia" w:ascii="宋体" w:hAnsi="宋体" w:cs="宋体"/>
                <w:color w:val="000000"/>
                <w:sz w:val="22"/>
                <w:szCs w:val="22"/>
              </w:rPr>
            </w:pPr>
            <w:r>
              <w:rPr>
                <w:rFonts w:hint="eastAsia" w:ascii="宋体" w:hAnsi="宋体" w:cs="宋体"/>
                <w:color w:val="000000"/>
                <w:sz w:val="22"/>
                <w:szCs w:val="22"/>
              </w:rPr>
              <w:t>5</w:t>
            </w:r>
          </w:p>
        </w:tc>
        <w:tc>
          <w:tcPr>
            <w:tcW w:w="1968" w:type="dxa"/>
            <w:tcBorders>
              <w:top w:val="single" w:color="000000" w:sz="4" w:space="0"/>
              <w:left w:val="single" w:color="auto" w:sz="4" w:space="0"/>
              <w:bottom w:val="single" w:color="000000" w:sz="4" w:space="0"/>
              <w:right w:val="single" w:color="000000" w:sz="4" w:space="0"/>
            </w:tcBorders>
            <w:vAlign w:val="center"/>
          </w:tcPr>
          <w:p w14:paraId="0D26DDFA">
            <w:pPr>
              <w:widowControl/>
              <w:jc w:val="center"/>
              <w:textAlignment w:val="center"/>
              <w:rPr>
                <w:rFonts w:hint="eastAsia" w:ascii="宋体" w:hAnsi="宋体" w:cs="宋体"/>
                <w:color w:val="000000"/>
                <w:kern w:val="0"/>
                <w:sz w:val="21"/>
                <w:lang w:bidi="ar"/>
              </w:rPr>
            </w:pPr>
            <w:r>
              <w:rPr>
                <w:rFonts w:ascii="宋体" w:hAnsi="宋体" w:cs="宋体"/>
                <w:color w:val="000000"/>
                <w:kern w:val="0"/>
                <w:sz w:val="24"/>
                <w:szCs w:val="24"/>
                <w:lang w:bidi="ar"/>
              </w:rPr>
              <w:t>火化棺</w:t>
            </w:r>
            <w:r>
              <w:rPr>
                <w:rFonts w:hint="eastAsia" w:ascii="宋体" w:hAnsi="宋体" w:cs="宋体"/>
                <w:color w:val="000000"/>
                <w:kern w:val="0"/>
                <w:sz w:val="24"/>
                <w:szCs w:val="24"/>
                <w:lang w:eastAsia="zh-CN" w:bidi="ar"/>
              </w:rPr>
              <w:t>五</w:t>
            </w:r>
            <w:r>
              <w:rPr>
                <w:rFonts w:ascii="宋体" w:hAnsi="宋体" w:cs="宋体"/>
                <w:color w:val="000000"/>
                <w:kern w:val="0"/>
                <w:sz w:val="24"/>
                <w:szCs w:val="24"/>
                <w:lang w:bidi="ar"/>
              </w:rPr>
              <w:t>类</w:t>
            </w:r>
          </w:p>
        </w:tc>
        <w:tc>
          <w:tcPr>
            <w:tcW w:w="1446" w:type="dxa"/>
            <w:tcBorders>
              <w:top w:val="single" w:color="000000" w:sz="4" w:space="0"/>
              <w:left w:val="single" w:color="000000" w:sz="4" w:space="0"/>
              <w:bottom w:val="single" w:color="000000" w:sz="4" w:space="0"/>
              <w:right w:val="single" w:color="000000" w:sz="4" w:space="0"/>
            </w:tcBorders>
            <w:vAlign w:val="center"/>
          </w:tcPr>
          <w:p w14:paraId="271E7313">
            <w:pPr>
              <w:widowControl/>
              <w:jc w:val="center"/>
              <w:textAlignment w:val="center"/>
              <w:rPr>
                <w:rFonts w:hint="eastAsia" w:ascii="宋体" w:hAnsi="宋体" w:cs="宋体"/>
                <w:color w:val="000000"/>
                <w:sz w:val="22"/>
                <w:szCs w:val="22"/>
              </w:rPr>
            </w:pPr>
          </w:p>
        </w:tc>
        <w:tc>
          <w:tcPr>
            <w:tcW w:w="1466" w:type="dxa"/>
            <w:tcBorders>
              <w:top w:val="single" w:color="000000" w:sz="4" w:space="0"/>
              <w:left w:val="single" w:color="000000" w:sz="4" w:space="0"/>
              <w:bottom w:val="single" w:color="000000" w:sz="4" w:space="0"/>
              <w:right w:val="single" w:color="000000" w:sz="4" w:space="0"/>
            </w:tcBorders>
            <w:vAlign w:val="center"/>
          </w:tcPr>
          <w:p w14:paraId="3EBCF1E0">
            <w:pPr>
              <w:widowControl/>
              <w:jc w:val="center"/>
              <w:textAlignment w:val="center"/>
              <w:rPr>
                <w:rFonts w:hint="eastAsia" w:ascii="宋体" w:hAnsi="宋体" w:cs="宋体"/>
                <w:color w:val="000000"/>
                <w:sz w:val="24"/>
                <w:szCs w:val="24"/>
              </w:rPr>
            </w:pPr>
          </w:p>
        </w:tc>
        <w:tc>
          <w:tcPr>
            <w:tcW w:w="1779" w:type="dxa"/>
            <w:tcBorders>
              <w:top w:val="single" w:color="000000" w:sz="4" w:space="0"/>
              <w:left w:val="single" w:color="000000" w:sz="4" w:space="0"/>
              <w:bottom w:val="single" w:color="000000" w:sz="4" w:space="0"/>
              <w:right w:val="single" w:color="000000" w:sz="4" w:space="0"/>
            </w:tcBorders>
            <w:vAlign w:val="center"/>
          </w:tcPr>
          <w:p w14:paraId="4FB4DD58">
            <w:pPr>
              <w:widowControl/>
              <w:jc w:val="center"/>
              <w:textAlignment w:val="center"/>
              <w:rPr>
                <w:rFonts w:hint="eastAsia" w:ascii="宋体" w:hAnsi="宋体" w:cs="宋体"/>
                <w:color w:val="000000"/>
                <w:sz w:val="24"/>
                <w:szCs w:val="24"/>
              </w:rPr>
            </w:pPr>
          </w:p>
        </w:tc>
        <w:tc>
          <w:tcPr>
            <w:tcW w:w="2349" w:type="dxa"/>
            <w:tcBorders>
              <w:top w:val="single" w:color="000000" w:sz="4" w:space="0"/>
              <w:left w:val="single" w:color="000000" w:sz="4" w:space="0"/>
              <w:bottom w:val="single" w:color="000000" w:sz="4" w:space="0"/>
              <w:right w:val="single" w:color="000000" w:sz="4" w:space="0"/>
            </w:tcBorders>
            <w:vAlign w:val="center"/>
          </w:tcPr>
          <w:p w14:paraId="74289683">
            <w:pPr>
              <w:widowControl/>
              <w:jc w:val="center"/>
              <w:textAlignment w:val="center"/>
              <w:rPr>
                <w:rFonts w:hint="eastAsia" w:ascii="宋体" w:hAnsi="宋体" w:cs="宋体"/>
                <w:color w:val="000000"/>
                <w:sz w:val="24"/>
                <w:szCs w:val="24"/>
              </w:rPr>
            </w:pPr>
          </w:p>
        </w:tc>
        <w:tc>
          <w:tcPr>
            <w:tcW w:w="2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92F7BF">
            <w:pPr>
              <w:widowControl/>
              <w:jc w:val="center"/>
              <w:textAlignment w:val="center"/>
              <w:rPr>
                <w:rFonts w:hint="eastAsia" w:ascii="宋体" w:hAnsi="宋体" w:eastAsia="宋体" w:cs="宋体"/>
                <w:color w:val="000000"/>
                <w:kern w:val="2"/>
                <w:sz w:val="24"/>
                <w:szCs w:val="24"/>
                <w:lang w:val="en-US" w:eastAsia="zh-CN" w:bidi="ar-SA"/>
              </w:rPr>
            </w:pPr>
            <w:r>
              <w:rPr>
                <w:rFonts w:hint="eastAsia" w:ascii="宋体" w:hAnsi="宋体" w:cs="宋体"/>
                <w:color w:val="000000"/>
                <w:sz w:val="24"/>
                <w:szCs w:val="24"/>
              </w:rPr>
              <w:t>395</w:t>
            </w:r>
          </w:p>
        </w:tc>
        <w:tc>
          <w:tcPr>
            <w:tcW w:w="1688" w:type="dxa"/>
            <w:tcBorders>
              <w:top w:val="single" w:color="000000" w:sz="4" w:space="0"/>
              <w:left w:val="single" w:color="000000" w:sz="4" w:space="0"/>
              <w:bottom w:val="single" w:color="000000" w:sz="4" w:space="0"/>
              <w:right w:val="single" w:color="000000" w:sz="4" w:space="0"/>
            </w:tcBorders>
            <w:vAlign w:val="center"/>
          </w:tcPr>
          <w:p w14:paraId="1B79E332">
            <w:pPr>
              <w:widowControl/>
              <w:jc w:val="center"/>
              <w:textAlignment w:val="center"/>
              <w:rPr>
                <w:rFonts w:hint="eastAsia" w:ascii="宋体" w:hAnsi="宋体" w:cs="宋体"/>
                <w:color w:val="000000"/>
                <w:sz w:val="24"/>
                <w:szCs w:val="24"/>
              </w:rPr>
            </w:pPr>
          </w:p>
        </w:tc>
        <w:tc>
          <w:tcPr>
            <w:tcW w:w="735" w:type="dxa"/>
            <w:tcBorders>
              <w:top w:val="single" w:color="000000" w:sz="4" w:space="0"/>
              <w:left w:val="single" w:color="000000" w:sz="4" w:space="0"/>
              <w:bottom w:val="single" w:color="000000" w:sz="4" w:space="0"/>
              <w:right w:val="single" w:color="000000" w:sz="4" w:space="0"/>
            </w:tcBorders>
            <w:vAlign w:val="center"/>
          </w:tcPr>
          <w:p w14:paraId="4A5DB76F">
            <w:pPr>
              <w:widowControl/>
              <w:jc w:val="center"/>
              <w:textAlignment w:val="center"/>
              <w:rPr>
                <w:rFonts w:hint="eastAsia" w:ascii="宋体" w:hAnsi="宋体" w:cs="宋体"/>
                <w:color w:val="000000"/>
                <w:sz w:val="24"/>
                <w:szCs w:val="24"/>
              </w:rPr>
            </w:pPr>
          </w:p>
        </w:tc>
      </w:tr>
      <w:tr w14:paraId="54096B1B">
        <w:tblPrEx>
          <w:tblCellMar>
            <w:top w:w="0" w:type="dxa"/>
            <w:left w:w="108" w:type="dxa"/>
            <w:bottom w:w="0" w:type="dxa"/>
            <w:right w:w="108" w:type="dxa"/>
          </w:tblCellMar>
        </w:tblPrEx>
        <w:trPr>
          <w:trHeight w:val="407" w:hRule="atLeast"/>
        </w:trPr>
        <w:tc>
          <w:tcPr>
            <w:tcW w:w="673" w:type="dxa"/>
            <w:tcBorders>
              <w:top w:val="single" w:color="auto" w:sz="4" w:space="0"/>
              <w:left w:val="single" w:color="auto" w:sz="4" w:space="0"/>
              <w:bottom w:val="single" w:color="auto" w:sz="4" w:space="0"/>
              <w:right w:val="single" w:color="auto" w:sz="4" w:space="0"/>
            </w:tcBorders>
            <w:vAlign w:val="center"/>
          </w:tcPr>
          <w:p w14:paraId="6C317DA3">
            <w:pPr>
              <w:widowControl/>
              <w:jc w:val="center"/>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6</w:t>
            </w:r>
          </w:p>
        </w:tc>
        <w:tc>
          <w:tcPr>
            <w:tcW w:w="1968" w:type="dxa"/>
            <w:tcBorders>
              <w:top w:val="single" w:color="000000" w:sz="4" w:space="0"/>
              <w:left w:val="single" w:color="auto" w:sz="4" w:space="0"/>
              <w:bottom w:val="single" w:color="000000" w:sz="4" w:space="0"/>
              <w:right w:val="single" w:color="000000" w:sz="4" w:space="0"/>
            </w:tcBorders>
            <w:vAlign w:val="center"/>
          </w:tcPr>
          <w:p w14:paraId="41ADB9A5">
            <w:pPr>
              <w:widowControl/>
              <w:jc w:val="center"/>
              <w:textAlignment w:val="center"/>
              <w:rPr>
                <w:rFonts w:hint="eastAsia" w:ascii="宋体" w:hAnsi="宋体" w:cs="宋体"/>
                <w:color w:val="000000"/>
                <w:kern w:val="0"/>
                <w:sz w:val="21"/>
                <w:lang w:bidi="ar"/>
              </w:rPr>
            </w:pPr>
            <w:r>
              <w:rPr>
                <w:rFonts w:ascii="宋体" w:hAnsi="宋体" w:cs="宋体"/>
                <w:color w:val="000000"/>
                <w:kern w:val="0"/>
                <w:sz w:val="24"/>
                <w:szCs w:val="24"/>
                <w:lang w:bidi="ar"/>
              </w:rPr>
              <w:t>火化棺</w:t>
            </w:r>
            <w:r>
              <w:rPr>
                <w:rFonts w:hint="eastAsia" w:ascii="宋体" w:hAnsi="宋体" w:cs="宋体"/>
                <w:color w:val="000000"/>
                <w:kern w:val="0"/>
                <w:sz w:val="24"/>
                <w:szCs w:val="24"/>
                <w:lang w:eastAsia="zh-CN" w:bidi="ar"/>
              </w:rPr>
              <w:t>六</w:t>
            </w:r>
            <w:r>
              <w:rPr>
                <w:rFonts w:ascii="宋体" w:hAnsi="宋体" w:cs="宋体"/>
                <w:color w:val="000000"/>
                <w:kern w:val="0"/>
                <w:sz w:val="24"/>
                <w:szCs w:val="24"/>
                <w:lang w:bidi="ar"/>
              </w:rPr>
              <w:t>类</w:t>
            </w:r>
          </w:p>
        </w:tc>
        <w:tc>
          <w:tcPr>
            <w:tcW w:w="1446" w:type="dxa"/>
            <w:tcBorders>
              <w:top w:val="single" w:color="000000" w:sz="4" w:space="0"/>
              <w:left w:val="single" w:color="000000" w:sz="4" w:space="0"/>
              <w:bottom w:val="single" w:color="000000" w:sz="4" w:space="0"/>
              <w:right w:val="single" w:color="000000" w:sz="4" w:space="0"/>
            </w:tcBorders>
            <w:vAlign w:val="center"/>
          </w:tcPr>
          <w:p w14:paraId="40B7CA47">
            <w:pPr>
              <w:widowControl/>
              <w:jc w:val="center"/>
              <w:textAlignment w:val="center"/>
              <w:rPr>
                <w:rFonts w:hint="eastAsia" w:ascii="宋体" w:hAnsi="宋体" w:cs="宋体"/>
                <w:color w:val="000000"/>
                <w:sz w:val="22"/>
                <w:szCs w:val="22"/>
              </w:rPr>
            </w:pPr>
          </w:p>
        </w:tc>
        <w:tc>
          <w:tcPr>
            <w:tcW w:w="1466" w:type="dxa"/>
            <w:tcBorders>
              <w:top w:val="single" w:color="000000" w:sz="4" w:space="0"/>
              <w:left w:val="single" w:color="000000" w:sz="4" w:space="0"/>
              <w:bottom w:val="single" w:color="000000" w:sz="4" w:space="0"/>
              <w:right w:val="single" w:color="000000" w:sz="4" w:space="0"/>
            </w:tcBorders>
            <w:vAlign w:val="center"/>
          </w:tcPr>
          <w:p w14:paraId="28151FB8">
            <w:pPr>
              <w:widowControl/>
              <w:jc w:val="center"/>
              <w:textAlignment w:val="center"/>
              <w:rPr>
                <w:rFonts w:hint="eastAsia" w:ascii="宋体" w:hAnsi="宋体" w:cs="宋体"/>
                <w:color w:val="000000"/>
                <w:sz w:val="24"/>
                <w:szCs w:val="24"/>
              </w:rPr>
            </w:pPr>
          </w:p>
        </w:tc>
        <w:tc>
          <w:tcPr>
            <w:tcW w:w="1779" w:type="dxa"/>
            <w:tcBorders>
              <w:top w:val="single" w:color="000000" w:sz="4" w:space="0"/>
              <w:left w:val="single" w:color="000000" w:sz="4" w:space="0"/>
              <w:bottom w:val="single" w:color="000000" w:sz="4" w:space="0"/>
              <w:right w:val="single" w:color="000000" w:sz="4" w:space="0"/>
            </w:tcBorders>
            <w:vAlign w:val="center"/>
          </w:tcPr>
          <w:p w14:paraId="26FC528E">
            <w:pPr>
              <w:widowControl/>
              <w:jc w:val="center"/>
              <w:textAlignment w:val="center"/>
              <w:rPr>
                <w:rFonts w:hint="eastAsia" w:ascii="宋体" w:hAnsi="宋体" w:cs="宋体"/>
                <w:color w:val="000000"/>
                <w:sz w:val="24"/>
                <w:szCs w:val="24"/>
              </w:rPr>
            </w:pPr>
          </w:p>
        </w:tc>
        <w:tc>
          <w:tcPr>
            <w:tcW w:w="2349" w:type="dxa"/>
            <w:tcBorders>
              <w:top w:val="single" w:color="000000" w:sz="4" w:space="0"/>
              <w:left w:val="single" w:color="000000" w:sz="4" w:space="0"/>
              <w:bottom w:val="single" w:color="000000" w:sz="4" w:space="0"/>
              <w:right w:val="single" w:color="000000" w:sz="4" w:space="0"/>
            </w:tcBorders>
            <w:vAlign w:val="center"/>
          </w:tcPr>
          <w:p w14:paraId="0B4C94B3">
            <w:pPr>
              <w:widowControl/>
              <w:jc w:val="center"/>
              <w:textAlignment w:val="center"/>
              <w:rPr>
                <w:rFonts w:hint="eastAsia" w:ascii="宋体" w:hAnsi="宋体" w:cs="宋体"/>
                <w:color w:val="000000"/>
                <w:sz w:val="24"/>
                <w:szCs w:val="24"/>
              </w:rPr>
            </w:pPr>
          </w:p>
        </w:tc>
        <w:tc>
          <w:tcPr>
            <w:tcW w:w="2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039ECD">
            <w:pPr>
              <w:widowControl/>
              <w:jc w:val="center"/>
              <w:textAlignment w:val="center"/>
              <w:rPr>
                <w:rFonts w:hint="eastAsia" w:ascii="宋体" w:hAnsi="宋体" w:eastAsia="宋体" w:cs="宋体"/>
                <w:color w:val="000000"/>
                <w:kern w:val="2"/>
                <w:sz w:val="24"/>
                <w:szCs w:val="24"/>
                <w:lang w:val="en-US" w:eastAsia="zh-CN" w:bidi="ar-SA"/>
              </w:rPr>
            </w:pPr>
            <w:r>
              <w:rPr>
                <w:rFonts w:hint="eastAsia" w:ascii="宋体" w:hAnsi="宋体" w:cs="宋体"/>
                <w:color w:val="000000"/>
                <w:sz w:val="24"/>
                <w:szCs w:val="24"/>
              </w:rPr>
              <w:t>435</w:t>
            </w:r>
          </w:p>
        </w:tc>
        <w:tc>
          <w:tcPr>
            <w:tcW w:w="1688" w:type="dxa"/>
            <w:tcBorders>
              <w:top w:val="single" w:color="000000" w:sz="4" w:space="0"/>
              <w:left w:val="single" w:color="000000" w:sz="4" w:space="0"/>
              <w:bottom w:val="single" w:color="000000" w:sz="4" w:space="0"/>
              <w:right w:val="single" w:color="000000" w:sz="4" w:space="0"/>
            </w:tcBorders>
            <w:vAlign w:val="center"/>
          </w:tcPr>
          <w:p w14:paraId="4C7816D3">
            <w:pPr>
              <w:widowControl/>
              <w:jc w:val="center"/>
              <w:textAlignment w:val="center"/>
              <w:rPr>
                <w:rFonts w:hint="eastAsia" w:ascii="宋体" w:hAnsi="宋体" w:cs="宋体"/>
                <w:color w:val="000000"/>
                <w:sz w:val="24"/>
                <w:szCs w:val="24"/>
              </w:rPr>
            </w:pPr>
          </w:p>
        </w:tc>
        <w:tc>
          <w:tcPr>
            <w:tcW w:w="735" w:type="dxa"/>
            <w:tcBorders>
              <w:top w:val="single" w:color="000000" w:sz="4" w:space="0"/>
              <w:left w:val="single" w:color="000000" w:sz="4" w:space="0"/>
              <w:bottom w:val="single" w:color="000000" w:sz="4" w:space="0"/>
              <w:right w:val="single" w:color="000000" w:sz="4" w:space="0"/>
            </w:tcBorders>
            <w:vAlign w:val="center"/>
          </w:tcPr>
          <w:p w14:paraId="0140E597">
            <w:pPr>
              <w:widowControl/>
              <w:jc w:val="center"/>
              <w:textAlignment w:val="center"/>
              <w:rPr>
                <w:rFonts w:hint="eastAsia" w:ascii="宋体" w:hAnsi="宋体" w:cs="宋体"/>
                <w:color w:val="000000"/>
                <w:sz w:val="24"/>
                <w:szCs w:val="24"/>
              </w:rPr>
            </w:pPr>
          </w:p>
        </w:tc>
      </w:tr>
      <w:tr w14:paraId="1752FF3C">
        <w:tblPrEx>
          <w:tblCellMar>
            <w:top w:w="0" w:type="dxa"/>
            <w:left w:w="108" w:type="dxa"/>
            <w:bottom w:w="0" w:type="dxa"/>
            <w:right w:w="108" w:type="dxa"/>
          </w:tblCellMar>
        </w:tblPrEx>
        <w:trPr>
          <w:trHeight w:val="418" w:hRule="atLeast"/>
        </w:trPr>
        <w:tc>
          <w:tcPr>
            <w:tcW w:w="673" w:type="dxa"/>
            <w:tcBorders>
              <w:top w:val="single" w:color="auto" w:sz="4" w:space="0"/>
              <w:left w:val="single" w:color="auto" w:sz="4" w:space="0"/>
              <w:bottom w:val="single" w:color="auto" w:sz="4" w:space="0"/>
              <w:right w:val="single" w:color="auto" w:sz="4" w:space="0"/>
            </w:tcBorders>
            <w:vAlign w:val="center"/>
          </w:tcPr>
          <w:p w14:paraId="29B8855C">
            <w:pPr>
              <w:jc w:val="center"/>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7</w:t>
            </w:r>
          </w:p>
        </w:tc>
        <w:tc>
          <w:tcPr>
            <w:tcW w:w="1968" w:type="dxa"/>
            <w:tcBorders>
              <w:top w:val="single" w:color="000000" w:sz="4" w:space="0"/>
              <w:left w:val="single" w:color="auto" w:sz="4" w:space="0"/>
              <w:bottom w:val="single" w:color="000000" w:sz="4" w:space="0"/>
              <w:right w:val="single" w:color="000000" w:sz="4" w:space="0"/>
            </w:tcBorders>
            <w:vAlign w:val="center"/>
          </w:tcPr>
          <w:p w14:paraId="26E0F04B">
            <w:pPr>
              <w:widowControl/>
              <w:jc w:val="center"/>
              <w:textAlignment w:val="center"/>
              <w:rPr>
                <w:rFonts w:hint="eastAsia" w:ascii="宋体" w:hAnsi="宋体" w:cs="宋体"/>
                <w:color w:val="000000"/>
                <w:kern w:val="0"/>
                <w:sz w:val="21"/>
                <w:lang w:bidi="ar"/>
              </w:rPr>
            </w:pPr>
            <w:r>
              <w:rPr>
                <w:rFonts w:ascii="宋体" w:hAnsi="宋体" w:cs="宋体"/>
                <w:color w:val="000000"/>
                <w:kern w:val="0"/>
                <w:sz w:val="24"/>
                <w:szCs w:val="24"/>
                <w:lang w:bidi="ar"/>
              </w:rPr>
              <w:t>火化棺</w:t>
            </w:r>
            <w:r>
              <w:rPr>
                <w:rFonts w:hint="eastAsia" w:ascii="宋体" w:hAnsi="宋体" w:cs="宋体"/>
                <w:color w:val="000000"/>
                <w:kern w:val="0"/>
                <w:sz w:val="24"/>
                <w:szCs w:val="24"/>
                <w:lang w:eastAsia="zh-CN" w:bidi="ar"/>
              </w:rPr>
              <w:t>七</w:t>
            </w:r>
            <w:r>
              <w:rPr>
                <w:rFonts w:ascii="宋体" w:hAnsi="宋体" w:cs="宋体"/>
                <w:color w:val="000000"/>
                <w:kern w:val="0"/>
                <w:sz w:val="24"/>
                <w:szCs w:val="24"/>
                <w:lang w:bidi="ar"/>
              </w:rPr>
              <w:t>类</w:t>
            </w:r>
          </w:p>
        </w:tc>
        <w:tc>
          <w:tcPr>
            <w:tcW w:w="1446" w:type="dxa"/>
            <w:tcBorders>
              <w:top w:val="single" w:color="000000" w:sz="4" w:space="0"/>
              <w:left w:val="single" w:color="000000" w:sz="4" w:space="0"/>
              <w:bottom w:val="single" w:color="000000" w:sz="4" w:space="0"/>
              <w:right w:val="single" w:color="000000" w:sz="4" w:space="0"/>
            </w:tcBorders>
            <w:vAlign w:val="center"/>
          </w:tcPr>
          <w:p w14:paraId="1E6F26DE">
            <w:pPr>
              <w:widowControl/>
              <w:jc w:val="center"/>
              <w:textAlignment w:val="center"/>
              <w:rPr>
                <w:rFonts w:hint="eastAsia" w:ascii="宋体" w:hAnsi="宋体" w:cs="宋体"/>
                <w:color w:val="000000"/>
                <w:kern w:val="0"/>
                <w:sz w:val="22"/>
                <w:szCs w:val="22"/>
                <w:lang w:bidi="ar"/>
              </w:rPr>
            </w:pPr>
          </w:p>
        </w:tc>
        <w:tc>
          <w:tcPr>
            <w:tcW w:w="1466" w:type="dxa"/>
            <w:tcBorders>
              <w:top w:val="single" w:color="000000" w:sz="4" w:space="0"/>
              <w:left w:val="single" w:color="000000" w:sz="4" w:space="0"/>
              <w:bottom w:val="single" w:color="000000" w:sz="4" w:space="0"/>
              <w:right w:val="single" w:color="000000" w:sz="4" w:space="0"/>
            </w:tcBorders>
            <w:vAlign w:val="center"/>
          </w:tcPr>
          <w:p w14:paraId="1FD2BE2A">
            <w:pPr>
              <w:widowControl/>
              <w:jc w:val="center"/>
              <w:textAlignment w:val="center"/>
              <w:rPr>
                <w:rFonts w:hint="eastAsia" w:ascii="宋体" w:hAnsi="宋体" w:cs="宋体"/>
                <w:color w:val="000000"/>
                <w:kern w:val="0"/>
                <w:sz w:val="24"/>
                <w:szCs w:val="24"/>
                <w:lang w:bidi="ar"/>
              </w:rPr>
            </w:pPr>
          </w:p>
        </w:tc>
        <w:tc>
          <w:tcPr>
            <w:tcW w:w="1779" w:type="dxa"/>
            <w:tcBorders>
              <w:top w:val="single" w:color="000000" w:sz="4" w:space="0"/>
              <w:left w:val="single" w:color="000000" w:sz="4" w:space="0"/>
              <w:bottom w:val="single" w:color="000000" w:sz="4" w:space="0"/>
              <w:right w:val="single" w:color="000000" w:sz="4" w:space="0"/>
            </w:tcBorders>
            <w:vAlign w:val="center"/>
          </w:tcPr>
          <w:p w14:paraId="1E5013E6">
            <w:pPr>
              <w:widowControl/>
              <w:jc w:val="center"/>
              <w:textAlignment w:val="center"/>
              <w:rPr>
                <w:rFonts w:hint="eastAsia" w:ascii="宋体" w:hAnsi="宋体" w:cs="宋体"/>
                <w:color w:val="000000"/>
                <w:sz w:val="24"/>
                <w:szCs w:val="24"/>
              </w:rPr>
            </w:pPr>
          </w:p>
        </w:tc>
        <w:tc>
          <w:tcPr>
            <w:tcW w:w="2349" w:type="dxa"/>
            <w:tcBorders>
              <w:top w:val="single" w:color="000000" w:sz="4" w:space="0"/>
              <w:left w:val="single" w:color="000000" w:sz="4" w:space="0"/>
              <w:bottom w:val="single" w:color="000000" w:sz="4" w:space="0"/>
              <w:right w:val="single" w:color="000000" w:sz="4" w:space="0"/>
            </w:tcBorders>
            <w:vAlign w:val="center"/>
          </w:tcPr>
          <w:p w14:paraId="371537BF">
            <w:pPr>
              <w:widowControl/>
              <w:jc w:val="center"/>
              <w:textAlignment w:val="center"/>
              <w:rPr>
                <w:rFonts w:hint="eastAsia" w:ascii="宋体" w:hAnsi="宋体" w:cs="宋体"/>
                <w:color w:val="000000"/>
                <w:sz w:val="24"/>
                <w:szCs w:val="24"/>
              </w:rPr>
            </w:pPr>
          </w:p>
        </w:tc>
        <w:tc>
          <w:tcPr>
            <w:tcW w:w="2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ABA69A">
            <w:pPr>
              <w:widowControl/>
              <w:jc w:val="center"/>
              <w:textAlignment w:val="center"/>
              <w:rPr>
                <w:rFonts w:hint="eastAsia" w:ascii="宋体" w:hAnsi="宋体" w:eastAsia="宋体" w:cs="宋体"/>
                <w:color w:val="000000"/>
                <w:kern w:val="0"/>
                <w:sz w:val="24"/>
                <w:szCs w:val="24"/>
                <w:lang w:val="en-US" w:eastAsia="zh-CN" w:bidi="ar"/>
              </w:rPr>
            </w:pPr>
            <w:r>
              <w:rPr>
                <w:rFonts w:hint="eastAsia" w:ascii="宋体" w:hAnsi="宋体" w:cs="宋体"/>
                <w:color w:val="000000"/>
                <w:sz w:val="24"/>
                <w:szCs w:val="24"/>
              </w:rPr>
              <w:t>495</w:t>
            </w:r>
          </w:p>
        </w:tc>
        <w:tc>
          <w:tcPr>
            <w:tcW w:w="1688" w:type="dxa"/>
            <w:tcBorders>
              <w:top w:val="single" w:color="000000" w:sz="4" w:space="0"/>
              <w:left w:val="single" w:color="000000" w:sz="4" w:space="0"/>
              <w:bottom w:val="single" w:color="000000" w:sz="4" w:space="0"/>
              <w:right w:val="single" w:color="000000" w:sz="4" w:space="0"/>
            </w:tcBorders>
            <w:vAlign w:val="center"/>
          </w:tcPr>
          <w:p w14:paraId="359AEA42">
            <w:pPr>
              <w:widowControl/>
              <w:jc w:val="center"/>
              <w:textAlignment w:val="center"/>
              <w:rPr>
                <w:rFonts w:hint="eastAsia" w:ascii="宋体" w:hAnsi="宋体" w:cs="宋体"/>
                <w:color w:val="000000"/>
                <w:sz w:val="24"/>
                <w:szCs w:val="24"/>
              </w:rPr>
            </w:pPr>
          </w:p>
        </w:tc>
        <w:tc>
          <w:tcPr>
            <w:tcW w:w="735" w:type="dxa"/>
            <w:tcBorders>
              <w:top w:val="single" w:color="000000" w:sz="4" w:space="0"/>
              <w:left w:val="single" w:color="000000" w:sz="4" w:space="0"/>
              <w:bottom w:val="single" w:color="000000" w:sz="4" w:space="0"/>
              <w:right w:val="single" w:color="000000" w:sz="4" w:space="0"/>
            </w:tcBorders>
            <w:vAlign w:val="center"/>
          </w:tcPr>
          <w:p w14:paraId="188E0328">
            <w:pPr>
              <w:widowControl/>
              <w:jc w:val="center"/>
              <w:textAlignment w:val="center"/>
              <w:rPr>
                <w:rFonts w:hint="eastAsia" w:ascii="宋体" w:hAnsi="宋体" w:cs="宋体"/>
                <w:color w:val="000000"/>
                <w:sz w:val="24"/>
                <w:szCs w:val="24"/>
              </w:rPr>
            </w:pPr>
          </w:p>
        </w:tc>
      </w:tr>
      <w:tr w14:paraId="1CE9B1CB">
        <w:tblPrEx>
          <w:tblCellMar>
            <w:top w:w="0" w:type="dxa"/>
            <w:left w:w="108" w:type="dxa"/>
            <w:bottom w:w="0" w:type="dxa"/>
            <w:right w:w="108" w:type="dxa"/>
          </w:tblCellMar>
        </w:tblPrEx>
        <w:trPr>
          <w:trHeight w:val="307" w:hRule="atLeast"/>
        </w:trPr>
        <w:tc>
          <w:tcPr>
            <w:tcW w:w="673" w:type="dxa"/>
            <w:tcBorders>
              <w:top w:val="single" w:color="auto" w:sz="4" w:space="0"/>
              <w:left w:val="single" w:color="auto" w:sz="4" w:space="0"/>
              <w:bottom w:val="single" w:color="auto" w:sz="4" w:space="0"/>
              <w:right w:val="single" w:color="auto" w:sz="4" w:space="0"/>
            </w:tcBorders>
            <w:vAlign w:val="center"/>
          </w:tcPr>
          <w:p w14:paraId="1A5D70FE">
            <w:pPr>
              <w:jc w:val="center"/>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8</w:t>
            </w:r>
          </w:p>
        </w:tc>
        <w:tc>
          <w:tcPr>
            <w:tcW w:w="1968" w:type="dxa"/>
            <w:tcBorders>
              <w:top w:val="single" w:color="000000" w:sz="4" w:space="0"/>
              <w:left w:val="single" w:color="auto" w:sz="4" w:space="0"/>
              <w:bottom w:val="single" w:color="000000" w:sz="4" w:space="0"/>
              <w:right w:val="single" w:color="000000" w:sz="4" w:space="0"/>
            </w:tcBorders>
            <w:vAlign w:val="center"/>
          </w:tcPr>
          <w:p w14:paraId="0DC48AAE">
            <w:pPr>
              <w:widowControl/>
              <w:jc w:val="center"/>
              <w:textAlignment w:val="center"/>
              <w:rPr>
                <w:rFonts w:hint="eastAsia" w:ascii="宋体" w:hAnsi="宋体" w:cs="宋体"/>
                <w:color w:val="000000"/>
                <w:kern w:val="0"/>
                <w:sz w:val="21"/>
                <w:lang w:bidi="ar"/>
              </w:rPr>
            </w:pPr>
            <w:r>
              <w:rPr>
                <w:rFonts w:ascii="宋体" w:hAnsi="宋体" w:cs="宋体"/>
                <w:color w:val="000000"/>
                <w:kern w:val="0"/>
                <w:sz w:val="24"/>
                <w:szCs w:val="24"/>
                <w:lang w:bidi="ar"/>
              </w:rPr>
              <w:t>火化棺</w:t>
            </w:r>
            <w:r>
              <w:rPr>
                <w:rFonts w:hint="eastAsia" w:ascii="宋体" w:hAnsi="宋体" w:cs="宋体"/>
                <w:color w:val="000000"/>
                <w:kern w:val="0"/>
                <w:sz w:val="24"/>
                <w:szCs w:val="24"/>
                <w:lang w:eastAsia="zh-CN" w:bidi="ar"/>
              </w:rPr>
              <w:t>八</w:t>
            </w:r>
            <w:r>
              <w:rPr>
                <w:rFonts w:ascii="宋体" w:hAnsi="宋体" w:cs="宋体"/>
                <w:color w:val="000000"/>
                <w:kern w:val="0"/>
                <w:sz w:val="24"/>
                <w:szCs w:val="24"/>
                <w:lang w:bidi="ar"/>
              </w:rPr>
              <w:t>类</w:t>
            </w:r>
          </w:p>
        </w:tc>
        <w:tc>
          <w:tcPr>
            <w:tcW w:w="1446" w:type="dxa"/>
            <w:tcBorders>
              <w:top w:val="single" w:color="000000" w:sz="4" w:space="0"/>
              <w:left w:val="single" w:color="000000" w:sz="4" w:space="0"/>
              <w:bottom w:val="single" w:color="000000" w:sz="4" w:space="0"/>
              <w:right w:val="single" w:color="000000" w:sz="4" w:space="0"/>
            </w:tcBorders>
            <w:vAlign w:val="center"/>
          </w:tcPr>
          <w:p w14:paraId="4808F6D9">
            <w:pPr>
              <w:widowControl/>
              <w:jc w:val="center"/>
              <w:textAlignment w:val="center"/>
              <w:rPr>
                <w:rFonts w:hint="eastAsia" w:ascii="宋体" w:hAnsi="宋体" w:cs="宋体"/>
                <w:color w:val="000000"/>
                <w:kern w:val="0"/>
                <w:sz w:val="22"/>
                <w:szCs w:val="22"/>
                <w:lang w:bidi="ar"/>
              </w:rPr>
            </w:pPr>
          </w:p>
        </w:tc>
        <w:tc>
          <w:tcPr>
            <w:tcW w:w="1466" w:type="dxa"/>
            <w:tcBorders>
              <w:top w:val="single" w:color="000000" w:sz="4" w:space="0"/>
              <w:left w:val="single" w:color="000000" w:sz="4" w:space="0"/>
              <w:bottom w:val="single" w:color="000000" w:sz="4" w:space="0"/>
              <w:right w:val="single" w:color="000000" w:sz="4" w:space="0"/>
            </w:tcBorders>
            <w:vAlign w:val="center"/>
          </w:tcPr>
          <w:p w14:paraId="6DE95C65">
            <w:pPr>
              <w:widowControl/>
              <w:jc w:val="center"/>
              <w:textAlignment w:val="center"/>
              <w:rPr>
                <w:rFonts w:hint="eastAsia" w:ascii="宋体" w:hAnsi="宋体" w:cs="宋体"/>
                <w:color w:val="000000"/>
                <w:kern w:val="0"/>
                <w:sz w:val="24"/>
                <w:szCs w:val="24"/>
                <w:lang w:bidi="ar"/>
              </w:rPr>
            </w:pPr>
          </w:p>
        </w:tc>
        <w:tc>
          <w:tcPr>
            <w:tcW w:w="1779" w:type="dxa"/>
            <w:tcBorders>
              <w:top w:val="single" w:color="000000" w:sz="4" w:space="0"/>
              <w:left w:val="single" w:color="000000" w:sz="4" w:space="0"/>
              <w:bottom w:val="single" w:color="000000" w:sz="4" w:space="0"/>
              <w:right w:val="single" w:color="000000" w:sz="4" w:space="0"/>
            </w:tcBorders>
            <w:vAlign w:val="center"/>
          </w:tcPr>
          <w:p w14:paraId="06355F33">
            <w:pPr>
              <w:widowControl/>
              <w:jc w:val="center"/>
              <w:textAlignment w:val="center"/>
              <w:rPr>
                <w:rFonts w:hint="eastAsia" w:ascii="宋体" w:hAnsi="宋体" w:cs="宋体"/>
                <w:color w:val="000000"/>
                <w:kern w:val="0"/>
                <w:sz w:val="24"/>
                <w:szCs w:val="24"/>
                <w:lang w:bidi="ar"/>
              </w:rPr>
            </w:pPr>
          </w:p>
        </w:tc>
        <w:tc>
          <w:tcPr>
            <w:tcW w:w="2349" w:type="dxa"/>
            <w:tcBorders>
              <w:top w:val="single" w:color="000000" w:sz="4" w:space="0"/>
              <w:left w:val="single" w:color="000000" w:sz="4" w:space="0"/>
              <w:bottom w:val="single" w:color="000000" w:sz="4" w:space="0"/>
              <w:right w:val="single" w:color="000000" w:sz="4" w:space="0"/>
            </w:tcBorders>
            <w:vAlign w:val="center"/>
          </w:tcPr>
          <w:p w14:paraId="609161B9">
            <w:pPr>
              <w:widowControl/>
              <w:jc w:val="center"/>
              <w:textAlignment w:val="center"/>
              <w:rPr>
                <w:rFonts w:hint="eastAsia" w:ascii="宋体" w:hAnsi="宋体" w:cs="宋体"/>
                <w:color w:val="000000"/>
                <w:kern w:val="0"/>
                <w:sz w:val="24"/>
                <w:szCs w:val="24"/>
                <w:lang w:bidi="ar"/>
              </w:rPr>
            </w:pPr>
          </w:p>
        </w:tc>
        <w:tc>
          <w:tcPr>
            <w:tcW w:w="2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791803">
            <w:pPr>
              <w:widowControl/>
              <w:jc w:val="center"/>
              <w:textAlignment w:val="center"/>
              <w:rPr>
                <w:rFonts w:hint="eastAsia" w:ascii="宋体" w:hAnsi="宋体" w:eastAsia="宋体" w:cs="宋体"/>
                <w:color w:val="000000"/>
                <w:kern w:val="0"/>
                <w:sz w:val="24"/>
                <w:szCs w:val="24"/>
                <w:lang w:val="en-US" w:eastAsia="zh-CN" w:bidi="ar"/>
              </w:rPr>
            </w:pPr>
            <w:r>
              <w:rPr>
                <w:rFonts w:hint="eastAsia" w:ascii="宋体" w:hAnsi="宋体" w:cs="宋体"/>
                <w:color w:val="000000"/>
                <w:kern w:val="0"/>
                <w:sz w:val="24"/>
                <w:szCs w:val="24"/>
                <w:lang w:bidi="ar"/>
              </w:rPr>
              <w:t>570</w:t>
            </w:r>
          </w:p>
        </w:tc>
        <w:tc>
          <w:tcPr>
            <w:tcW w:w="1688" w:type="dxa"/>
            <w:tcBorders>
              <w:top w:val="single" w:color="000000" w:sz="4" w:space="0"/>
              <w:left w:val="single" w:color="000000" w:sz="4" w:space="0"/>
              <w:bottom w:val="single" w:color="000000" w:sz="4" w:space="0"/>
              <w:right w:val="single" w:color="000000" w:sz="4" w:space="0"/>
            </w:tcBorders>
            <w:vAlign w:val="center"/>
          </w:tcPr>
          <w:p w14:paraId="42270B13">
            <w:pPr>
              <w:widowControl/>
              <w:jc w:val="center"/>
              <w:textAlignment w:val="center"/>
              <w:rPr>
                <w:rFonts w:hint="eastAsia" w:ascii="宋体" w:hAnsi="宋体" w:cs="宋体"/>
                <w:color w:val="000000"/>
                <w:kern w:val="0"/>
                <w:sz w:val="24"/>
                <w:szCs w:val="24"/>
                <w:lang w:bidi="ar"/>
              </w:rPr>
            </w:pPr>
          </w:p>
        </w:tc>
        <w:tc>
          <w:tcPr>
            <w:tcW w:w="735" w:type="dxa"/>
            <w:tcBorders>
              <w:top w:val="single" w:color="000000" w:sz="4" w:space="0"/>
              <w:left w:val="single" w:color="000000" w:sz="4" w:space="0"/>
              <w:bottom w:val="single" w:color="000000" w:sz="4" w:space="0"/>
              <w:right w:val="single" w:color="000000" w:sz="4" w:space="0"/>
            </w:tcBorders>
            <w:vAlign w:val="center"/>
          </w:tcPr>
          <w:p w14:paraId="358A0F52">
            <w:pPr>
              <w:widowControl/>
              <w:jc w:val="center"/>
              <w:textAlignment w:val="center"/>
              <w:rPr>
                <w:rFonts w:hint="eastAsia" w:ascii="宋体" w:hAnsi="宋体" w:cs="宋体"/>
                <w:color w:val="000000"/>
                <w:kern w:val="0"/>
                <w:sz w:val="24"/>
                <w:szCs w:val="24"/>
                <w:lang w:bidi="ar"/>
              </w:rPr>
            </w:pPr>
          </w:p>
        </w:tc>
      </w:tr>
      <w:tr w14:paraId="47D1AC05">
        <w:tblPrEx>
          <w:tblCellMar>
            <w:top w:w="0" w:type="dxa"/>
            <w:left w:w="108" w:type="dxa"/>
            <w:bottom w:w="0" w:type="dxa"/>
            <w:right w:w="108" w:type="dxa"/>
          </w:tblCellMar>
        </w:tblPrEx>
        <w:trPr>
          <w:trHeight w:val="347" w:hRule="atLeast"/>
        </w:trPr>
        <w:tc>
          <w:tcPr>
            <w:tcW w:w="673" w:type="dxa"/>
            <w:tcBorders>
              <w:top w:val="single" w:color="auto" w:sz="4" w:space="0"/>
              <w:left w:val="single" w:color="auto" w:sz="4" w:space="0"/>
              <w:bottom w:val="single" w:color="auto" w:sz="4" w:space="0"/>
              <w:right w:val="single" w:color="auto" w:sz="4" w:space="0"/>
            </w:tcBorders>
            <w:vAlign w:val="center"/>
          </w:tcPr>
          <w:p w14:paraId="57F81733">
            <w:pPr>
              <w:widowControl/>
              <w:jc w:val="center"/>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9</w:t>
            </w:r>
          </w:p>
        </w:tc>
        <w:tc>
          <w:tcPr>
            <w:tcW w:w="1968" w:type="dxa"/>
            <w:tcBorders>
              <w:top w:val="single" w:color="000000" w:sz="4" w:space="0"/>
              <w:left w:val="single" w:color="auto" w:sz="4" w:space="0"/>
              <w:bottom w:val="single" w:color="000000" w:sz="4" w:space="0"/>
              <w:right w:val="single" w:color="000000" w:sz="4" w:space="0"/>
            </w:tcBorders>
            <w:vAlign w:val="center"/>
          </w:tcPr>
          <w:p w14:paraId="639EE521">
            <w:pPr>
              <w:widowControl/>
              <w:jc w:val="center"/>
              <w:textAlignment w:val="center"/>
              <w:rPr>
                <w:rFonts w:hint="eastAsia" w:ascii="宋体" w:hAnsi="宋体" w:cs="宋体"/>
                <w:color w:val="000000"/>
                <w:kern w:val="0"/>
                <w:sz w:val="21"/>
                <w:lang w:bidi="ar"/>
              </w:rPr>
            </w:pPr>
            <w:r>
              <w:rPr>
                <w:rFonts w:ascii="宋体" w:hAnsi="宋体" w:cs="宋体"/>
                <w:color w:val="000000"/>
                <w:kern w:val="0"/>
                <w:sz w:val="24"/>
                <w:szCs w:val="24"/>
                <w:lang w:bidi="ar"/>
              </w:rPr>
              <w:t>火化棺</w:t>
            </w:r>
            <w:r>
              <w:rPr>
                <w:rFonts w:hint="eastAsia" w:ascii="宋体" w:hAnsi="宋体" w:cs="宋体"/>
                <w:color w:val="000000"/>
                <w:kern w:val="0"/>
                <w:sz w:val="24"/>
                <w:szCs w:val="24"/>
                <w:lang w:eastAsia="zh-CN" w:bidi="ar"/>
              </w:rPr>
              <w:t>九</w:t>
            </w:r>
            <w:r>
              <w:rPr>
                <w:rFonts w:ascii="宋体" w:hAnsi="宋体" w:cs="宋体"/>
                <w:color w:val="000000"/>
                <w:kern w:val="0"/>
                <w:sz w:val="24"/>
                <w:szCs w:val="24"/>
                <w:lang w:bidi="ar"/>
              </w:rPr>
              <w:t>类</w:t>
            </w:r>
          </w:p>
        </w:tc>
        <w:tc>
          <w:tcPr>
            <w:tcW w:w="1446" w:type="dxa"/>
            <w:tcBorders>
              <w:top w:val="single" w:color="000000" w:sz="4" w:space="0"/>
              <w:left w:val="single" w:color="000000" w:sz="4" w:space="0"/>
              <w:bottom w:val="single" w:color="000000" w:sz="4" w:space="0"/>
              <w:right w:val="single" w:color="000000" w:sz="4" w:space="0"/>
            </w:tcBorders>
            <w:vAlign w:val="center"/>
          </w:tcPr>
          <w:p w14:paraId="61C90884">
            <w:pPr>
              <w:widowControl/>
              <w:jc w:val="center"/>
              <w:textAlignment w:val="center"/>
              <w:rPr>
                <w:rFonts w:hint="eastAsia" w:ascii="宋体" w:hAnsi="宋体" w:cs="宋体"/>
                <w:color w:val="000000"/>
                <w:sz w:val="22"/>
                <w:szCs w:val="22"/>
              </w:rPr>
            </w:pPr>
          </w:p>
        </w:tc>
        <w:tc>
          <w:tcPr>
            <w:tcW w:w="1466" w:type="dxa"/>
            <w:tcBorders>
              <w:top w:val="single" w:color="000000" w:sz="4" w:space="0"/>
              <w:left w:val="single" w:color="000000" w:sz="4" w:space="0"/>
              <w:bottom w:val="single" w:color="000000" w:sz="4" w:space="0"/>
              <w:right w:val="single" w:color="000000" w:sz="4" w:space="0"/>
            </w:tcBorders>
            <w:vAlign w:val="center"/>
          </w:tcPr>
          <w:p w14:paraId="78601A44">
            <w:pPr>
              <w:widowControl/>
              <w:jc w:val="center"/>
              <w:textAlignment w:val="center"/>
              <w:rPr>
                <w:rFonts w:hint="eastAsia" w:ascii="宋体" w:hAnsi="宋体" w:cs="宋体"/>
                <w:color w:val="000000"/>
                <w:kern w:val="0"/>
                <w:sz w:val="24"/>
                <w:szCs w:val="24"/>
                <w:lang w:bidi="ar"/>
              </w:rPr>
            </w:pPr>
          </w:p>
        </w:tc>
        <w:tc>
          <w:tcPr>
            <w:tcW w:w="1779" w:type="dxa"/>
            <w:tcBorders>
              <w:top w:val="single" w:color="000000" w:sz="4" w:space="0"/>
              <w:left w:val="single" w:color="000000" w:sz="4" w:space="0"/>
              <w:bottom w:val="single" w:color="000000" w:sz="4" w:space="0"/>
              <w:right w:val="single" w:color="000000" w:sz="4" w:space="0"/>
            </w:tcBorders>
            <w:vAlign w:val="center"/>
          </w:tcPr>
          <w:p w14:paraId="1AF7677E">
            <w:pPr>
              <w:widowControl/>
              <w:jc w:val="center"/>
              <w:textAlignment w:val="center"/>
              <w:rPr>
                <w:rFonts w:hint="eastAsia" w:ascii="宋体" w:hAnsi="宋体" w:cs="宋体"/>
                <w:color w:val="000000"/>
                <w:kern w:val="0"/>
                <w:sz w:val="24"/>
                <w:szCs w:val="24"/>
                <w:lang w:bidi="ar"/>
              </w:rPr>
            </w:pPr>
          </w:p>
        </w:tc>
        <w:tc>
          <w:tcPr>
            <w:tcW w:w="2349" w:type="dxa"/>
            <w:tcBorders>
              <w:top w:val="single" w:color="000000" w:sz="4" w:space="0"/>
              <w:left w:val="single" w:color="000000" w:sz="4" w:space="0"/>
              <w:bottom w:val="single" w:color="000000" w:sz="4" w:space="0"/>
              <w:right w:val="single" w:color="000000" w:sz="4" w:space="0"/>
            </w:tcBorders>
            <w:vAlign w:val="center"/>
          </w:tcPr>
          <w:p w14:paraId="47095966">
            <w:pPr>
              <w:widowControl/>
              <w:jc w:val="center"/>
              <w:textAlignment w:val="center"/>
              <w:rPr>
                <w:rFonts w:hint="eastAsia" w:ascii="宋体" w:hAnsi="宋体" w:cs="宋体"/>
                <w:color w:val="000000"/>
                <w:kern w:val="0"/>
                <w:sz w:val="24"/>
                <w:szCs w:val="24"/>
                <w:lang w:bidi="ar"/>
              </w:rPr>
            </w:pPr>
          </w:p>
        </w:tc>
        <w:tc>
          <w:tcPr>
            <w:tcW w:w="2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4360C">
            <w:pPr>
              <w:widowControl/>
              <w:jc w:val="center"/>
              <w:textAlignment w:val="center"/>
              <w:rPr>
                <w:rFonts w:hint="eastAsia" w:ascii="宋体" w:hAnsi="宋体" w:eastAsia="宋体" w:cs="宋体"/>
                <w:color w:val="000000"/>
                <w:kern w:val="0"/>
                <w:sz w:val="24"/>
                <w:szCs w:val="24"/>
                <w:lang w:val="en-US" w:eastAsia="zh-CN" w:bidi="ar"/>
              </w:rPr>
            </w:pPr>
            <w:r>
              <w:rPr>
                <w:rFonts w:hint="eastAsia" w:ascii="宋体" w:hAnsi="宋体" w:cs="宋体"/>
                <w:color w:val="000000"/>
                <w:kern w:val="0"/>
                <w:sz w:val="24"/>
                <w:szCs w:val="24"/>
                <w:lang w:bidi="ar"/>
              </w:rPr>
              <w:t>655</w:t>
            </w:r>
          </w:p>
        </w:tc>
        <w:tc>
          <w:tcPr>
            <w:tcW w:w="1688" w:type="dxa"/>
            <w:tcBorders>
              <w:top w:val="single" w:color="000000" w:sz="4" w:space="0"/>
              <w:left w:val="single" w:color="000000" w:sz="4" w:space="0"/>
              <w:bottom w:val="single" w:color="000000" w:sz="4" w:space="0"/>
              <w:right w:val="single" w:color="000000" w:sz="4" w:space="0"/>
            </w:tcBorders>
            <w:vAlign w:val="center"/>
          </w:tcPr>
          <w:p w14:paraId="67A986E1">
            <w:pPr>
              <w:widowControl/>
              <w:jc w:val="center"/>
              <w:textAlignment w:val="center"/>
              <w:rPr>
                <w:rFonts w:hint="eastAsia" w:ascii="宋体" w:hAnsi="宋体" w:cs="宋体"/>
                <w:color w:val="000000"/>
                <w:kern w:val="0"/>
                <w:sz w:val="24"/>
                <w:szCs w:val="24"/>
                <w:lang w:bidi="ar"/>
              </w:rPr>
            </w:pPr>
          </w:p>
        </w:tc>
        <w:tc>
          <w:tcPr>
            <w:tcW w:w="735" w:type="dxa"/>
            <w:tcBorders>
              <w:top w:val="single" w:color="000000" w:sz="4" w:space="0"/>
              <w:left w:val="single" w:color="000000" w:sz="4" w:space="0"/>
              <w:bottom w:val="single" w:color="000000" w:sz="4" w:space="0"/>
              <w:right w:val="single" w:color="000000" w:sz="4" w:space="0"/>
            </w:tcBorders>
            <w:vAlign w:val="center"/>
          </w:tcPr>
          <w:p w14:paraId="76FB2C64">
            <w:pPr>
              <w:widowControl/>
              <w:jc w:val="center"/>
              <w:textAlignment w:val="center"/>
              <w:rPr>
                <w:rFonts w:hint="eastAsia" w:ascii="宋体" w:hAnsi="宋体" w:cs="宋体"/>
                <w:color w:val="000000"/>
                <w:kern w:val="0"/>
                <w:sz w:val="24"/>
                <w:szCs w:val="24"/>
                <w:lang w:bidi="ar"/>
              </w:rPr>
            </w:pPr>
          </w:p>
        </w:tc>
      </w:tr>
      <w:tr w14:paraId="24694479">
        <w:tblPrEx>
          <w:tblCellMar>
            <w:top w:w="0" w:type="dxa"/>
            <w:left w:w="108" w:type="dxa"/>
            <w:bottom w:w="0" w:type="dxa"/>
            <w:right w:w="108" w:type="dxa"/>
          </w:tblCellMar>
        </w:tblPrEx>
        <w:trPr>
          <w:trHeight w:val="442" w:hRule="atLeast"/>
        </w:trPr>
        <w:tc>
          <w:tcPr>
            <w:tcW w:w="673" w:type="dxa"/>
            <w:tcBorders>
              <w:top w:val="single" w:color="auto" w:sz="4" w:space="0"/>
              <w:left w:val="single" w:color="auto" w:sz="4" w:space="0"/>
              <w:bottom w:val="single" w:color="auto" w:sz="4" w:space="0"/>
              <w:right w:val="single" w:color="auto" w:sz="4" w:space="0"/>
            </w:tcBorders>
            <w:vAlign w:val="center"/>
          </w:tcPr>
          <w:p w14:paraId="41AA2149">
            <w:pPr>
              <w:widowControl/>
              <w:jc w:val="center"/>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10</w:t>
            </w:r>
          </w:p>
        </w:tc>
        <w:tc>
          <w:tcPr>
            <w:tcW w:w="1968" w:type="dxa"/>
            <w:tcBorders>
              <w:top w:val="single" w:color="000000" w:sz="4" w:space="0"/>
              <w:left w:val="single" w:color="auto" w:sz="4" w:space="0"/>
              <w:bottom w:val="single" w:color="000000" w:sz="4" w:space="0"/>
              <w:right w:val="single" w:color="000000" w:sz="4" w:space="0"/>
            </w:tcBorders>
            <w:vAlign w:val="center"/>
          </w:tcPr>
          <w:p w14:paraId="36CBC470">
            <w:pPr>
              <w:widowControl/>
              <w:jc w:val="center"/>
              <w:textAlignment w:val="center"/>
              <w:rPr>
                <w:rFonts w:hint="eastAsia" w:ascii="宋体" w:hAnsi="宋体" w:cs="宋体"/>
                <w:color w:val="000000"/>
                <w:kern w:val="0"/>
                <w:sz w:val="21"/>
                <w:lang w:bidi="ar"/>
              </w:rPr>
            </w:pPr>
            <w:r>
              <w:rPr>
                <w:rFonts w:ascii="宋体" w:hAnsi="宋体" w:cs="宋体"/>
                <w:color w:val="000000"/>
                <w:kern w:val="0"/>
                <w:sz w:val="24"/>
                <w:szCs w:val="24"/>
                <w:lang w:bidi="ar"/>
              </w:rPr>
              <w:t>火化棺</w:t>
            </w:r>
            <w:r>
              <w:rPr>
                <w:rFonts w:hint="eastAsia" w:ascii="宋体" w:hAnsi="宋体" w:cs="宋体"/>
                <w:color w:val="000000"/>
                <w:kern w:val="0"/>
                <w:sz w:val="24"/>
                <w:szCs w:val="24"/>
                <w:lang w:eastAsia="zh-CN" w:bidi="ar"/>
              </w:rPr>
              <w:t>十</w:t>
            </w:r>
            <w:r>
              <w:rPr>
                <w:rFonts w:ascii="宋体" w:hAnsi="宋体" w:cs="宋体"/>
                <w:color w:val="000000"/>
                <w:kern w:val="0"/>
                <w:sz w:val="24"/>
                <w:szCs w:val="24"/>
                <w:lang w:bidi="ar"/>
              </w:rPr>
              <w:t>类</w:t>
            </w:r>
          </w:p>
        </w:tc>
        <w:tc>
          <w:tcPr>
            <w:tcW w:w="1446" w:type="dxa"/>
            <w:tcBorders>
              <w:top w:val="single" w:color="000000" w:sz="4" w:space="0"/>
              <w:left w:val="single" w:color="000000" w:sz="4" w:space="0"/>
              <w:bottom w:val="single" w:color="000000" w:sz="4" w:space="0"/>
              <w:right w:val="single" w:color="000000" w:sz="4" w:space="0"/>
            </w:tcBorders>
            <w:vAlign w:val="center"/>
          </w:tcPr>
          <w:p w14:paraId="423BCB23">
            <w:pPr>
              <w:widowControl/>
              <w:jc w:val="center"/>
              <w:textAlignment w:val="center"/>
              <w:rPr>
                <w:rFonts w:hint="eastAsia" w:ascii="宋体" w:hAnsi="宋体" w:cs="宋体"/>
                <w:color w:val="000000"/>
                <w:kern w:val="0"/>
                <w:sz w:val="22"/>
                <w:szCs w:val="22"/>
                <w:lang w:bidi="ar"/>
              </w:rPr>
            </w:pPr>
          </w:p>
        </w:tc>
        <w:tc>
          <w:tcPr>
            <w:tcW w:w="1466" w:type="dxa"/>
            <w:tcBorders>
              <w:top w:val="single" w:color="000000" w:sz="4" w:space="0"/>
              <w:left w:val="single" w:color="000000" w:sz="4" w:space="0"/>
              <w:bottom w:val="single" w:color="000000" w:sz="4" w:space="0"/>
              <w:right w:val="single" w:color="000000" w:sz="4" w:space="0"/>
            </w:tcBorders>
            <w:vAlign w:val="center"/>
          </w:tcPr>
          <w:p w14:paraId="3C1BC87D">
            <w:pPr>
              <w:widowControl/>
              <w:jc w:val="center"/>
              <w:textAlignment w:val="center"/>
              <w:rPr>
                <w:rFonts w:hint="eastAsia" w:ascii="宋体" w:hAnsi="宋体" w:cs="宋体"/>
                <w:color w:val="000000"/>
                <w:kern w:val="0"/>
                <w:sz w:val="24"/>
                <w:szCs w:val="24"/>
                <w:lang w:bidi="ar"/>
              </w:rPr>
            </w:pPr>
          </w:p>
        </w:tc>
        <w:tc>
          <w:tcPr>
            <w:tcW w:w="1779" w:type="dxa"/>
            <w:tcBorders>
              <w:top w:val="single" w:color="000000" w:sz="4" w:space="0"/>
              <w:left w:val="single" w:color="000000" w:sz="4" w:space="0"/>
              <w:bottom w:val="single" w:color="000000" w:sz="4" w:space="0"/>
              <w:right w:val="single" w:color="000000" w:sz="4" w:space="0"/>
            </w:tcBorders>
            <w:vAlign w:val="center"/>
          </w:tcPr>
          <w:p w14:paraId="2108F78C">
            <w:pPr>
              <w:widowControl/>
              <w:jc w:val="center"/>
              <w:textAlignment w:val="center"/>
              <w:rPr>
                <w:rFonts w:hint="eastAsia" w:ascii="宋体" w:hAnsi="宋体" w:cs="宋体"/>
                <w:color w:val="000000"/>
                <w:kern w:val="0"/>
                <w:sz w:val="24"/>
                <w:szCs w:val="24"/>
                <w:lang w:bidi="ar"/>
              </w:rPr>
            </w:pPr>
          </w:p>
        </w:tc>
        <w:tc>
          <w:tcPr>
            <w:tcW w:w="2349" w:type="dxa"/>
            <w:tcBorders>
              <w:top w:val="single" w:color="000000" w:sz="4" w:space="0"/>
              <w:left w:val="single" w:color="000000" w:sz="4" w:space="0"/>
              <w:bottom w:val="single" w:color="000000" w:sz="4" w:space="0"/>
              <w:right w:val="single" w:color="000000" w:sz="4" w:space="0"/>
            </w:tcBorders>
            <w:vAlign w:val="center"/>
          </w:tcPr>
          <w:p w14:paraId="2B6E83AD">
            <w:pPr>
              <w:widowControl/>
              <w:jc w:val="center"/>
              <w:textAlignment w:val="center"/>
              <w:rPr>
                <w:rFonts w:hint="eastAsia" w:ascii="宋体" w:hAnsi="宋体" w:cs="宋体"/>
                <w:color w:val="000000"/>
                <w:kern w:val="0"/>
                <w:sz w:val="24"/>
                <w:szCs w:val="24"/>
                <w:lang w:bidi="ar"/>
              </w:rPr>
            </w:pPr>
          </w:p>
        </w:tc>
        <w:tc>
          <w:tcPr>
            <w:tcW w:w="2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70DDC4">
            <w:pPr>
              <w:widowControl/>
              <w:jc w:val="center"/>
              <w:textAlignment w:val="center"/>
              <w:rPr>
                <w:rFonts w:hint="eastAsia" w:ascii="宋体" w:hAnsi="宋体" w:eastAsia="宋体" w:cs="宋体"/>
                <w:color w:val="000000"/>
                <w:kern w:val="0"/>
                <w:sz w:val="24"/>
                <w:szCs w:val="24"/>
                <w:lang w:val="en-US" w:eastAsia="zh-CN" w:bidi="ar"/>
              </w:rPr>
            </w:pPr>
            <w:r>
              <w:rPr>
                <w:rFonts w:hint="eastAsia" w:ascii="宋体" w:hAnsi="宋体" w:cs="宋体"/>
                <w:color w:val="000000"/>
                <w:kern w:val="0"/>
                <w:sz w:val="24"/>
                <w:szCs w:val="24"/>
                <w:lang w:bidi="ar"/>
              </w:rPr>
              <w:t>735</w:t>
            </w:r>
          </w:p>
        </w:tc>
        <w:tc>
          <w:tcPr>
            <w:tcW w:w="1688" w:type="dxa"/>
            <w:tcBorders>
              <w:top w:val="single" w:color="000000" w:sz="4" w:space="0"/>
              <w:left w:val="single" w:color="000000" w:sz="4" w:space="0"/>
              <w:bottom w:val="single" w:color="000000" w:sz="4" w:space="0"/>
              <w:right w:val="single" w:color="000000" w:sz="4" w:space="0"/>
            </w:tcBorders>
            <w:vAlign w:val="center"/>
          </w:tcPr>
          <w:p w14:paraId="010B143A">
            <w:pPr>
              <w:widowControl/>
              <w:jc w:val="center"/>
              <w:textAlignment w:val="center"/>
              <w:rPr>
                <w:rFonts w:hint="eastAsia" w:ascii="宋体" w:hAnsi="宋体" w:cs="宋体"/>
                <w:color w:val="000000"/>
                <w:kern w:val="0"/>
                <w:sz w:val="24"/>
                <w:szCs w:val="24"/>
                <w:lang w:bidi="ar"/>
              </w:rPr>
            </w:pPr>
          </w:p>
        </w:tc>
        <w:tc>
          <w:tcPr>
            <w:tcW w:w="735" w:type="dxa"/>
            <w:tcBorders>
              <w:top w:val="single" w:color="000000" w:sz="4" w:space="0"/>
              <w:left w:val="single" w:color="000000" w:sz="4" w:space="0"/>
              <w:bottom w:val="single" w:color="000000" w:sz="4" w:space="0"/>
              <w:right w:val="single" w:color="000000" w:sz="4" w:space="0"/>
            </w:tcBorders>
            <w:vAlign w:val="center"/>
          </w:tcPr>
          <w:p w14:paraId="103BD627">
            <w:pPr>
              <w:widowControl/>
              <w:jc w:val="center"/>
              <w:textAlignment w:val="center"/>
              <w:rPr>
                <w:rFonts w:hint="eastAsia" w:ascii="宋体" w:hAnsi="宋体" w:cs="宋体"/>
                <w:color w:val="000000"/>
                <w:kern w:val="0"/>
                <w:sz w:val="24"/>
                <w:szCs w:val="24"/>
                <w:lang w:bidi="ar"/>
              </w:rPr>
            </w:pPr>
          </w:p>
        </w:tc>
      </w:tr>
      <w:tr w14:paraId="75875913">
        <w:tblPrEx>
          <w:tblCellMar>
            <w:top w:w="0" w:type="dxa"/>
            <w:left w:w="108" w:type="dxa"/>
            <w:bottom w:w="0" w:type="dxa"/>
            <w:right w:w="108" w:type="dxa"/>
          </w:tblCellMar>
        </w:tblPrEx>
        <w:trPr>
          <w:trHeight w:val="464" w:hRule="atLeast"/>
        </w:trPr>
        <w:tc>
          <w:tcPr>
            <w:tcW w:w="673" w:type="dxa"/>
            <w:tcBorders>
              <w:top w:val="single" w:color="000000" w:sz="4" w:space="0"/>
              <w:left w:val="single" w:color="000000" w:sz="4" w:space="0"/>
              <w:bottom w:val="single" w:color="000000" w:sz="4" w:space="0"/>
              <w:right w:val="single" w:color="000000" w:sz="4" w:space="0"/>
            </w:tcBorders>
            <w:vAlign w:val="center"/>
          </w:tcPr>
          <w:p w14:paraId="6DFDCA7C">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11</w:t>
            </w:r>
          </w:p>
        </w:tc>
        <w:tc>
          <w:tcPr>
            <w:tcW w:w="1968" w:type="dxa"/>
            <w:tcBorders>
              <w:top w:val="single" w:color="000000" w:sz="4" w:space="0"/>
              <w:left w:val="single" w:color="000000" w:sz="4" w:space="0"/>
              <w:bottom w:val="single" w:color="000000" w:sz="4" w:space="0"/>
              <w:right w:val="single" w:color="000000" w:sz="4" w:space="0"/>
            </w:tcBorders>
            <w:vAlign w:val="center"/>
          </w:tcPr>
          <w:p w14:paraId="5F660DEC">
            <w:pPr>
              <w:widowControl/>
              <w:jc w:val="center"/>
              <w:textAlignment w:val="center"/>
              <w:rPr>
                <w:rFonts w:ascii="宋体" w:hAnsi="宋体" w:cs="宋体"/>
                <w:color w:val="000000"/>
                <w:kern w:val="0"/>
                <w:sz w:val="24"/>
                <w:szCs w:val="24"/>
                <w:lang w:bidi="ar"/>
              </w:rPr>
            </w:pPr>
            <w:r>
              <w:rPr>
                <w:rFonts w:ascii="宋体" w:hAnsi="宋体" w:cs="宋体"/>
                <w:color w:val="000000"/>
                <w:kern w:val="0"/>
                <w:sz w:val="24"/>
                <w:szCs w:val="24"/>
                <w:lang w:bidi="ar"/>
              </w:rPr>
              <w:t>火化棺</w:t>
            </w:r>
            <w:r>
              <w:rPr>
                <w:rFonts w:hint="eastAsia" w:ascii="宋体" w:hAnsi="宋体" w:cs="宋体"/>
                <w:color w:val="000000"/>
                <w:kern w:val="0"/>
                <w:sz w:val="24"/>
                <w:szCs w:val="24"/>
                <w:lang w:eastAsia="zh-CN" w:bidi="ar"/>
              </w:rPr>
              <w:t>十一</w:t>
            </w:r>
            <w:r>
              <w:rPr>
                <w:rFonts w:ascii="宋体" w:hAnsi="宋体" w:cs="宋体"/>
                <w:color w:val="000000"/>
                <w:kern w:val="0"/>
                <w:sz w:val="24"/>
                <w:szCs w:val="24"/>
                <w:lang w:bidi="ar"/>
              </w:rPr>
              <w:t>类</w:t>
            </w:r>
          </w:p>
          <w:p w14:paraId="3C4DF560">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4"/>
                <w:szCs w:val="24"/>
                <w:lang w:bidi="ar"/>
              </w:rPr>
              <w:t>（</w:t>
            </w:r>
            <w:r>
              <w:rPr>
                <w:rFonts w:ascii="宋体" w:hAnsi="宋体" w:cs="宋体"/>
                <w:color w:val="000000"/>
                <w:kern w:val="0"/>
                <w:sz w:val="24"/>
                <w:szCs w:val="24"/>
                <w:lang w:bidi="ar"/>
              </w:rPr>
              <w:t>国际运尸棺</w:t>
            </w:r>
            <w:r>
              <w:rPr>
                <w:rFonts w:hint="eastAsia" w:ascii="宋体" w:hAnsi="宋体" w:cs="宋体"/>
                <w:color w:val="000000"/>
                <w:kern w:val="0"/>
                <w:sz w:val="24"/>
                <w:szCs w:val="24"/>
                <w:lang w:bidi="ar"/>
              </w:rPr>
              <w:t>）</w:t>
            </w:r>
          </w:p>
        </w:tc>
        <w:tc>
          <w:tcPr>
            <w:tcW w:w="1446" w:type="dxa"/>
            <w:tcBorders>
              <w:top w:val="single" w:color="000000" w:sz="4" w:space="0"/>
              <w:left w:val="single" w:color="000000" w:sz="4" w:space="0"/>
              <w:bottom w:val="single" w:color="000000" w:sz="4" w:space="0"/>
              <w:right w:val="single" w:color="000000" w:sz="4" w:space="0"/>
            </w:tcBorders>
            <w:vAlign w:val="center"/>
          </w:tcPr>
          <w:p w14:paraId="15CB474F">
            <w:pPr>
              <w:widowControl/>
              <w:jc w:val="center"/>
              <w:textAlignment w:val="center"/>
              <w:rPr>
                <w:rFonts w:hint="eastAsia" w:ascii="宋体" w:hAnsi="宋体" w:cs="宋体"/>
                <w:color w:val="000000"/>
                <w:kern w:val="0"/>
                <w:sz w:val="24"/>
                <w:szCs w:val="24"/>
                <w:lang w:bidi="ar"/>
              </w:rPr>
            </w:pPr>
          </w:p>
        </w:tc>
        <w:tc>
          <w:tcPr>
            <w:tcW w:w="1466" w:type="dxa"/>
            <w:tcBorders>
              <w:top w:val="single" w:color="000000" w:sz="4" w:space="0"/>
              <w:left w:val="single" w:color="000000" w:sz="4" w:space="0"/>
              <w:bottom w:val="single" w:color="000000" w:sz="4" w:space="0"/>
              <w:right w:val="single" w:color="000000" w:sz="4" w:space="0"/>
            </w:tcBorders>
            <w:vAlign w:val="center"/>
          </w:tcPr>
          <w:p w14:paraId="40B60E90">
            <w:pPr>
              <w:widowControl/>
              <w:jc w:val="center"/>
              <w:textAlignment w:val="center"/>
              <w:rPr>
                <w:rFonts w:hint="eastAsia" w:ascii="宋体" w:hAnsi="宋体" w:cs="宋体"/>
                <w:color w:val="000000"/>
                <w:sz w:val="24"/>
                <w:szCs w:val="24"/>
              </w:rPr>
            </w:pPr>
          </w:p>
        </w:tc>
        <w:tc>
          <w:tcPr>
            <w:tcW w:w="1779" w:type="dxa"/>
            <w:tcBorders>
              <w:top w:val="single" w:color="000000" w:sz="4" w:space="0"/>
              <w:left w:val="single" w:color="000000" w:sz="4" w:space="0"/>
              <w:bottom w:val="single" w:color="000000" w:sz="4" w:space="0"/>
              <w:right w:val="single" w:color="000000" w:sz="4" w:space="0"/>
            </w:tcBorders>
            <w:vAlign w:val="center"/>
          </w:tcPr>
          <w:p w14:paraId="1D76A2F8">
            <w:pPr>
              <w:widowControl/>
              <w:jc w:val="center"/>
              <w:textAlignment w:val="center"/>
              <w:rPr>
                <w:rFonts w:hint="eastAsia" w:ascii="宋体" w:hAnsi="宋体" w:cs="宋体"/>
                <w:color w:val="000000"/>
                <w:sz w:val="24"/>
                <w:szCs w:val="24"/>
              </w:rPr>
            </w:pPr>
          </w:p>
        </w:tc>
        <w:tc>
          <w:tcPr>
            <w:tcW w:w="2349" w:type="dxa"/>
            <w:tcBorders>
              <w:top w:val="single" w:color="000000" w:sz="4" w:space="0"/>
              <w:left w:val="single" w:color="000000" w:sz="4" w:space="0"/>
              <w:bottom w:val="single" w:color="000000" w:sz="4" w:space="0"/>
              <w:right w:val="single" w:color="000000" w:sz="4" w:space="0"/>
            </w:tcBorders>
            <w:vAlign w:val="center"/>
          </w:tcPr>
          <w:p w14:paraId="7FB2B5D0">
            <w:pPr>
              <w:widowControl/>
              <w:jc w:val="center"/>
              <w:textAlignment w:val="center"/>
              <w:rPr>
                <w:rFonts w:hint="eastAsia" w:ascii="宋体" w:hAnsi="宋体" w:cs="宋体"/>
                <w:color w:val="000000"/>
                <w:sz w:val="24"/>
                <w:szCs w:val="24"/>
              </w:rPr>
            </w:pPr>
          </w:p>
        </w:tc>
        <w:tc>
          <w:tcPr>
            <w:tcW w:w="2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68BE53">
            <w:pPr>
              <w:widowControl/>
              <w:jc w:val="center"/>
              <w:textAlignment w:val="center"/>
              <w:rPr>
                <w:rFonts w:hint="eastAsia" w:ascii="宋体" w:hAnsi="宋体" w:eastAsia="宋体" w:cs="宋体"/>
                <w:color w:val="000000"/>
                <w:kern w:val="2"/>
                <w:sz w:val="24"/>
                <w:szCs w:val="24"/>
                <w:lang w:val="en-US" w:eastAsia="zh-CN" w:bidi="ar-SA"/>
              </w:rPr>
            </w:pPr>
            <w:r>
              <w:rPr>
                <w:rFonts w:hint="eastAsia" w:ascii="宋体" w:hAnsi="宋体" w:cs="宋体"/>
                <w:color w:val="000000"/>
                <w:sz w:val="24"/>
                <w:szCs w:val="24"/>
              </w:rPr>
              <w:t>6000</w:t>
            </w:r>
          </w:p>
        </w:tc>
        <w:tc>
          <w:tcPr>
            <w:tcW w:w="1688" w:type="dxa"/>
            <w:tcBorders>
              <w:top w:val="single" w:color="000000" w:sz="4" w:space="0"/>
              <w:left w:val="single" w:color="000000" w:sz="4" w:space="0"/>
              <w:bottom w:val="single" w:color="000000" w:sz="4" w:space="0"/>
              <w:right w:val="single" w:color="000000" w:sz="4" w:space="0"/>
            </w:tcBorders>
            <w:vAlign w:val="center"/>
          </w:tcPr>
          <w:p w14:paraId="283835E0">
            <w:pPr>
              <w:widowControl/>
              <w:jc w:val="center"/>
              <w:textAlignment w:val="center"/>
              <w:rPr>
                <w:rFonts w:hint="eastAsia" w:ascii="宋体" w:hAnsi="宋体" w:cs="宋体"/>
                <w:color w:val="000000"/>
                <w:sz w:val="24"/>
                <w:szCs w:val="24"/>
              </w:rPr>
            </w:pPr>
          </w:p>
        </w:tc>
        <w:tc>
          <w:tcPr>
            <w:tcW w:w="735" w:type="dxa"/>
            <w:tcBorders>
              <w:top w:val="single" w:color="000000" w:sz="4" w:space="0"/>
              <w:left w:val="single" w:color="000000" w:sz="4" w:space="0"/>
              <w:bottom w:val="single" w:color="000000" w:sz="4" w:space="0"/>
              <w:right w:val="single" w:color="000000" w:sz="4" w:space="0"/>
            </w:tcBorders>
            <w:vAlign w:val="center"/>
          </w:tcPr>
          <w:p w14:paraId="217E142F">
            <w:pPr>
              <w:widowControl/>
              <w:jc w:val="center"/>
              <w:textAlignment w:val="center"/>
              <w:rPr>
                <w:rFonts w:hint="eastAsia" w:ascii="宋体" w:hAnsi="宋体" w:cs="宋体"/>
                <w:color w:val="000000"/>
                <w:sz w:val="24"/>
                <w:szCs w:val="24"/>
              </w:rPr>
            </w:pPr>
          </w:p>
        </w:tc>
      </w:tr>
      <w:tr w14:paraId="42CB41FE">
        <w:tblPrEx>
          <w:tblCellMar>
            <w:top w:w="0" w:type="dxa"/>
            <w:left w:w="108" w:type="dxa"/>
            <w:bottom w:w="0" w:type="dxa"/>
            <w:right w:w="108" w:type="dxa"/>
          </w:tblCellMar>
        </w:tblPrEx>
        <w:trPr>
          <w:trHeight w:val="459" w:hRule="atLeast"/>
        </w:trPr>
        <w:tc>
          <w:tcPr>
            <w:tcW w:w="673" w:type="dxa"/>
            <w:tcBorders>
              <w:top w:val="single" w:color="000000" w:sz="4" w:space="0"/>
              <w:left w:val="single" w:color="000000" w:sz="4" w:space="0"/>
              <w:bottom w:val="single" w:color="000000" w:sz="4" w:space="0"/>
              <w:right w:val="single" w:color="000000" w:sz="4" w:space="0"/>
            </w:tcBorders>
            <w:vAlign w:val="center"/>
          </w:tcPr>
          <w:p w14:paraId="132B0551">
            <w:pPr>
              <w:widowControl/>
              <w:jc w:val="center"/>
              <w:textAlignment w:val="center"/>
              <w:rPr>
                <w:rFonts w:hint="default" w:ascii="宋体" w:hAnsi="宋体" w:eastAsia="宋体" w:cs="宋体"/>
                <w:color w:val="000000"/>
                <w:kern w:val="0"/>
                <w:sz w:val="22"/>
                <w:szCs w:val="22"/>
                <w:lang w:val="en-US" w:eastAsia="zh-CN" w:bidi="ar"/>
              </w:rPr>
            </w:pPr>
            <w:r>
              <w:rPr>
                <w:rFonts w:hint="eastAsia" w:ascii="宋体" w:hAnsi="宋体" w:cs="宋体"/>
                <w:color w:val="000000"/>
                <w:kern w:val="0"/>
                <w:sz w:val="22"/>
                <w:szCs w:val="22"/>
                <w:lang w:val="en-US" w:eastAsia="zh-CN" w:bidi="ar"/>
              </w:rPr>
              <w:t>12</w:t>
            </w:r>
          </w:p>
        </w:tc>
        <w:tc>
          <w:tcPr>
            <w:tcW w:w="9008" w:type="dxa"/>
            <w:gridSpan w:val="5"/>
            <w:tcBorders>
              <w:top w:val="single" w:color="000000" w:sz="4" w:space="0"/>
              <w:left w:val="single" w:color="000000" w:sz="4" w:space="0"/>
              <w:bottom w:val="single" w:color="000000" w:sz="4" w:space="0"/>
              <w:right w:val="single" w:color="000000" w:sz="4" w:space="0"/>
            </w:tcBorders>
            <w:vAlign w:val="center"/>
          </w:tcPr>
          <w:p w14:paraId="54DD1828">
            <w:pPr>
              <w:widowControl/>
              <w:jc w:val="center"/>
              <w:textAlignment w:val="center"/>
              <w:rPr>
                <w:rFonts w:hint="eastAsia" w:ascii="宋体" w:hAnsi="宋体" w:cs="宋体"/>
                <w:color w:val="000000"/>
                <w:sz w:val="24"/>
                <w:szCs w:val="24"/>
              </w:rPr>
            </w:pPr>
            <w:r>
              <w:rPr>
                <w:rFonts w:hint="eastAsia" w:ascii="宋体" w:hAnsi="宋体" w:cs="宋体"/>
                <w:color w:val="000000"/>
                <w:kern w:val="0"/>
                <w:sz w:val="24"/>
                <w:szCs w:val="24"/>
                <w:lang w:eastAsia="zh-CN" w:bidi="ar"/>
              </w:rPr>
              <w:t>合计</w:t>
            </w:r>
          </w:p>
        </w:tc>
        <w:tc>
          <w:tcPr>
            <w:tcW w:w="2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9E760E">
            <w:pPr>
              <w:widowControl/>
              <w:jc w:val="center"/>
              <w:textAlignment w:val="center"/>
              <w:rPr>
                <w:rFonts w:hint="default" w:ascii="宋体" w:hAnsi="宋体" w:eastAsia="宋体" w:cs="宋体"/>
                <w:color w:val="000000"/>
                <w:sz w:val="24"/>
                <w:szCs w:val="24"/>
                <w:lang w:val="en-US" w:eastAsia="zh-CN"/>
              </w:rPr>
            </w:pPr>
            <w:r>
              <w:rPr>
                <w:rFonts w:hint="eastAsia" w:ascii="宋体" w:hAnsi="宋体" w:cs="宋体"/>
                <w:color w:val="000000"/>
                <w:sz w:val="24"/>
                <w:szCs w:val="24"/>
                <w:lang w:val="en-US" w:eastAsia="zh-CN"/>
              </w:rPr>
              <w:t>10216</w:t>
            </w:r>
          </w:p>
        </w:tc>
        <w:tc>
          <w:tcPr>
            <w:tcW w:w="1688" w:type="dxa"/>
            <w:tcBorders>
              <w:top w:val="single" w:color="000000" w:sz="4" w:space="0"/>
              <w:left w:val="single" w:color="000000" w:sz="4" w:space="0"/>
              <w:bottom w:val="single" w:color="000000" w:sz="4" w:space="0"/>
              <w:right w:val="single" w:color="000000" w:sz="4" w:space="0"/>
            </w:tcBorders>
            <w:vAlign w:val="center"/>
          </w:tcPr>
          <w:p w14:paraId="28CB1373">
            <w:pPr>
              <w:widowControl/>
              <w:jc w:val="center"/>
              <w:textAlignment w:val="center"/>
              <w:rPr>
                <w:rFonts w:hint="eastAsia" w:ascii="宋体" w:hAnsi="宋体" w:cs="宋体"/>
                <w:color w:val="000000"/>
                <w:sz w:val="24"/>
                <w:szCs w:val="24"/>
              </w:rPr>
            </w:pPr>
          </w:p>
        </w:tc>
        <w:tc>
          <w:tcPr>
            <w:tcW w:w="735" w:type="dxa"/>
            <w:tcBorders>
              <w:top w:val="single" w:color="000000" w:sz="4" w:space="0"/>
              <w:left w:val="single" w:color="000000" w:sz="4" w:space="0"/>
              <w:bottom w:val="single" w:color="000000" w:sz="4" w:space="0"/>
              <w:right w:val="single" w:color="000000" w:sz="4" w:space="0"/>
            </w:tcBorders>
            <w:vAlign w:val="center"/>
          </w:tcPr>
          <w:p w14:paraId="3363112E">
            <w:pPr>
              <w:widowControl/>
              <w:jc w:val="center"/>
              <w:textAlignment w:val="center"/>
              <w:rPr>
                <w:rFonts w:hint="eastAsia" w:ascii="宋体" w:hAnsi="宋体" w:cs="宋体"/>
                <w:color w:val="000000"/>
                <w:sz w:val="24"/>
                <w:szCs w:val="24"/>
              </w:rPr>
            </w:pPr>
          </w:p>
        </w:tc>
      </w:tr>
    </w:tbl>
    <w:p w14:paraId="48D01A0D">
      <w:pPr>
        <w:pStyle w:val="12"/>
        <w:widowControl/>
        <w:ind w:firstLine="480" w:firstLineChars="200"/>
        <w:outlineLvl w:val="9"/>
        <w:rPr>
          <w:rFonts w:hint="eastAsia" w:ascii="宋体" w:hAnsi="宋体" w:eastAsia="宋体" w:cs="宋体"/>
          <w:b w:val="0"/>
          <w:color w:val="000000"/>
          <w:kern w:val="0"/>
          <w:sz w:val="24"/>
          <w:szCs w:val="24"/>
          <w:lang w:val="en-US" w:eastAsia="zh-CN" w:bidi="ar"/>
        </w:rPr>
      </w:pPr>
    </w:p>
    <w:p w14:paraId="02ECD99F">
      <w:pPr>
        <w:spacing w:line="360" w:lineRule="auto"/>
        <w:jc w:val="left"/>
        <w:rPr>
          <w:rFonts w:hint="eastAsia" w:ascii="宋体" w:hAnsi="宋体"/>
          <w:b/>
          <w:color w:val="auto"/>
          <w:sz w:val="32"/>
          <w:szCs w:val="32"/>
        </w:rPr>
      </w:pPr>
    </w:p>
    <w:p w14:paraId="4BAAD926">
      <w:pPr>
        <w:rPr>
          <w:color w:val="auto"/>
        </w:rPr>
      </w:pPr>
    </w:p>
    <w:sectPr>
      <w:pgSz w:w="16838" w:h="11906" w:orient="landscape"/>
      <w:pgMar w:top="1361" w:right="1304" w:bottom="1361" w:left="1304" w:header="851" w:footer="992" w:gutter="0"/>
      <w:cols w:space="0" w:num="1"/>
      <w:rtlGutter w:val="0"/>
      <w:docGrid w:type="lines" w:linePitch="32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0"/>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64"/>
  <w:displayHorizontalDrawingGridEvery w:val="1"/>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YzOGJlZTQxYzY3ZWY4ODg1YmNmNTNiZDdlZGNlMDcifQ=="/>
  </w:docVars>
  <w:rsids>
    <w:rsidRoot w:val="00000000"/>
    <w:rsid w:val="06E41B13"/>
    <w:rsid w:val="072232A9"/>
    <w:rsid w:val="11860A6B"/>
    <w:rsid w:val="160A1CD0"/>
    <w:rsid w:val="16CC18FD"/>
    <w:rsid w:val="172E13AB"/>
    <w:rsid w:val="25010F81"/>
    <w:rsid w:val="278F6D9F"/>
    <w:rsid w:val="30631BDE"/>
    <w:rsid w:val="347D2807"/>
    <w:rsid w:val="3CD64AF3"/>
    <w:rsid w:val="3E573F72"/>
    <w:rsid w:val="425305CA"/>
    <w:rsid w:val="43355BF7"/>
    <w:rsid w:val="46A27424"/>
    <w:rsid w:val="4B240862"/>
    <w:rsid w:val="53F63742"/>
    <w:rsid w:val="5AF60C89"/>
    <w:rsid w:val="5E6E5992"/>
    <w:rsid w:val="64B84A10"/>
    <w:rsid w:val="67CB3CC5"/>
    <w:rsid w:val="6C36577D"/>
    <w:rsid w:val="6D060F5D"/>
    <w:rsid w:val="6F767A5C"/>
    <w:rsid w:val="70EA20AA"/>
    <w:rsid w:val="71AB1CE6"/>
    <w:rsid w:val="72C7138F"/>
    <w:rsid w:val="77CF0681"/>
    <w:rsid w:val="7C364A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default" w:ascii="Times New Roman" w:hAnsi="Times New Roman" w:eastAsia="Times New Roman" w:cs="Times New Roman"/>
      <w:kern w:val="0"/>
      <w:sz w:val="24"/>
      <w:szCs w:val="24"/>
      <w:lang w:val="en-US" w:eastAsia="zh-CN" w:bidi="ar"/>
    </w:rPr>
  </w:style>
  <w:style w:type="paragraph" w:styleId="2">
    <w:name w:val="heading 1"/>
    <w:basedOn w:val="1"/>
    <w:next w:val="1"/>
    <w:link w:val="9"/>
    <w:autoRedefine/>
    <w:qFormat/>
    <w:uiPriority w:val="0"/>
    <w:pPr>
      <w:keepNext/>
      <w:keepLines/>
      <w:spacing w:before="340" w:beforeLines="0" w:after="330" w:afterLines="0" w:line="600" w:lineRule="exact"/>
      <w:jc w:val="center"/>
      <w:outlineLvl w:val="0"/>
    </w:pPr>
    <w:rPr>
      <w:rFonts w:ascii="Times New Roman" w:hAnsi="Times New Roman" w:eastAsia="宋体" w:cs="Times New Roman"/>
      <w:b/>
      <w:bCs/>
      <w:kern w:val="44"/>
      <w:sz w:val="30"/>
      <w:szCs w:val="44"/>
    </w:rPr>
  </w:style>
  <w:style w:type="paragraph" w:styleId="3">
    <w:name w:val="heading 2"/>
    <w:basedOn w:val="1"/>
    <w:next w:val="1"/>
    <w:link w:val="10"/>
    <w:semiHidden/>
    <w:unhideWhenUsed/>
    <w:qFormat/>
    <w:uiPriority w:val="0"/>
    <w:pPr>
      <w:keepNext/>
      <w:keepLines/>
      <w:spacing w:before="260" w:beforeLines="0" w:after="260" w:afterLines="0" w:line="413" w:lineRule="auto"/>
      <w:jc w:val="left"/>
      <w:outlineLvl w:val="1"/>
    </w:pPr>
    <w:rPr>
      <w:rFonts w:ascii="Arial" w:hAnsi="Arial" w:eastAsia="黑体" w:cs="Arial"/>
      <w:bCs/>
      <w:sz w:val="28"/>
      <w:szCs w:val="32"/>
    </w:rPr>
  </w:style>
  <w:style w:type="paragraph" w:styleId="4">
    <w:name w:val="heading 3"/>
    <w:basedOn w:val="1"/>
    <w:next w:val="1"/>
    <w:autoRedefine/>
    <w:semiHidden/>
    <w:unhideWhenUsed/>
    <w:qFormat/>
    <w:uiPriority w:val="0"/>
    <w:pPr>
      <w:keepNext/>
      <w:keepLines/>
      <w:spacing w:before="260" w:beforeLines="0" w:beforeAutospacing="0" w:after="260" w:afterLines="0" w:afterAutospacing="0" w:line="480" w:lineRule="exact"/>
      <w:outlineLvl w:val="2"/>
    </w:pPr>
    <w:rPr>
      <w:rFonts w:ascii="宋体" w:hAnsi="宋体" w:eastAsia="宋体" w:cs="宋体"/>
      <w:b/>
      <w:sz w:val="28"/>
    </w:rPr>
  </w:style>
  <w:style w:type="paragraph" w:styleId="5">
    <w:name w:val="heading 4"/>
    <w:basedOn w:val="1"/>
    <w:next w:val="1"/>
    <w:semiHidden/>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8">
    <w:name w:val="Default Paragraph Font"/>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6">
    <w:name w:val="toc 1"/>
    <w:basedOn w:val="1"/>
    <w:next w:val="1"/>
    <w:qFormat/>
    <w:uiPriority w:val="39"/>
    <w:pPr>
      <w:tabs>
        <w:tab w:val="right" w:leader="dot" w:pos="9628"/>
      </w:tabs>
      <w:spacing w:line="360" w:lineRule="auto"/>
      <w:ind w:firstLine="480"/>
      <w:jc w:val="left"/>
    </w:pPr>
  </w:style>
  <w:style w:type="character" w:customStyle="1" w:styleId="9">
    <w:name w:val="标题 1 Char"/>
    <w:link w:val="2"/>
    <w:qFormat/>
    <w:uiPriority w:val="0"/>
    <w:rPr>
      <w:rFonts w:ascii="Times New Roman" w:hAnsi="Times New Roman" w:eastAsia="宋体" w:cs="Times New Roman"/>
      <w:b/>
      <w:bCs/>
      <w:kern w:val="44"/>
      <w:sz w:val="32"/>
      <w:szCs w:val="44"/>
      <w:lang w:val="en-US" w:eastAsia="zh-CN" w:bidi="ar-SA"/>
    </w:rPr>
  </w:style>
  <w:style w:type="character" w:customStyle="1" w:styleId="10">
    <w:name w:val="标题 2 Char"/>
    <w:link w:val="3"/>
    <w:qFormat/>
    <w:uiPriority w:val="0"/>
    <w:rPr>
      <w:rFonts w:ascii="Arial" w:hAnsi="Arial" w:eastAsia="黑体" w:cs="Arial"/>
      <w:bCs/>
      <w:sz w:val="28"/>
      <w:szCs w:val="32"/>
    </w:rPr>
  </w:style>
  <w:style w:type="paragraph" w:customStyle="1" w:styleId="11">
    <w:name w:val="正文（缩进 2 字符）"/>
    <w:basedOn w:val="1"/>
    <w:qFormat/>
    <w:uiPriority w:val="0"/>
    <w:pPr>
      <w:ind w:firstLine="200" w:firstLineChars="200"/>
    </w:pPr>
  </w:style>
  <w:style w:type="paragraph" w:customStyle="1" w:styleId="12">
    <w:name w:val="Normal_3"/>
    <w:basedOn w:val="1"/>
    <w:uiPriority w:val="0"/>
    <w:pPr>
      <w:keepNext w:val="0"/>
      <w:keepLines w:val="0"/>
      <w:widowControl/>
      <w:suppressLineNumbers w:val="0"/>
      <w:spacing w:before="0" w:beforeAutospacing="0" w:after="0" w:afterAutospacing="0"/>
      <w:ind w:left="0" w:right="0"/>
      <w:jc w:val="left"/>
    </w:pPr>
    <w:rPr>
      <w:rFonts w:hint="eastAsia" w:ascii="黑体" w:hAnsi="宋体" w:eastAsia="黑体" w:cs="Times New Roman"/>
      <w:b/>
      <w:kern w:val="0"/>
      <w:sz w:val="32"/>
      <w:szCs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2747</Words>
  <Characters>2772</Characters>
  <Lines>0</Lines>
  <Paragraphs>0</Paragraphs>
  <TotalTime>4</TotalTime>
  <ScaleCrop>false</ScaleCrop>
  <LinksUpToDate>false</LinksUpToDate>
  <CharactersWithSpaces>2986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2023-05-18T03:27:00Z</dcterms:created>
  <dc:creator>Administrator</dc:creator>
  <cp:lastModifiedBy>快乐猫</cp:lastModifiedBy>
  <dcterms:modified xsi:type="dcterms:W3CDTF">2025-06-17T07:38:21Z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3674EB675E8B492B82313DA9409C9755_12</vt:lpwstr>
  </property>
  <property fmtid="{D5CDD505-2E9C-101B-9397-08002B2CF9AE}" pid="4" name="KSOTemplateDocerSaveRecord">
    <vt:lpwstr>eyJoZGlkIjoiOGYzOGJlZTQxYzY3ZWY4ODg1YmNmNTNiZDdlZGNlMDciLCJ1c2VySWQiOiIxNTE3ODQyNzU3In0=</vt:lpwstr>
  </property>
</Properties>
</file>