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版本号：JXRC-250519-220250616001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文化宣传视频制作项目(二次)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JXRC-250519-2</w:t>
      </w:r>
      <w:r>
        <w:br/>
      </w:r>
      <w:r>
        <w:br/>
      </w:r>
      <w:r>
        <w:br/>
      </w:r>
    </w:p>
    <w:p>
      <w:pPr>
        <w:pStyle w:val="null3"/>
        <w:jc w:val="center"/>
        <w:outlineLvl w:val="2"/>
      </w:pPr>
      <w:r>
        <w:rPr>
          <w:rFonts w:ascii="仿宋_GB2312" w:hAnsi="仿宋_GB2312" w:cs="仿宋_GB2312" w:eastAsia="仿宋_GB2312"/>
          <w:sz w:val="28"/>
          <w:b/>
        </w:rPr>
        <w:t>西安市人民医院（西安市第四医院）</w:t>
      </w:r>
    </w:p>
    <w:p>
      <w:pPr>
        <w:pStyle w:val="null3"/>
        <w:jc w:val="center"/>
        <w:outlineLvl w:val="2"/>
      </w:pPr>
      <w:r>
        <w:rPr>
          <w:rFonts w:ascii="仿宋_GB2312" w:hAnsi="仿宋_GB2312" w:cs="仿宋_GB2312" w:eastAsia="仿宋_GB2312"/>
          <w:sz w:val="28"/>
          <w:b/>
        </w:rPr>
        <w:t>陕西嘉信瑞诚招标有限公司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2025年06月16日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陕西嘉信瑞诚招标有限公司</w:t>
      </w:r>
      <w:r>
        <w:rPr>
          <w:rFonts w:ascii="仿宋_GB2312" w:hAnsi="仿宋_GB2312" w:cs="仿宋_GB2312" w:eastAsia="仿宋_GB2312"/>
        </w:rPr>
        <w:t>（以下简称“代理机构”）受</w:t>
      </w:r>
      <w:r>
        <w:rPr>
          <w:rFonts w:ascii="仿宋_GB2312" w:hAnsi="仿宋_GB2312" w:cs="仿宋_GB2312" w:eastAsia="仿宋_GB2312"/>
        </w:rPr>
        <w:t>西安市人民医院（西安市第四医院）</w:t>
      </w:r>
      <w:r>
        <w:rPr>
          <w:rFonts w:ascii="仿宋_GB2312" w:hAnsi="仿宋_GB2312" w:cs="仿宋_GB2312" w:eastAsia="仿宋_GB2312"/>
        </w:rPr>
        <w:t>委托，拟对</w:t>
      </w:r>
      <w:r>
        <w:rPr>
          <w:rFonts w:ascii="仿宋_GB2312" w:hAnsi="仿宋_GB2312" w:cs="仿宋_GB2312" w:eastAsia="仿宋_GB2312"/>
        </w:rPr>
        <w:t>文化宣传视频制作项目(二次)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JXRC-250519-2</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文化宣传视频制作项目(二次)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为了对医院进行形象宣传，持续推进医院宣传作用，扩大医院影响力，确立医院文化品牌，加强各科室的宣传力度，需对西安市人民医院（西安市第四医院）文化宣传视频制作项目进行采购。</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采购包1（宣传微电影、纪录片制作项目）：属于专门面向中小企业采购。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为具有独立承担民事责任能力的法人、其他组织或自然人：企业法人应提供合法有效的标识有统一社会信用代码的营业执照；事业法人应提供事业单位法人证书；其他组织应提供合法登记证明文件；自然人应提供身份证。</w:t>
      </w:r>
    </w:p>
    <w:p>
      <w:pPr>
        <w:pStyle w:val="null3"/>
      </w:pPr>
      <w:r>
        <w:rPr>
          <w:rFonts w:ascii="仿宋_GB2312" w:hAnsi="仿宋_GB2312" w:cs="仿宋_GB2312" w:eastAsia="仿宋_GB2312"/>
        </w:rPr>
        <w:t>2、法定代表授权书：法定代表人/负责人直接参加的，须递交《法定代表人/负责人身份证明》；法定代表人/负责人授权代表参加的，须递交《法定代表人/负责人授权书》。</w:t>
      </w:r>
    </w:p>
    <w:p>
      <w:pPr>
        <w:pStyle w:val="null3"/>
      </w:pPr>
      <w:r>
        <w:rPr>
          <w:rFonts w:ascii="仿宋_GB2312" w:hAnsi="仿宋_GB2312" w:cs="仿宋_GB2312" w:eastAsia="仿宋_GB2312"/>
        </w:rPr>
        <w:t>3、财务状况证明：法人提供会计师事务所出具的完整的2024年度审计报告（成立时间至提交投标文件截止时间不足一年的可提供成立后任意时段的资产负债表)，或开标前6个月内（2024年11月1日后）其开户银行出具的资信证明，或信用担保机构出具的投标担保函（以上三种形式的资料提供任何一种即可)；其他组织和自然人提供银行出具的资信证明或财务报表。</w:t>
      </w:r>
    </w:p>
    <w:p>
      <w:pPr>
        <w:pStyle w:val="null3"/>
      </w:pPr>
      <w:r>
        <w:rPr>
          <w:rFonts w:ascii="仿宋_GB2312" w:hAnsi="仿宋_GB2312" w:cs="仿宋_GB2312" w:eastAsia="仿宋_GB2312"/>
        </w:rPr>
        <w:t>4、纳税证明：法人提供自2024年11月1日以来至少一个月的纳税证明或完税证明(任意税种)，纳税证明或完税证明上应有代收机构或税务机关的公章或业务专用章；其他组织和自然人提供自2024年11月1日以来至少一个月缴纳税收的凭据；依法免税的投标人应提供相关文件证明。</w:t>
      </w:r>
    </w:p>
    <w:p>
      <w:pPr>
        <w:pStyle w:val="null3"/>
      </w:pPr>
      <w:r>
        <w:rPr>
          <w:rFonts w:ascii="仿宋_GB2312" w:hAnsi="仿宋_GB2312" w:cs="仿宋_GB2312" w:eastAsia="仿宋_GB2312"/>
        </w:rPr>
        <w:t>5、社保缴纳证明：提供自2024年11月1日以来至少一个月已缴纳的社会保障资金的证明（社会保障资金缴存单据或社保机构开具的社会保险参保缴费情况证明等)；依法不需要缴纳社会保障资金的投标人应提供相关证明文件。</w:t>
      </w:r>
    </w:p>
    <w:p>
      <w:pPr>
        <w:pStyle w:val="null3"/>
      </w:pPr>
      <w:r>
        <w:rPr>
          <w:rFonts w:ascii="仿宋_GB2312" w:hAnsi="仿宋_GB2312" w:cs="仿宋_GB2312" w:eastAsia="仿宋_GB2312"/>
        </w:rPr>
        <w:t>6、无重大违法记录声明：参加本次政府采购活动前三年内，在经营活动中没有重大违法记录，提供《无重大违法记录声明》。</w:t>
      </w:r>
    </w:p>
    <w:p>
      <w:pPr>
        <w:pStyle w:val="null3"/>
      </w:pPr>
      <w:r>
        <w:rPr>
          <w:rFonts w:ascii="仿宋_GB2312" w:hAnsi="仿宋_GB2312" w:cs="仿宋_GB2312" w:eastAsia="仿宋_GB2312"/>
        </w:rPr>
        <w:t>7、履约能力声明：提供《具有履行合同所必需的设备和专业技术能力的承诺书》。</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西安市人民医院（西安市第四医院）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西安市长安区航天新城航天东路155号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710199</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029-61199741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陕西嘉信瑞诚招标有限公司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西安市南稍门十字东南角大话南门壹中心18层1806室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曲慧、张海</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029-81541692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代理服务费收费标准：收费标准参照原中华人民共和国国家计划委员会计价格[2002]1980号文下浮20%计算收取，具体收费额以采购代理机构出具的发票为准。</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采购包1：组织现场踏勘：是</w:t>
            </w:r>
          </w:p>
          <w:p>
            <w:pPr>
              <w:pStyle w:val="null3"/>
              <w:ind w:firstLine="975"/>
            </w:pPr>
            <w:r>
              <w:rPr>
                <w:rFonts w:ascii="仿宋_GB2312" w:hAnsi="仿宋_GB2312" w:cs="仿宋_GB2312" w:eastAsia="仿宋_GB2312"/>
              </w:rPr>
              <w:t>踏勘时间：2025-06-25 14:00:00</w:t>
            </w:r>
          </w:p>
          <w:p>
            <w:pPr>
              <w:pStyle w:val="null3"/>
              <w:ind w:firstLine="975"/>
            </w:pPr>
            <w:r>
              <w:rPr>
                <w:rFonts w:ascii="仿宋_GB2312" w:hAnsi="仿宋_GB2312" w:cs="仿宋_GB2312" w:eastAsia="仿宋_GB2312"/>
              </w:rPr>
              <w:t>踏勘地点：西安市人民医院（西安市第四医院）航天城院区门诊楼门口集合（供应商可根据自身情况自行决定踏勘需求,是否需要携带拍摄相关设备自行决定。踏勘所产生的一切责任由供应商自行承担，踏勘产生的相关费用及安全由供应商自行承担。凡因对项目实施现场踏勘不充分等了解不清而造成的后果和风险，或因供应商对磋商文件阅读疏忽或误解，均由供应商自行负责。）</w:t>
            </w:r>
          </w:p>
          <w:p>
            <w:pPr>
              <w:pStyle w:val="null3"/>
              <w:ind w:firstLine="975"/>
            </w:pPr>
            <w:r>
              <w:rPr>
                <w:rFonts w:ascii="仿宋_GB2312" w:hAnsi="仿宋_GB2312" w:cs="仿宋_GB2312" w:eastAsia="仿宋_GB2312"/>
              </w:rPr>
              <w:t>联系人：陆频</w:t>
            </w:r>
          </w:p>
          <w:p>
            <w:pPr>
              <w:pStyle w:val="null3"/>
              <w:ind w:firstLine="975"/>
            </w:pPr>
            <w:r>
              <w:rPr>
                <w:rFonts w:ascii="仿宋_GB2312" w:hAnsi="仿宋_GB2312" w:cs="仿宋_GB2312" w:eastAsia="仿宋_GB2312"/>
              </w:rPr>
              <w:t>联系电话号码：18629280877</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西安市人民医院（西安市第四医院）</w:t>
      </w:r>
      <w:r>
        <w:rPr>
          <w:rFonts w:ascii="仿宋_GB2312" w:hAnsi="仿宋_GB2312" w:cs="仿宋_GB2312" w:eastAsia="仿宋_GB2312"/>
        </w:rPr>
        <w:t>和</w:t>
      </w:r>
      <w:r>
        <w:rPr>
          <w:rFonts w:ascii="仿宋_GB2312" w:hAnsi="仿宋_GB2312" w:cs="仿宋_GB2312" w:eastAsia="仿宋_GB2312"/>
        </w:rPr>
        <w:t>陕西嘉信瑞诚招标有限公司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西安市人民医院（西安市第四医院）</w:t>
      </w:r>
      <w:r>
        <w:rPr>
          <w:rFonts w:ascii="仿宋_GB2312" w:hAnsi="仿宋_GB2312" w:cs="仿宋_GB2312" w:eastAsia="仿宋_GB2312"/>
        </w:rPr>
        <w:t>负责解释。除上述磋商文件内容，其他内容由</w:t>
      </w:r>
      <w:r>
        <w:rPr>
          <w:rFonts w:ascii="仿宋_GB2312" w:hAnsi="仿宋_GB2312" w:cs="仿宋_GB2312" w:eastAsia="仿宋_GB2312"/>
        </w:rPr>
        <w:t>陕西嘉信瑞诚招标有限公司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西安市人民医院（西安市第四医院）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陕西嘉信瑞诚招标有限公司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详见合同条款。</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陕西嘉信瑞诚招标有限公司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陕西嘉信瑞诚招标有限公司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陕西嘉信瑞诚招标有限公司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联系人：曲慧、张海</w:t>
      </w:r>
    </w:p>
    <w:p>
      <w:pPr>
        <w:pStyle w:val="null3"/>
      </w:pPr>
      <w:r>
        <w:rPr>
          <w:rFonts w:ascii="仿宋_GB2312" w:hAnsi="仿宋_GB2312" w:cs="仿宋_GB2312" w:eastAsia="仿宋_GB2312"/>
        </w:rPr>
        <w:t>联系电话：029-81541692</w:t>
      </w:r>
    </w:p>
    <w:p>
      <w:pPr>
        <w:pStyle w:val="null3"/>
      </w:pPr>
      <w:r>
        <w:rPr>
          <w:rFonts w:ascii="仿宋_GB2312" w:hAnsi="仿宋_GB2312" w:cs="仿宋_GB2312" w:eastAsia="仿宋_GB2312"/>
        </w:rPr>
        <w:t>地址：西安市南稍门十字东南角大话南门壹中心1806室</w:t>
      </w:r>
    </w:p>
    <w:p>
      <w:pPr>
        <w:pStyle w:val="null3"/>
      </w:pPr>
      <w:r>
        <w:rPr>
          <w:rFonts w:ascii="仿宋_GB2312" w:hAnsi="仿宋_GB2312" w:cs="仿宋_GB2312" w:eastAsia="仿宋_GB2312"/>
        </w:rPr>
        <w:t>邮编：710061</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为了对医院进行形象宣传，持续推进医院宣传作用，扩大医院影响力，确立医院文化品牌，加强各科室的宣传力度，需对西安市人民医院（西安市第四医院）文化宣传视频制作项目进行采购。</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250,000.00</w:t>
      </w:r>
    </w:p>
    <w:p>
      <w:pPr>
        <w:pStyle w:val="null3"/>
      </w:pPr>
      <w:r>
        <w:rPr>
          <w:rFonts w:ascii="仿宋_GB2312" w:hAnsi="仿宋_GB2312" w:cs="仿宋_GB2312" w:eastAsia="仿宋_GB2312"/>
        </w:rPr>
        <w:t>采购包最高限价（元）: 250,000.00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标段二：西安市人民医院（西安市第四医院）宣传微电影、纪录片制作项目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标的名称：标段二：西安市人民医院（西安市第四医院）宣传微电影、纪录片制作项目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一、微电影</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1.成品限价≤70000元/部。</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pPr>
            <w:r>
              <w:rPr>
                <w:rFonts w:ascii="仿宋_GB2312" w:hAnsi="仿宋_GB2312" w:cs="仿宋_GB2312" w:eastAsia="仿宋_GB2312"/>
              </w:rPr>
              <w:t>2.每个镜头要求构图完整、构图干净、角度独特、用光巧妙，后期使用专业剪辑软件进行精细剪辑、调色和包装，确保画面流畅、色彩饱满。</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pPr>
            <w:r>
              <w:rPr>
                <w:rFonts w:ascii="仿宋_GB2312" w:hAnsi="仿宋_GB2312" w:cs="仿宋_GB2312" w:eastAsia="仿宋_GB2312"/>
              </w:rPr>
              <w:t>3.拍摄格式：log模式（灰片）。分辨率： 4K (3840x2160) 或以上。视频编码：支持10-bit色深。</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pPr>
            <w:r>
              <w:rPr>
                <w:rFonts w:ascii="仿宋_GB2312" w:hAnsi="仿宋_GB2312" w:cs="仿宋_GB2312" w:eastAsia="仿宋_GB2312"/>
              </w:rPr>
              <w:t>4.每条视频制作周期≤30天。每条视频启动制作时，至少提供3版创意脚本大纲。每条视频启动后5个工作日交付详细创意脚本，脚本必须审核后才能开始拍摄制作。</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pPr>
            <w:r>
              <w:rPr>
                <w:rFonts w:ascii="仿宋_GB2312" w:hAnsi="仿宋_GB2312" w:cs="仿宋_GB2312" w:eastAsia="仿宋_GB2312"/>
              </w:rPr>
              <w:t>5.使用两套以上专业4K高清摄影、录音、灯光等设备进行现场多角度、多机位、多景别等拍摄，且有延时拍摄、航拍画面。根据剧情需要提供滑轨、航拍等必要设备。</w:t>
            </w:r>
          </w:p>
        </w:tc>
      </w:tr>
      <w:tr>
        <w:tc>
          <w:tcPr>
            <w:tcW w:type="dxa" w:w="2769"/>
          </w:tcPr>
          <w:p>
            <w:pPr>
              <w:pStyle w:val="null3"/>
            </w:pPr>
            <w:r>
              <w:rPr>
                <w:rFonts w:ascii="仿宋_GB2312" w:hAnsi="仿宋_GB2312" w:cs="仿宋_GB2312" w:eastAsia="仿宋_GB2312"/>
              </w:rPr>
              <w:t>7</w:t>
            </w:r>
          </w:p>
        </w:tc>
        <w:tc>
          <w:tcPr>
            <w:tcW w:type="dxa" w:w="2769"/>
          </w:tcPr>
          <w:p/>
        </w:tc>
        <w:tc>
          <w:tcPr>
            <w:tcW w:type="dxa" w:w="2769"/>
          </w:tcPr>
          <w:p>
            <w:pPr>
              <w:pStyle w:val="null3"/>
            </w:pPr>
            <w:r>
              <w:rPr>
                <w:rFonts w:ascii="仿宋_GB2312" w:hAnsi="仿宋_GB2312" w:cs="仿宋_GB2312" w:eastAsia="仿宋_GB2312"/>
              </w:rPr>
              <w:t>6.交付时，需同时交付成片全高清MP4或MOV格式高清数据文件及视频原素材，配音应选用专业配音演员进行录制，确保声音清晰、情感到位。</w:t>
            </w:r>
          </w:p>
        </w:tc>
      </w:tr>
      <w:tr>
        <w:tc>
          <w:tcPr>
            <w:tcW w:type="dxa" w:w="2769"/>
          </w:tcPr>
          <w:p>
            <w:pPr>
              <w:pStyle w:val="null3"/>
            </w:pPr>
            <w:r>
              <w:rPr>
                <w:rFonts w:ascii="仿宋_GB2312" w:hAnsi="仿宋_GB2312" w:cs="仿宋_GB2312" w:eastAsia="仿宋_GB2312"/>
              </w:rPr>
              <w:t>8</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7. 视频数量≥1条。</w:t>
            </w:r>
          </w:p>
        </w:tc>
      </w:tr>
      <w:tr>
        <w:tc>
          <w:tcPr>
            <w:tcW w:type="dxa" w:w="2769"/>
          </w:tcPr>
          <w:p>
            <w:pPr>
              <w:pStyle w:val="null3"/>
            </w:pPr>
            <w:r>
              <w:rPr>
                <w:rFonts w:ascii="仿宋_GB2312" w:hAnsi="仿宋_GB2312" w:cs="仿宋_GB2312" w:eastAsia="仿宋_GB2312"/>
              </w:rPr>
              <w:t>9</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8.时长：≥5分钟，成片分辨率≥</w:t>
            </w:r>
            <w:r>
              <w:rPr>
                <w:rFonts w:ascii="仿宋_GB2312" w:hAnsi="仿宋_GB2312" w:cs="仿宋_GB2312" w:eastAsia="仿宋_GB2312"/>
                <w:sz w:val="24"/>
              </w:rPr>
              <w:t>1920*1080</w:t>
            </w:r>
            <w:r>
              <w:rPr>
                <w:rFonts w:ascii="仿宋_GB2312" w:hAnsi="仿宋_GB2312" w:cs="仿宋_GB2312" w:eastAsia="仿宋_GB2312"/>
              </w:rPr>
              <w:t>。</w:t>
            </w:r>
          </w:p>
        </w:tc>
      </w:tr>
      <w:tr>
        <w:tc>
          <w:tcPr>
            <w:tcW w:type="dxa" w:w="2769"/>
          </w:tcPr>
          <w:p>
            <w:pPr>
              <w:pStyle w:val="null3"/>
            </w:pPr>
            <w:r>
              <w:rPr>
                <w:rFonts w:ascii="仿宋_GB2312" w:hAnsi="仿宋_GB2312" w:cs="仿宋_GB2312" w:eastAsia="仿宋_GB2312"/>
              </w:rPr>
              <w:t>10</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9.创作人员≥5人，必须包含项目对接人1名，策划1名，导演1名，摄像师1名，后期制作1名。</w:t>
            </w:r>
          </w:p>
        </w:tc>
      </w:tr>
      <w:tr>
        <w:tc>
          <w:tcPr>
            <w:tcW w:type="dxa" w:w="2769"/>
          </w:tcPr>
          <w:p>
            <w:pPr>
              <w:pStyle w:val="null3"/>
            </w:pPr>
            <w:r>
              <w:rPr>
                <w:rFonts w:ascii="仿宋_GB2312" w:hAnsi="仿宋_GB2312" w:cs="仿宋_GB2312" w:eastAsia="仿宋_GB2312"/>
              </w:rPr>
              <w:t>11</w:t>
            </w:r>
          </w:p>
        </w:tc>
        <w:tc>
          <w:tcPr>
            <w:tcW w:type="dxa" w:w="2769"/>
          </w:tcPr>
          <w:p/>
        </w:tc>
        <w:tc>
          <w:tcPr>
            <w:tcW w:type="dxa" w:w="2769"/>
          </w:tcPr>
          <w:p>
            <w:pPr>
              <w:pStyle w:val="null3"/>
            </w:pPr>
            <w:r>
              <w:rPr>
                <w:rFonts w:ascii="仿宋_GB2312" w:hAnsi="仿宋_GB2312" w:cs="仿宋_GB2312" w:eastAsia="仿宋_GB2312"/>
              </w:rPr>
              <w:t>二、纪录片</w:t>
            </w:r>
          </w:p>
        </w:tc>
      </w:tr>
      <w:tr>
        <w:tc>
          <w:tcPr>
            <w:tcW w:type="dxa" w:w="2769"/>
          </w:tcPr>
          <w:p>
            <w:pPr>
              <w:pStyle w:val="null3"/>
            </w:pPr>
            <w:r>
              <w:rPr>
                <w:rFonts w:ascii="仿宋_GB2312" w:hAnsi="仿宋_GB2312" w:cs="仿宋_GB2312" w:eastAsia="仿宋_GB2312"/>
              </w:rPr>
              <w:t>12</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10.成品限价≤30000元/部。</w:t>
            </w:r>
          </w:p>
        </w:tc>
      </w:tr>
      <w:tr>
        <w:tc>
          <w:tcPr>
            <w:tcW w:type="dxa" w:w="2769"/>
          </w:tcPr>
          <w:p>
            <w:pPr>
              <w:pStyle w:val="null3"/>
            </w:pPr>
            <w:r>
              <w:rPr>
                <w:rFonts w:ascii="仿宋_GB2312" w:hAnsi="仿宋_GB2312" w:cs="仿宋_GB2312" w:eastAsia="仿宋_GB2312"/>
              </w:rPr>
              <w:t>13</w:t>
            </w:r>
          </w:p>
        </w:tc>
        <w:tc>
          <w:tcPr>
            <w:tcW w:type="dxa" w:w="2769"/>
          </w:tcPr>
          <w:p/>
        </w:tc>
        <w:tc>
          <w:tcPr>
            <w:tcW w:type="dxa" w:w="2769"/>
          </w:tcPr>
          <w:p>
            <w:pPr>
              <w:pStyle w:val="null3"/>
            </w:pPr>
            <w:r>
              <w:rPr>
                <w:rFonts w:ascii="仿宋_GB2312" w:hAnsi="仿宋_GB2312" w:cs="仿宋_GB2312" w:eastAsia="仿宋_GB2312"/>
              </w:rPr>
              <w:t>11.每个镜头要求构图完整、构图干净、角度独特、用光巧妙，后期使用专业剪辑软件进行精细剪辑、调色和包装，确保画面流畅、色彩饱满。</w:t>
            </w:r>
          </w:p>
        </w:tc>
      </w:tr>
      <w:tr>
        <w:tc>
          <w:tcPr>
            <w:tcW w:type="dxa" w:w="2769"/>
          </w:tcPr>
          <w:p>
            <w:pPr>
              <w:pStyle w:val="null3"/>
            </w:pPr>
            <w:r>
              <w:rPr>
                <w:rFonts w:ascii="仿宋_GB2312" w:hAnsi="仿宋_GB2312" w:cs="仿宋_GB2312" w:eastAsia="仿宋_GB2312"/>
              </w:rPr>
              <w:t>14</w:t>
            </w:r>
          </w:p>
        </w:tc>
        <w:tc>
          <w:tcPr>
            <w:tcW w:type="dxa" w:w="2769"/>
          </w:tcPr>
          <w:p/>
        </w:tc>
        <w:tc>
          <w:tcPr>
            <w:tcW w:type="dxa" w:w="2769"/>
          </w:tcPr>
          <w:p>
            <w:pPr>
              <w:pStyle w:val="null3"/>
            </w:pPr>
            <w:r>
              <w:rPr>
                <w:rFonts w:ascii="仿宋_GB2312" w:hAnsi="仿宋_GB2312" w:cs="仿宋_GB2312" w:eastAsia="仿宋_GB2312"/>
              </w:rPr>
              <w:t>12.拍摄格式：log模式（灰片）。分辨率： 4K (3840x2160) 或以上。视频编码：支持10-bit色深。</w:t>
            </w:r>
          </w:p>
        </w:tc>
      </w:tr>
      <w:tr>
        <w:tc>
          <w:tcPr>
            <w:tcW w:type="dxa" w:w="2769"/>
          </w:tcPr>
          <w:p>
            <w:pPr>
              <w:pStyle w:val="null3"/>
            </w:pPr>
            <w:r>
              <w:rPr>
                <w:rFonts w:ascii="仿宋_GB2312" w:hAnsi="仿宋_GB2312" w:cs="仿宋_GB2312" w:eastAsia="仿宋_GB2312"/>
              </w:rPr>
              <w:t>15</w:t>
            </w:r>
          </w:p>
        </w:tc>
        <w:tc>
          <w:tcPr>
            <w:tcW w:type="dxa" w:w="2769"/>
          </w:tcPr>
          <w:p/>
        </w:tc>
        <w:tc>
          <w:tcPr>
            <w:tcW w:type="dxa" w:w="2769"/>
          </w:tcPr>
          <w:p>
            <w:pPr>
              <w:pStyle w:val="null3"/>
            </w:pPr>
            <w:r>
              <w:rPr>
                <w:rFonts w:ascii="仿宋_GB2312" w:hAnsi="仿宋_GB2312" w:cs="仿宋_GB2312" w:eastAsia="仿宋_GB2312"/>
              </w:rPr>
              <w:t>13.每条视频制作周期≤30天。每条视频启动制作时，至少提供3版创意脚本大纲。每条视频启动后5个工作日交付详细创意脚本，脚本必须审核后才能开始拍摄制作。</w:t>
            </w:r>
          </w:p>
        </w:tc>
      </w:tr>
      <w:tr>
        <w:tc>
          <w:tcPr>
            <w:tcW w:type="dxa" w:w="2769"/>
          </w:tcPr>
          <w:p>
            <w:pPr>
              <w:pStyle w:val="null3"/>
            </w:pPr>
            <w:r>
              <w:rPr>
                <w:rFonts w:ascii="仿宋_GB2312" w:hAnsi="仿宋_GB2312" w:cs="仿宋_GB2312" w:eastAsia="仿宋_GB2312"/>
              </w:rPr>
              <w:t>16</w:t>
            </w:r>
          </w:p>
        </w:tc>
        <w:tc>
          <w:tcPr>
            <w:tcW w:type="dxa" w:w="2769"/>
          </w:tcPr>
          <w:p/>
        </w:tc>
        <w:tc>
          <w:tcPr>
            <w:tcW w:type="dxa" w:w="2769"/>
          </w:tcPr>
          <w:p>
            <w:pPr>
              <w:pStyle w:val="null3"/>
            </w:pPr>
            <w:r>
              <w:rPr>
                <w:rFonts w:ascii="仿宋_GB2312" w:hAnsi="仿宋_GB2312" w:cs="仿宋_GB2312" w:eastAsia="仿宋_GB2312"/>
              </w:rPr>
              <w:t>14.使用两套以上专业4K高清摄影、录音、灯光等设备进行现场多角度、多机位、多景别等拍摄，且有延时拍摄、航拍画面。根据剧情需要提供滑轨、航拍等必要设备。</w:t>
            </w:r>
          </w:p>
        </w:tc>
      </w:tr>
      <w:tr>
        <w:tc>
          <w:tcPr>
            <w:tcW w:type="dxa" w:w="2769"/>
          </w:tcPr>
          <w:p>
            <w:pPr>
              <w:pStyle w:val="null3"/>
            </w:pPr>
            <w:r>
              <w:rPr>
                <w:rFonts w:ascii="仿宋_GB2312" w:hAnsi="仿宋_GB2312" w:cs="仿宋_GB2312" w:eastAsia="仿宋_GB2312"/>
              </w:rPr>
              <w:t>17</w:t>
            </w:r>
          </w:p>
        </w:tc>
        <w:tc>
          <w:tcPr>
            <w:tcW w:type="dxa" w:w="2769"/>
          </w:tcPr>
          <w:p/>
        </w:tc>
        <w:tc>
          <w:tcPr>
            <w:tcW w:type="dxa" w:w="2769"/>
          </w:tcPr>
          <w:p>
            <w:pPr>
              <w:pStyle w:val="null3"/>
            </w:pPr>
            <w:r>
              <w:rPr>
                <w:rFonts w:ascii="仿宋_GB2312" w:hAnsi="仿宋_GB2312" w:cs="仿宋_GB2312" w:eastAsia="仿宋_GB2312"/>
              </w:rPr>
              <w:t>15.交付时，需同时交付成片全高清MP4或MOV格式高清数据文件及视频原素材，配音应选用专业配音演员进行录制，确保声音清晰、情感到位。</w:t>
            </w:r>
          </w:p>
        </w:tc>
      </w:tr>
      <w:tr>
        <w:tc>
          <w:tcPr>
            <w:tcW w:type="dxa" w:w="2769"/>
          </w:tcPr>
          <w:p>
            <w:pPr>
              <w:pStyle w:val="null3"/>
            </w:pPr>
            <w:r>
              <w:rPr>
                <w:rFonts w:ascii="仿宋_GB2312" w:hAnsi="仿宋_GB2312" w:cs="仿宋_GB2312" w:eastAsia="仿宋_GB2312"/>
              </w:rPr>
              <w:t>18</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16.视频数量≥6条。</w:t>
            </w:r>
          </w:p>
        </w:tc>
      </w:tr>
      <w:tr>
        <w:tc>
          <w:tcPr>
            <w:tcW w:type="dxa" w:w="2769"/>
          </w:tcPr>
          <w:p>
            <w:pPr>
              <w:pStyle w:val="null3"/>
            </w:pPr>
            <w:r>
              <w:rPr>
                <w:rFonts w:ascii="仿宋_GB2312" w:hAnsi="仿宋_GB2312" w:cs="仿宋_GB2312" w:eastAsia="仿宋_GB2312"/>
              </w:rPr>
              <w:t>19</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17.时长≥5分钟，成片分辨率≥</w:t>
            </w:r>
            <w:r>
              <w:rPr>
                <w:rFonts w:ascii="仿宋_GB2312" w:hAnsi="仿宋_GB2312" w:cs="仿宋_GB2312" w:eastAsia="仿宋_GB2312"/>
                <w:sz w:val="24"/>
              </w:rPr>
              <w:t>1920*1080</w:t>
            </w:r>
            <w:r>
              <w:rPr>
                <w:rFonts w:ascii="仿宋_GB2312" w:hAnsi="仿宋_GB2312" w:cs="仿宋_GB2312" w:eastAsia="仿宋_GB2312"/>
              </w:rPr>
              <w:t>。</w:t>
            </w:r>
          </w:p>
        </w:tc>
      </w:tr>
      <w:tr>
        <w:tc>
          <w:tcPr>
            <w:tcW w:type="dxa" w:w="2769"/>
          </w:tcPr>
          <w:p>
            <w:pPr>
              <w:pStyle w:val="null3"/>
            </w:pPr>
            <w:r>
              <w:rPr>
                <w:rFonts w:ascii="仿宋_GB2312" w:hAnsi="仿宋_GB2312" w:cs="仿宋_GB2312" w:eastAsia="仿宋_GB2312"/>
              </w:rPr>
              <w:t>20</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18.创作人员≥5人，必须包含项目对接人1名，策划1名，导演1名，摄像师1名，后期制作1名。</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满足本项目服务要求。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满足本项目服务要求。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一、质量保修范围和保修期： 1.质量保修范围：视频成片修改及补拍。 2.保修期：合同签订后2年以内。 二、知识产权归属和处理方式： 1.供应商交付使用的成果不得侵犯其他人或组织的肖像权、隐私权、知识产权等权益，若由此产生纠纷，由供应商承担。若出现技术、经济或法律上的纠纷，应由供应商全权解决，并确保不影响项目进度。 2.采购人向供应商提供的资料（包括但不限于文字资料、图片、音像作品）的知识产权均属采购人所有，除用于本合同之目的，供应商不得以任何方式进行使 用。本合同拍摄成果版权归属采购人所有，未经采购人书面同意，供应商不得将拍摄成果用于任何商业用途或其他非合同约定的用途。 三、成本补偿和风险分担约定： 如验收不合格，供应商应负责整改或重新制作，直至采购人验收合格为止，且服务期不顺延，由此产生的费用及造成的损失， 供应商自行承担。若供应商交付项目验收不合格累计超过3次的，采购人有权选择解除合同，若合同解除，供应商应赔偿解除合同给采购人造成的全部损失（包括但不限于重新开启项目产生的费用、合同未履行导致服务不能按规划提供可能产生的服务费用）。还应按合同总价款的30%支付违约金。若因供应商服务项目验收不合格导致交付延期的，供应商仍应按本合同承担违约责任。</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自合同签订日起1年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西安市人民医院（西安市第四医院）指定地点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成片分辨率≥1920*1080。每个镜头要求构图完整干净、角度到位独特、用光巧妙，后期使用专业剪辑软件进行精细剪辑、调色和包装，确保画面流畅、剪辑、配乐具有节奏感、色彩饱满。</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合同签订后，自接到等额（合同总价的40％）增值税发票之日起</w:t>
      </w:r>
      <w:r>
        <w:rPr>
          <w:rFonts w:ascii="仿宋_GB2312" w:hAnsi="仿宋_GB2312" w:cs="仿宋_GB2312" w:eastAsia="仿宋_GB2312"/>
        </w:rPr>
        <w:t xml:space="preserve"> ，达到付款条件起 </w:t>
      </w:r>
      <w:r>
        <w:rPr>
          <w:rFonts w:ascii="仿宋_GB2312" w:hAnsi="仿宋_GB2312" w:cs="仿宋_GB2312" w:eastAsia="仿宋_GB2312"/>
        </w:rPr>
        <w:t>14</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合同服务期到期前，供应商提出验收申请，15日内采购人组织验收。采购人验收合格后</w:t>
      </w:r>
      <w:r>
        <w:rPr>
          <w:rFonts w:ascii="仿宋_GB2312" w:hAnsi="仿宋_GB2312" w:cs="仿宋_GB2312" w:eastAsia="仿宋_GB2312"/>
        </w:rPr>
        <w:t xml:space="preserve"> ，达到付款条件起 </w:t>
      </w:r>
      <w:r>
        <w:rPr>
          <w:rFonts w:ascii="仿宋_GB2312" w:hAnsi="仿宋_GB2312" w:cs="仿宋_GB2312" w:eastAsia="仿宋_GB2312"/>
        </w:rPr>
        <w:t>14</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根据采购人需要开始进行拍摄、制作。制作之前由供应商明确制作效果。并在采购人要求时间内保证交付，如延期交付，则采购人有权单方面终止合同，供应商应赔偿解除合同给采购人造成的全部损失。</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一、因采购人为一所三级甲等医院，就诊患者较多，人员较为复杂，病员均为特殊群体，采购人要求在服务过程当中，始终以患者为第一，任何服务开展决不能影响患者正常就诊。 二、无论服务大小、难易以及节假日与夜间服务，要求供应商积极组织服务力量正常服务，服从采购人工作安排。供应商对采购人突发公共卫事件及各项应急预案应积极响应并派员配合及协助工作，不得拒绝推诿。若有无故推诿行为，采购人有权扣除本合同10%的款项，作为违约金。 三、合同支付方式为（采购文件中前后不一致以此处为准）： 1、结算依据：以合同所列单价为结算依据，最终结算总额不能超过合同最高执行总价。 2、（1）合同签订后，自接到等额（合同总价的40％）增值税发票之日起10个工作日内。采购人向供应商预付合同总价的40％，供应商制作的每条视频费用包含脚本创作费、拍摄费、后期制作费及其它履行本合同义务的所有费用。 （2）合同服务期到期前，供应商提出验收申请，15日内采购人组织验收。采购人验收合格后，先从预付款中扣除结算款项，超出部分采取银行转账方式结算，供应商需提供等额合规发票，与采购人结算，自采购人收到供应商开具的合法有效发票之日起10个工作日内支付款项。 3、付款要求：最终结算总额不得超过本项目合同最高执行总价。供应商应在采购人每次付款前提供等额合规发票，否则采购人有权顺延付款期限，且供应商不得以此为由拒绝履行合同义务。 4、（1）进入相关部门“黑名单”的供应商以及有行贿、串标等违法违规行为并经查实的供应商不能参与招标人采购项目的投标活动。对“黑名单”中供应商采取“一票否决”及“随时叫停”机制，在报名、资格审核、评审、公示、合同签订等各环节一旦发现并查实有行贿等违法违规行为的，立即取消其相关资格且终止合同签订。 （2）根据西安市财政局《关于促进政府采购公平竞争优化营商环境的通知》（市财函[2021]431号）文中“第16条规定供应商登记免费领取采购文件的，如不参与项目投标，应在递交投标（或相应）文件截止时间前一日以书面形式告知采购代理机构。否则，采购代理机构可以向财政部门反映情况并提供相应的佐证。供应商一年内累计出现三次该情形，将被监管部门记录失信行为”。</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法人提供会计师事务所出具的完整的2024年度审计报告（成立时间至提交投标文件截止时间不足一年的可提供成立后任意时段的资产负债表)，或开标前6个月内（2024年11月1日后）其开户银行出具的资信证明，或信用担保机构出具的投标担保函（以上三种形式的资料提供任何一种即可)；其他组织和自然人提供银行出具的资信证明或财务报表。</w:t>
            </w:r>
          </w:p>
        </w:tc>
        <w:tc>
          <w:tcPr>
            <w:tcW w:type="dxa" w:w="1661"/>
          </w:tcPr>
          <w:p>
            <w:pPr>
              <w:pStyle w:val="null3"/>
            </w:pPr>
            <w:r>
              <w:rPr>
                <w:rFonts w:ascii="仿宋_GB2312" w:hAnsi="仿宋_GB2312" w:cs="仿宋_GB2312" w:eastAsia="仿宋_GB2312"/>
              </w:rPr>
              <w:t>供应商资格</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供应商为具有独立承担民事责任能力的法人、其他组织或自然人</w:t>
            </w:r>
          </w:p>
        </w:tc>
        <w:tc>
          <w:tcPr>
            <w:tcW w:type="dxa" w:w="3322"/>
          </w:tcPr>
          <w:p>
            <w:pPr>
              <w:pStyle w:val="null3"/>
            </w:pPr>
            <w:r>
              <w:rPr>
                <w:rFonts w:ascii="仿宋_GB2312" w:hAnsi="仿宋_GB2312" w:cs="仿宋_GB2312" w:eastAsia="仿宋_GB2312"/>
              </w:rPr>
              <w:t>企业法人应提供合法有效的标识有统一社会信用代码的营业执照；事业法人应提供事业单位法人证书；其他组织应提供合法登记证明文件；自然人应提供身份证。</w:t>
            </w:r>
          </w:p>
        </w:tc>
        <w:tc>
          <w:tcPr>
            <w:tcW w:type="dxa" w:w="1661"/>
          </w:tcPr>
          <w:p>
            <w:pPr>
              <w:pStyle w:val="null3"/>
            </w:pPr>
            <w:r>
              <w:rPr>
                <w:rFonts w:ascii="仿宋_GB2312" w:hAnsi="仿宋_GB2312" w:cs="仿宋_GB2312" w:eastAsia="仿宋_GB2312"/>
              </w:rPr>
              <w:t>供应商资格</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法定代表授权书</w:t>
            </w:r>
          </w:p>
        </w:tc>
        <w:tc>
          <w:tcPr>
            <w:tcW w:type="dxa" w:w="3322"/>
          </w:tcPr>
          <w:p>
            <w:pPr>
              <w:pStyle w:val="null3"/>
            </w:pPr>
            <w:r>
              <w:rPr>
                <w:rFonts w:ascii="仿宋_GB2312" w:hAnsi="仿宋_GB2312" w:cs="仿宋_GB2312" w:eastAsia="仿宋_GB2312"/>
              </w:rPr>
              <w:t>法定代表人/负责人直接参加的，须递交《法定代表人/负责人身份证明》；法定代表人/负责人授权代表参加的，须递交《法定代表人/负责人授权书》。</w:t>
            </w:r>
          </w:p>
        </w:tc>
        <w:tc>
          <w:tcPr>
            <w:tcW w:type="dxa" w:w="1661"/>
          </w:tcPr>
          <w:p>
            <w:pPr>
              <w:pStyle w:val="null3"/>
            </w:pPr>
            <w:r>
              <w:rPr>
                <w:rFonts w:ascii="仿宋_GB2312" w:hAnsi="仿宋_GB2312" w:cs="仿宋_GB2312" w:eastAsia="仿宋_GB2312"/>
              </w:rPr>
              <w:t>供应商资格</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法人提供会计师事务所出具的完整的2024年度审计报告（成立时间至提交投标文件截止时间不足一年的可提供成立后任意时段的资产负债表)，或开标前6个月内（2024年11月1日后）其开户银行出具的资信证明，或信用担保机构出具的投标担保函（以上三种形式的资料提供任何一种即可)；其他组织和自然人提供银行出具的资信证明或财务报表。</w:t>
            </w:r>
          </w:p>
        </w:tc>
        <w:tc>
          <w:tcPr>
            <w:tcW w:type="dxa" w:w="1661"/>
          </w:tcPr>
          <w:p>
            <w:pPr>
              <w:pStyle w:val="null3"/>
            </w:pPr>
            <w:r>
              <w:rPr>
                <w:rFonts w:ascii="仿宋_GB2312" w:hAnsi="仿宋_GB2312" w:cs="仿宋_GB2312" w:eastAsia="仿宋_GB2312"/>
              </w:rPr>
              <w:t>供应商资格</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纳税证明</w:t>
            </w:r>
          </w:p>
        </w:tc>
        <w:tc>
          <w:tcPr>
            <w:tcW w:type="dxa" w:w="3322"/>
          </w:tcPr>
          <w:p>
            <w:pPr>
              <w:pStyle w:val="null3"/>
            </w:pPr>
            <w:r>
              <w:rPr>
                <w:rFonts w:ascii="仿宋_GB2312" w:hAnsi="仿宋_GB2312" w:cs="仿宋_GB2312" w:eastAsia="仿宋_GB2312"/>
              </w:rPr>
              <w:t>法人提供自2024年11月1日以来至少一个月的纳税证明或完税证明(任意税种)，纳税证明或完税证明上应有代收机构或税务机关的公章或业务专用章；其他组织和自然人提供自2024年11月1日以来至少一个月缴纳税收的凭据；依法免税的投标人应提供相关文件证明。</w:t>
            </w:r>
          </w:p>
        </w:tc>
        <w:tc>
          <w:tcPr>
            <w:tcW w:type="dxa" w:w="1661"/>
          </w:tcPr>
          <w:p>
            <w:pPr>
              <w:pStyle w:val="null3"/>
            </w:pPr>
            <w:r>
              <w:rPr>
                <w:rFonts w:ascii="仿宋_GB2312" w:hAnsi="仿宋_GB2312" w:cs="仿宋_GB2312" w:eastAsia="仿宋_GB2312"/>
              </w:rPr>
              <w:t>供应商资格</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提供自2024年11月1日以来至少一个月已缴纳的社会保障资金的证明（社会保障资金缴存单据或社保机构开具的社会保险参保缴费情况证明等)；依法不需要缴纳社会保障资金的投标人应提供相关证明文件。</w:t>
            </w:r>
          </w:p>
        </w:tc>
        <w:tc>
          <w:tcPr>
            <w:tcW w:type="dxa" w:w="1661"/>
          </w:tcPr>
          <w:p>
            <w:pPr>
              <w:pStyle w:val="null3"/>
            </w:pPr>
            <w:r>
              <w:rPr>
                <w:rFonts w:ascii="仿宋_GB2312" w:hAnsi="仿宋_GB2312" w:cs="仿宋_GB2312" w:eastAsia="仿宋_GB2312"/>
              </w:rPr>
              <w:t>供应商资格</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参加本次政府采购活动前三年内，在经营活动中没有重大违法记录，提供《无重大违法记录声明》。</w:t>
            </w:r>
          </w:p>
        </w:tc>
        <w:tc>
          <w:tcPr>
            <w:tcW w:type="dxa" w:w="1661"/>
          </w:tcPr>
          <w:p>
            <w:pPr>
              <w:pStyle w:val="null3"/>
            </w:pPr>
            <w:r>
              <w:rPr>
                <w:rFonts w:ascii="仿宋_GB2312" w:hAnsi="仿宋_GB2312" w:cs="仿宋_GB2312" w:eastAsia="仿宋_GB2312"/>
              </w:rPr>
              <w:t>供应商资格</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履约能力声明</w:t>
            </w:r>
          </w:p>
        </w:tc>
        <w:tc>
          <w:tcPr>
            <w:tcW w:type="dxa" w:w="3322"/>
          </w:tcPr>
          <w:p>
            <w:pPr>
              <w:pStyle w:val="null3"/>
            </w:pPr>
            <w:r>
              <w:rPr>
                <w:rFonts w:ascii="仿宋_GB2312" w:hAnsi="仿宋_GB2312" w:cs="仿宋_GB2312" w:eastAsia="仿宋_GB2312"/>
              </w:rPr>
              <w:t>提供《具有履行合同所必需的设备和专业技术能力的承诺书》。</w:t>
            </w:r>
          </w:p>
        </w:tc>
        <w:tc>
          <w:tcPr>
            <w:tcW w:type="dxa" w:w="1661"/>
          </w:tcPr>
          <w:p>
            <w:pPr>
              <w:pStyle w:val="null3"/>
            </w:pPr>
            <w:r>
              <w:rPr>
                <w:rFonts w:ascii="仿宋_GB2312" w:hAnsi="仿宋_GB2312" w:cs="仿宋_GB2312" w:eastAsia="仿宋_GB2312"/>
              </w:rPr>
              <w:t>供应商资格</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签章符合采购文件要求</w:t>
            </w:r>
          </w:p>
        </w:tc>
        <w:tc>
          <w:tcPr>
            <w:tcW w:type="dxa" w:w="3322"/>
          </w:tcPr>
          <w:p>
            <w:pPr>
              <w:pStyle w:val="null3"/>
            </w:pPr>
            <w:r>
              <w:rPr>
                <w:rFonts w:ascii="仿宋_GB2312" w:hAnsi="仿宋_GB2312" w:cs="仿宋_GB2312" w:eastAsia="仿宋_GB2312"/>
              </w:rPr>
              <w:t>供应商应当加盖供应商（法定名称）电子印章</w:t>
            </w:r>
          </w:p>
        </w:tc>
        <w:tc>
          <w:tcPr>
            <w:tcW w:type="dxa" w:w="1661"/>
          </w:tcPr>
          <w:p>
            <w:pPr>
              <w:pStyle w:val="null3"/>
            </w:pPr>
            <w:r>
              <w:rPr>
                <w:rFonts w:ascii="仿宋_GB2312" w:hAnsi="仿宋_GB2312" w:cs="仿宋_GB2312" w:eastAsia="仿宋_GB2312"/>
              </w:rPr>
              <w:t>服务响应偏离表 商务响应偏离表 中小企业声明函 报价表 供应商业绩 响应文件封面 其他材料 残疾人福利性单位声明函 供应商基本信息 供应商企业关联关系声明函 服务方案 标的清单 现场视频演示人员授权书 合同响应偏离表 供应商承诺书 响应函 供应商资格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最高限价</w:t>
            </w:r>
          </w:p>
        </w:tc>
        <w:tc>
          <w:tcPr>
            <w:tcW w:type="dxa" w:w="3322"/>
          </w:tcPr>
          <w:p>
            <w:pPr>
              <w:pStyle w:val="null3"/>
            </w:pPr>
            <w:r>
              <w:rPr>
                <w:rFonts w:ascii="仿宋_GB2312" w:hAnsi="仿宋_GB2312" w:cs="仿宋_GB2312" w:eastAsia="仿宋_GB2312"/>
              </w:rPr>
              <w:t>第一次磋商报价不得超过采购预算或最高限价。</w:t>
            </w:r>
          </w:p>
        </w:tc>
        <w:tc>
          <w:tcPr>
            <w:tcW w:type="dxa" w:w="1661"/>
          </w:tcPr>
          <w:p>
            <w:pPr>
              <w:pStyle w:val="null3"/>
            </w:pPr>
            <w:r>
              <w:rPr>
                <w:rFonts w:ascii="仿宋_GB2312" w:hAnsi="仿宋_GB2312" w:cs="仿宋_GB2312" w:eastAsia="仿宋_GB2312"/>
              </w:rPr>
              <w:t>分项报价表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实质性响应</w:t>
            </w:r>
          </w:p>
        </w:tc>
        <w:tc>
          <w:tcPr>
            <w:tcW w:type="dxa" w:w="3322"/>
          </w:tcPr>
          <w:p>
            <w:pPr>
              <w:pStyle w:val="null3"/>
            </w:pPr>
            <w:r>
              <w:rPr>
                <w:rFonts w:ascii="仿宋_GB2312" w:hAnsi="仿宋_GB2312" w:cs="仿宋_GB2312" w:eastAsia="仿宋_GB2312"/>
              </w:rPr>
              <w:t>投标人必须满足采购文件的实质性要求。</w:t>
            </w:r>
          </w:p>
        </w:tc>
        <w:tc>
          <w:tcPr>
            <w:tcW w:type="dxa" w:w="1661"/>
          </w:tcPr>
          <w:p>
            <w:pPr>
              <w:pStyle w:val="null3"/>
            </w:pPr>
            <w:r>
              <w:rPr>
                <w:rFonts w:ascii="仿宋_GB2312" w:hAnsi="仿宋_GB2312" w:cs="仿宋_GB2312" w:eastAsia="仿宋_GB2312"/>
              </w:rPr>
              <w:t>服务响应偏离表 商务响应偏离表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承诺书</w:t>
            </w:r>
          </w:p>
        </w:tc>
        <w:tc>
          <w:tcPr>
            <w:tcW w:type="dxa" w:w="3322"/>
          </w:tcPr>
          <w:p>
            <w:pPr>
              <w:pStyle w:val="null3"/>
            </w:pPr>
            <w:r>
              <w:rPr>
                <w:rFonts w:ascii="仿宋_GB2312" w:hAnsi="仿宋_GB2312" w:cs="仿宋_GB2312" w:eastAsia="仿宋_GB2312"/>
              </w:rPr>
              <w:t>供应商响应承诺书要求</w:t>
            </w:r>
          </w:p>
        </w:tc>
        <w:tc>
          <w:tcPr>
            <w:tcW w:type="dxa" w:w="1661"/>
          </w:tcPr>
          <w:p>
            <w:pPr>
              <w:pStyle w:val="null3"/>
            </w:pPr>
            <w:r>
              <w:rPr>
                <w:rFonts w:ascii="仿宋_GB2312" w:hAnsi="仿宋_GB2312" w:cs="仿宋_GB2312" w:eastAsia="仿宋_GB2312"/>
              </w:rPr>
              <w:t>供应商承诺书</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供应商提供2022年6月1日以来完成的同类项目业绩，每提供1份得2分，最高得10分。 注：需提供完整合同复印件并加盖公章。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供应商业绩</w:t>
            </w:r>
          </w:p>
        </w:tc>
      </w:tr>
      <w:tr>
        <w:tc>
          <w:tcPr>
            <w:tcW w:type="dxa" w:w="831"/>
            <w:vMerge/>
          </w:tcPr>
          <w:p/>
        </w:tc>
        <w:tc>
          <w:tcPr>
            <w:tcW w:type="dxa" w:w="1661"/>
          </w:tcPr>
          <w:p>
            <w:pPr>
              <w:pStyle w:val="null3"/>
            </w:pPr>
            <w:r>
              <w:rPr>
                <w:rFonts w:ascii="仿宋_GB2312" w:hAnsi="仿宋_GB2312" w:cs="仿宋_GB2312" w:eastAsia="仿宋_GB2312"/>
              </w:rPr>
              <w:t>服务响应</w:t>
            </w:r>
          </w:p>
        </w:tc>
        <w:tc>
          <w:tcPr>
            <w:tcW w:type="dxa" w:w="2492"/>
          </w:tcPr>
          <w:p>
            <w:pPr>
              <w:pStyle w:val="null3"/>
            </w:pPr>
            <w:r>
              <w:rPr>
                <w:rFonts w:ascii="仿宋_GB2312" w:hAnsi="仿宋_GB2312" w:cs="仿宋_GB2312" w:eastAsia="仿宋_GB2312"/>
              </w:rPr>
              <w:t>供应商完全符合磋商文件的服务要求，没有负偏离得22分。 1、带“★”的技术参数（共2项）为实质性要求，不允许负偏离； 2、带“▲”的技术参数（6项）满分12分，每负偏离一项扣2分，扣完为止； 3、无标识的技术参数（共10项）满分10分，每负偏离一项扣1分，扣完为止。</w:t>
            </w:r>
          </w:p>
        </w:tc>
        <w:tc>
          <w:tcPr>
            <w:tcW w:type="dxa" w:w="831"/>
          </w:tcPr>
          <w:p>
            <w:pPr>
              <w:pStyle w:val="null3"/>
              <w:jc w:val="right"/>
            </w:pPr>
            <w:r>
              <w:rPr>
                <w:rFonts w:ascii="仿宋_GB2312" w:hAnsi="仿宋_GB2312" w:cs="仿宋_GB2312" w:eastAsia="仿宋_GB2312"/>
              </w:rPr>
              <w:t>22.0000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服务响应偏离表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一、评审内容 供应商针对本项目提供服务方案，内容包括：①服务内容及质量标准；②服务理念及目标；③总体服务方案。 二、评审标准 1、完整性：方案须全面合理，架构完整对评审内容中的各项要求有详细描述； 2、可实施性：切合本项目实际情况，实施步骤清晰、合理； 3、针对性：方案能够紧扣本项目实际情况，内容科学合理。 三、赋分依据（满分9分） 上述3项评审内容全部满足评审标准得9分；每有一项评审内容缺项扣3分，扣完为止；每有一项评审内容存在缺陷，扣（0-3）分。 说明：缺陷是指内容没有结合项目实际需求、虽有内容但不完善、内容表述前后不一致、套用其他项目方案或与项目需求不匹配及其他不利于项目实施的等任意一种情形；未提供不得分。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服务保障措施</w:t>
            </w:r>
          </w:p>
        </w:tc>
        <w:tc>
          <w:tcPr>
            <w:tcW w:type="dxa" w:w="2492"/>
          </w:tcPr>
          <w:p>
            <w:pPr>
              <w:pStyle w:val="null3"/>
            </w:pPr>
            <w:r>
              <w:rPr>
                <w:rFonts w:ascii="仿宋_GB2312" w:hAnsi="仿宋_GB2312" w:cs="仿宋_GB2312" w:eastAsia="仿宋_GB2312"/>
              </w:rPr>
              <w:t>一、评审内容 供应商针对本项目提供服务保障措施，内容包括：①拍摄制作审核流程的保障措施；②剪辑修片的保障措施；③后期服务的保障措施。 二、评审标准 1、完整性：方案须全面合理，架构完整对评审内容中的各项要求有详细描述； 2、可实施性：切合本项目实际情况，实施步骤清晰、合理； 3、针对性：方案能够紧扣本项目实际情况，内容科学合理。 三、赋分依据（满分6分） 上述3项评审内容全部满足评审标准得6分；每有一项评审内容缺项扣2分，扣完为止；每有一项评审内容存在缺陷，扣（0-2）分。 说明：缺陷是指内容没有结合项目实际需求、虽有内容但不完善、内容表述前后不一致、套用其他项目方案或与项目需求不匹配及其他不利于项目实施的等任意一种情形；未提供不得分。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服务团队人员配置</w:t>
            </w:r>
          </w:p>
        </w:tc>
        <w:tc>
          <w:tcPr>
            <w:tcW w:type="dxa" w:w="2492"/>
          </w:tcPr>
          <w:p>
            <w:pPr>
              <w:pStyle w:val="null3"/>
            </w:pPr>
            <w:r>
              <w:rPr>
                <w:rFonts w:ascii="仿宋_GB2312" w:hAnsi="仿宋_GB2312" w:cs="仿宋_GB2312" w:eastAsia="仿宋_GB2312"/>
              </w:rPr>
              <w:t>一、评审内容 投标人针对本项目特点提供服务团队人员配置，内容包含:①人员配置清单（包括但不限于项目对接人、策划、导演、摄像师、后期制作等人员）；②岗位分工、职责；提供相关证明资料（包括但不限于人员姓名、工作职务及职能、等身份证、工作经验等）。 二、评审标准 1、完整性:方案须全面合理，架构完整对评审内容中的各项要求有详细描述； 2、可实施性：切合本项目实际情况，实施步骤清晰、合理； 3、针对性：方案能够紧扣项目实际情况，内容科学合理。 三、赋分标准(满分6分) 上述2项评审内容全部满足评审标准得6分；每有一项评审内容缺项扣3分，扣完为止；每有一项评审内容存在缺陷，扣（0-3）分。 说明：缺陷是指内容没有结合项目实际需求、虽有内容但不完善、内容表述前后不一致、套用其他项目方案或与项目需求不匹配及其他不利于项目实施的等任意一种情形；未提供不得分。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设备配置</w:t>
            </w:r>
          </w:p>
        </w:tc>
        <w:tc>
          <w:tcPr>
            <w:tcW w:type="dxa" w:w="2492"/>
          </w:tcPr>
          <w:p>
            <w:pPr>
              <w:pStyle w:val="null3"/>
            </w:pPr>
            <w:r>
              <w:rPr>
                <w:rFonts w:ascii="仿宋_GB2312" w:hAnsi="仿宋_GB2312" w:cs="仿宋_GB2312" w:eastAsia="仿宋_GB2312"/>
              </w:rPr>
              <w:t>一、评审内容 投标人针对本项目特点提供拟投入①设备配置清单（包括但不限于拍摄器材及组件、辅助工具及后期制作设备、车辆等）；②设备参数标准以及调配安排。 二、评审标准 1、完整性: 方案须全面合理，架构完整对评审内容中的各项要求有详细描述； 2、可实施性：切合本项目实际情况，实施步骤清晰、合理； 3、针对性：方案能够紧扣项目实际情况，内容科学合理。 三、赋分标准(满分6分) 上述2项评审内容全部满足评审标准得6分；每有一项评审内容缺项扣3分，扣完为止；每有一项评审内容存在缺陷，扣（0-3）分。 说明：缺陷是指内容没有结合项目实际需求、虽有内容但不完善、内容表述前后不一致、套用其他项目方案或与项目需求不匹配及其他不利于项目实施的等任意一种情形；未提供不得分。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一、评审内容 结合本项目的实际，供应商提供服务承诺以及响应方案，内容包含：①服务承诺（包括但不限于整个项目服务期限内的质量、人员到位情况、服务响应时间、配合程度）；②原创承诺（供应商承诺视频作品须为原创，不得抄袭；如作品中含有的非原创性的内容，包括封面、图片、歌曲、资料等，必须确保无知识产权争议，如有任何侵权行为均由供应商承担相应责任和赔偿）；③后期服务承诺（在视频交付后，提供一定期限的售后服务，如对视频中的小瑕疵进行修改、解答相关疑问等）。 二、评审标准 1、完整性：内容必须全面，对评审内容中的各项要求有详细描述； 2、可实施性：切合项目具体情况，提出责任明确、要求具体的方案； 3、针对性：方案能够紧扣项目实际情况，内容科学合理。 三、赋分依据（满分6分） 上述3项评审内容全部满足评审标准得6分；每有一项评审内容缺项扣2分，扣完为止；每有一项评审内容存在缺陷，扣（0-2）分。 说明：缺陷是指内容没有结合项目实际需求、虽有内容但不完善、内容表述前后不一致、套用其他项目方案或与项目需求不匹配及其他不利于项目实施的等任意一种情形；未提供不得分。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一、评审内容 结合本项目的实际，供应商提供服务未达到预期效果的补救措施及应急预案（包括但不限于存储损坏、网络设备损坏、数据 丢失等各种突发事件）。 二、评审标准 1、完整性：内容必须全面，对评审内容中的各项要求有详细描述； 2、可实施性：切合项目具体情况，提出责任明确、要求具体的方案； 3、针对性：方案能够紧扣项目实际情况，内容科学合理。 三、赋分标准（满分3分） 上述1项评审内容全部满足评审标准得3分；内容缺项扣3分，扣完为止；内容存在缺陷，扣（0-3）分。 说明：缺陷是指内容没有结合项目实际需求、虽有内容但不完善、内容表述前后不一致、套用其他项目方案或与项目需求不匹配及其他不利于项目实施的等任意一种情形；未提供不得分。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进度计划与安排</w:t>
            </w:r>
          </w:p>
        </w:tc>
        <w:tc>
          <w:tcPr>
            <w:tcW w:type="dxa" w:w="2492"/>
          </w:tcPr>
          <w:p>
            <w:pPr>
              <w:pStyle w:val="null3"/>
            </w:pPr>
            <w:r>
              <w:rPr>
                <w:rFonts w:ascii="仿宋_GB2312" w:hAnsi="仿宋_GB2312" w:cs="仿宋_GB2312" w:eastAsia="仿宋_GB2312"/>
              </w:rPr>
              <w:t>一、评审内容 结合本项目的实际，供应商提供服务进度计划与安排，内容包含：①工作进度计划（包括但不限于项目服务期间的各阶段时间需求确认、方案制定等内容）；②确保工作时效性的安排（包括但不限于项目拍摄周期、制作周期、控制管理、协调管理等内容）。 二、评审标准 1、完整性：内容必须全面，对评审内容中的各项要求有详细描述； 2、可实施性：切合项目具体情况，提出责任明确、要求具体的方案； 3、针对性：方案能够紧扣项目实际情况，内容科学合理。 三、赋分标准（满分6分） 上述2项评审内容全部满足评审标准得6分；每有一项评审内容缺项扣3分，扣完为止；每有一项评审内容存在缺陷，扣（0-3）分。 说明：缺陷是指内容没有结合项目实际需求、虽有内容但不完善、内容表述前后不一致、套用其他项目方案或与项目需求不匹配及其他不利于项目实施的等任意一种情形；未提供不得分。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视频演示</w:t>
            </w:r>
          </w:p>
        </w:tc>
        <w:tc>
          <w:tcPr>
            <w:tcW w:type="dxa" w:w="2492"/>
          </w:tcPr>
          <w:p>
            <w:pPr>
              <w:pStyle w:val="null3"/>
            </w:pPr>
            <w:r>
              <w:rPr>
                <w:rFonts w:ascii="仿宋_GB2312" w:hAnsi="仿宋_GB2312" w:cs="仿宋_GB2312" w:eastAsia="仿宋_GB2312"/>
              </w:rPr>
              <w:t>一、评审内容 供应商以现场踏勘内容为主题，制作一条科普视频，并委派一名代表（需在响应文件中提供授权书）在磋商现场进行演示，演示时长不超过5分钟。视频内容要兼顾科学与趣味，通俗易懂，适合大众传播。格式：MP4格式，分辨率≥1080p。时长：严格控制在30±2S，含片头片尾。 二、评审标准 磋商小组根据其提供视频的内容创作和技术质量进行综合赋分。 内容创作评审标准：①主题明确；②表现手法新颖；③逻辑清楚；④科普信息准确。 技术质量评审标准：①画面稳定无抖动；②构图合理；③剪辑流畅、转场自然；④音画同步、人声清晰。 三、赋分标准（满分16分） 视频全部满足上述8项评审标准得16分，每有一项评审标准不满足扣2分，扣完为止。 视频格式/时长不符合要求或未提供视频演示此项不得分。 注：①视频递交方式：U盘。 ②递交时间：同响应文件提交截止时间。 ③递交地点：陕西嘉信瑞诚招标有限公司。 ④密封要求：封袋上应标明项目名称和供应商名称并加盖供应商公章。</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现场视频演示人员授权书</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价格分统一采用低价优先法计算，即满足招标文件要求且投标价格最低的投标报价为评标基准价，其价格分为满分。其他投标人的价格分统一按照下列公式计算：价格分=(评标基准价／投标报价)×10。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详见附件：服务响应偏离表</w:t>
      </w:r>
    </w:p>
    <w:p>
      <w:pPr>
        <w:pStyle w:val="null3"/>
        <w:ind w:firstLine="960"/>
      </w:pPr>
      <w:r>
        <w:rPr>
          <w:rFonts w:ascii="仿宋_GB2312" w:hAnsi="仿宋_GB2312" w:cs="仿宋_GB2312" w:eastAsia="仿宋_GB2312"/>
        </w:rPr>
        <w:t>详见附件：商务响应偏离表</w:t>
      </w:r>
    </w:p>
    <w:p>
      <w:pPr>
        <w:pStyle w:val="null3"/>
        <w:ind w:firstLine="960"/>
      </w:pPr>
      <w:r>
        <w:rPr>
          <w:rFonts w:ascii="仿宋_GB2312" w:hAnsi="仿宋_GB2312" w:cs="仿宋_GB2312" w:eastAsia="仿宋_GB2312"/>
        </w:rPr>
        <w:t>详见附件：合同响应偏离表</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详见附件：现场视频演示人员授权书</w:t>
      </w:r>
    </w:p>
    <w:p>
      <w:pPr>
        <w:pStyle w:val="null3"/>
        <w:ind w:firstLine="960"/>
      </w:pPr>
      <w:r>
        <w:rPr>
          <w:rFonts w:ascii="仿宋_GB2312" w:hAnsi="仿宋_GB2312" w:cs="仿宋_GB2312" w:eastAsia="仿宋_GB2312"/>
        </w:rPr>
        <w:t>详见附件：供应商业绩</w:t>
      </w:r>
    </w:p>
    <w:p>
      <w:pPr>
        <w:pStyle w:val="null3"/>
        <w:ind w:firstLine="960"/>
      </w:pPr>
      <w:r>
        <w:rPr>
          <w:rFonts w:ascii="仿宋_GB2312" w:hAnsi="仿宋_GB2312" w:cs="仿宋_GB2312" w:eastAsia="仿宋_GB2312"/>
        </w:rPr>
        <w:t>详见附件：供应商基本信息</w:t>
      </w:r>
    </w:p>
    <w:p>
      <w:pPr>
        <w:pStyle w:val="null3"/>
        <w:ind w:firstLine="960"/>
      </w:pPr>
      <w:r>
        <w:rPr>
          <w:rFonts w:ascii="仿宋_GB2312" w:hAnsi="仿宋_GB2312" w:cs="仿宋_GB2312" w:eastAsia="仿宋_GB2312"/>
        </w:rPr>
        <w:t>详见附件：供应商企业关联关系声明函</w:t>
      </w:r>
    </w:p>
    <w:p>
      <w:pPr>
        <w:pStyle w:val="null3"/>
        <w:ind w:firstLine="960"/>
      </w:pPr>
      <w:r>
        <w:rPr>
          <w:rFonts w:ascii="仿宋_GB2312" w:hAnsi="仿宋_GB2312" w:cs="仿宋_GB2312" w:eastAsia="仿宋_GB2312"/>
        </w:rPr>
        <w:t>详见附件：供应商承诺书</w:t>
      </w:r>
    </w:p>
    <w:p>
      <w:pPr>
        <w:pStyle w:val="null3"/>
        <w:ind w:firstLine="960"/>
      </w:pPr>
      <w:r>
        <w:rPr>
          <w:rFonts w:ascii="仿宋_GB2312" w:hAnsi="仿宋_GB2312" w:cs="仿宋_GB2312" w:eastAsia="仿宋_GB2312"/>
        </w:rPr>
        <w:t>详见附件：供应商资格</w:t>
      </w:r>
    </w:p>
    <w:p>
      <w:pPr>
        <w:pStyle w:val="null3"/>
        <w:ind w:firstLine="960"/>
      </w:pPr>
      <w:r>
        <w:rPr>
          <w:rFonts w:ascii="仿宋_GB2312" w:hAnsi="仿宋_GB2312" w:cs="仿宋_GB2312" w:eastAsia="仿宋_GB2312"/>
        </w:rPr>
        <w:t>详见附件：其他材料</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