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039C9">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0"/>
        <w:rPr>
          <w:rFonts w:hint="eastAsia" w:ascii="宋体" w:hAnsi="宋体" w:eastAsia="宋体" w:cs="宋体"/>
          <w:b/>
          <w:bCs/>
          <w:color w:val="auto"/>
          <w:spacing w:val="0"/>
          <w:position w:val="0"/>
          <w:sz w:val="31"/>
          <w:szCs w:val="31"/>
          <w:highlight w:val="none"/>
        </w:rPr>
      </w:pPr>
      <w:bookmarkStart w:id="0" w:name="_Toc27555"/>
      <w:r>
        <w:rPr>
          <w:rFonts w:hint="eastAsia" w:ascii="宋体" w:hAnsi="宋体" w:eastAsia="宋体" w:cs="宋体"/>
          <w:b/>
          <w:bCs/>
          <w:color w:val="auto"/>
          <w:spacing w:val="0"/>
          <w:position w:val="0"/>
          <w:sz w:val="31"/>
          <w:szCs w:val="31"/>
          <w:highlight w:val="none"/>
        </w:rPr>
        <w:t>第八章 拟签订采购合同文本</w:t>
      </w:r>
      <w:bookmarkEnd w:id="0"/>
    </w:p>
    <w:p w14:paraId="326F6885">
      <w:pPr>
        <w:pStyle w:val="3"/>
        <w:spacing w:line="366" w:lineRule="auto"/>
        <w:rPr>
          <w:color w:val="auto"/>
          <w:highlight w:val="none"/>
        </w:rPr>
      </w:pPr>
    </w:p>
    <w:p w14:paraId="29A8B899">
      <w:pPr>
        <w:spacing w:line="360" w:lineRule="auto"/>
        <w:jc w:val="left"/>
        <w:rPr>
          <w:rFonts w:hint="eastAsia" w:ascii="宋体" w:hAnsi="宋体" w:eastAsia="宋体" w:cs="宋体"/>
          <w:color w:val="auto"/>
          <w:sz w:val="24"/>
          <w:szCs w:val="32"/>
          <w:highlight w:val="none"/>
        </w:rPr>
      </w:pPr>
      <w:r>
        <w:rPr>
          <w:rFonts w:hint="eastAsia" w:ascii="宋体" w:hAnsi="宋体" w:cs="宋体"/>
          <w:color w:val="auto"/>
          <w:sz w:val="24"/>
          <w:highlight w:val="none"/>
        </w:rPr>
        <w:t>详见附件：合同草案条款.docx</w:t>
      </w:r>
    </w:p>
    <w:p w14:paraId="18FE7FD1">
      <w:pPr>
        <w:spacing w:before="179" w:line="233" w:lineRule="auto"/>
        <w:ind w:right="513" w:firstLine="560" w:firstLineChars="100"/>
        <w:jc w:val="center"/>
        <w:outlineLvl w:val="9"/>
        <w:rPr>
          <w:rFonts w:ascii="宋体" w:hAnsi="宋体" w:eastAsia="宋体" w:cs="宋体"/>
          <w:color w:val="auto"/>
          <w:sz w:val="55"/>
          <w:szCs w:val="55"/>
          <w:highlight w:val="none"/>
        </w:rPr>
      </w:pPr>
      <w:r>
        <w:rPr>
          <w:rFonts w:hint="eastAsia" w:ascii="宋体" w:hAnsi="宋体" w:eastAsia="宋体" w:cs="宋体"/>
          <w:b/>
          <w:bCs/>
          <w:color w:val="auto"/>
          <w:spacing w:val="4"/>
          <w:sz w:val="55"/>
          <w:szCs w:val="55"/>
          <w:highlight w:val="none"/>
          <w:lang w:eastAsia="zh-CN"/>
        </w:rPr>
        <w:t>采购档案密集架</w:t>
      </w:r>
    </w:p>
    <w:p w14:paraId="28D202C1">
      <w:pPr>
        <w:pStyle w:val="3"/>
        <w:spacing w:line="242" w:lineRule="auto"/>
        <w:outlineLvl w:val="9"/>
        <w:rPr>
          <w:color w:val="auto"/>
          <w:highlight w:val="none"/>
        </w:rPr>
      </w:pPr>
    </w:p>
    <w:p w14:paraId="3A9625E2">
      <w:pPr>
        <w:pStyle w:val="3"/>
        <w:spacing w:line="242" w:lineRule="auto"/>
        <w:outlineLvl w:val="9"/>
        <w:rPr>
          <w:color w:val="auto"/>
          <w:highlight w:val="none"/>
        </w:rPr>
      </w:pPr>
    </w:p>
    <w:p w14:paraId="62B1AE6C">
      <w:pPr>
        <w:pStyle w:val="3"/>
        <w:spacing w:line="242" w:lineRule="auto"/>
        <w:outlineLvl w:val="9"/>
        <w:rPr>
          <w:color w:val="auto"/>
          <w:highlight w:val="none"/>
        </w:rPr>
      </w:pPr>
    </w:p>
    <w:p w14:paraId="3D9DC7C0">
      <w:pPr>
        <w:pStyle w:val="3"/>
        <w:spacing w:line="242" w:lineRule="auto"/>
        <w:outlineLvl w:val="9"/>
        <w:rPr>
          <w:color w:val="auto"/>
          <w:highlight w:val="none"/>
        </w:rPr>
      </w:pPr>
    </w:p>
    <w:p w14:paraId="39AB9100">
      <w:pPr>
        <w:pStyle w:val="3"/>
        <w:spacing w:line="242" w:lineRule="auto"/>
        <w:outlineLvl w:val="9"/>
        <w:rPr>
          <w:color w:val="auto"/>
          <w:highlight w:val="none"/>
        </w:rPr>
      </w:pPr>
    </w:p>
    <w:p w14:paraId="0E55C23A">
      <w:pPr>
        <w:spacing w:before="231" w:line="221" w:lineRule="auto"/>
        <w:jc w:val="center"/>
        <w:outlineLvl w:val="9"/>
        <w:rPr>
          <w:rFonts w:ascii="宋体" w:hAnsi="宋体" w:eastAsia="宋体" w:cs="宋体"/>
          <w:color w:val="auto"/>
          <w:sz w:val="71"/>
          <w:szCs w:val="71"/>
          <w:highlight w:val="none"/>
        </w:rPr>
      </w:pPr>
      <w:r>
        <w:rPr>
          <w:rFonts w:ascii="宋体" w:hAnsi="宋体" w:eastAsia="宋体" w:cs="宋体"/>
          <w:b/>
          <w:bCs/>
          <w:color w:val="auto"/>
          <w:spacing w:val="-3"/>
          <w:sz w:val="71"/>
          <w:szCs w:val="71"/>
          <w:highlight w:val="none"/>
        </w:rPr>
        <w:t>供货合同</w:t>
      </w:r>
    </w:p>
    <w:p w14:paraId="6093E08D">
      <w:pPr>
        <w:pStyle w:val="3"/>
        <w:spacing w:line="264" w:lineRule="auto"/>
        <w:outlineLvl w:val="9"/>
        <w:rPr>
          <w:color w:val="auto"/>
          <w:highlight w:val="none"/>
        </w:rPr>
      </w:pPr>
    </w:p>
    <w:p w14:paraId="5CAE9A15">
      <w:pPr>
        <w:pStyle w:val="3"/>
        <w:spacing w:line="264" w:lineRule="auto"/>
        <w:outlineLvl w:val="9"/>
        <w:rPr>
          <w:color w:val="auto"/>
          <w:highlight w:val="none"/>
        </w:rPr>
      </w:pPr>
    </w:p>
    <w:p w14:paraId="6D2FB5FE">
      <w:pPr>
        <w:pStyle w:val="3"/>
        <w:spacing w:line="264" w:lineRule="auto"/>
        <w:outlineLvl w:val="9"/>
        <w:rPr>
          <w:color w:val="auto"/>
          <w:highlight w:val="none"/>
        </w:rPr>
      </w:pPr>
    </w:p>
    <w:p w14:paraId="7F5C80B9">
      <w:pPr>
        <w:pStyle w:val="3"/>
        <w:spacing w:line="265" w:lineRule="auto"/>
        <w:outlineLvl w:val="9"/>
        <w:rPr>
          <w:color w:val="auto"/>
          <w:highlight w:val="none"/>
        </w:rPr>
      </w:pPr>
    </w:p>
    <w:p w14:paraId="315F9B1B">
      <w:pPr>
        <w:pStyle w:val="3"/>
        <w:spacing w:line="265" w:lineRule="auto"/>
        <w:outlineLvl w:val="9"/>
        <w:rPr>
          <w:color w:val="auto"/>
          <w:highlight w:val="none"/>
        </w:rPr>
      </w:pPr>
    </w:p>
    <w:p w14:paraId="29B7E7B1">
      <w:pPr>
        <w:pStyle w:val="3"/>
        <w:spacing w:line="265" w:lineRule="auto"/>
        <w:outlineLvl w:val="9"/>
        <w:rPr>
          <w:color w:val="auto"/>
          <w:highlight w:val="none"/>
        </w:rPr>
      </w:pPr>
    </w:p>
    <w:p w14:paraId="6A612DA2">
      <w:pPr>
        <w:pStyle w:val="3"/>
        <w:spacing w:line="265" w:lineRule="auto"/>
        <w:outlineLvl w:val="9"/>
        <w:rPr>
          <w:color w:val="auto"/>
          <w:highlight w:val="none"/>
        </w:rPr>
      </w:pPr>
    </w:p>
    <w:p w14:paraId="2AD33724">
      <w:pPr>
        <w:pStyle w:val="3"/>
        <w:spacing w:line="265" w:lineRule="auto"/>
        <w:outlineLvl w:val="9"/>
        <w:rPr>
          <w:color w:val="auto"/>
          <w:highlight w:val="none"/>
        </w:rPr>
      </w:pPr>
      <w:bookmarkStart w:id="1" w:name="_GoBack"/>
      <w:bookmarkEnd w:id="1"/>
    </w:p>
    <w:p w14:paraId="36E9B10B">
      <w:pPr>
        <w:pStyle w:val="3"/>
        <w:spacing w:line="265" w:lineRule="auto"/>
        <w:outlineLvl w:val="9"/>
        <w:rPr>
          <w:color w:val="auto"/>
          <w:highlight w:val="none"/>
        </w:rPr>
      </w:pPr>
    </w:p>
    <w:p w14:paraId="4059908C">
      <w:pPr>
        <w:spacing w:before="101" w:line="225" w:lineRule="auto"/>
        <w:ind w:left="1470"/>
        <w:outlineLvl w:val="9"/>
        <w:rPr>
          <w:rFonts w:hint="eastAsia" w:ascii="宋体" w:hAnsi="宋体" w:eastAsia="宋体" w:cs="宋体"/>
          <w:color w:val="auto"/>
          <w:sz w:val="31"/>
          <w:szCs w:val="31"/>
          <w:highlight w:val="none"/>
          <w:lang w:eastAsia="zh-CN"/>
        </w:rPr>
      </w:pPr>
      <w:r>
        <w:rPr>
          <w:rFonts w:ascii="宋体" w:hAnsi="宋体" w:eastAsia="宋体" w:cs="宋体"/>
          <w:b/>
          <w:bCs/>
          <w:color w:val="auto"/>
          <w:spacing w:val="5"/>
          <w:sz w:val="31"/>
          <w:szCs w:val="31"/>
          <w:highlight w:val="none"/>
        </w:rPr>
        <w:t>合同编号：</w:t>
      </w:r>
      <w:r>
        <w:rPr>
          <w:rFonts w:hint="eastAsia" w:ascii="宋体" w:hAnsi="宋体" w:eastAsia="宋体" w:cs="宋体"/>
          <w:color w:val="auto"/>
          <w:sz w:val="31"/>
          <w:szCs w:val="31"/>
          <w:highlight w:val="none"/>
          <w:u w:val="single" w:color="auto"/>
          <w:lang w:eastAsia="zh-CN"/>
        </w:rPr>
        <w:t xml:space="preserve">                      </w:t>
      </w:r>
    </w:p>
    <w:p w14:paraId="361786B2">
      <w:pPr>
        <w:spacing w:before="243" w:line="357" w:lineRule="auto"/>
        <w:ind w:left="1500" w:right="625" w:firstLine="9"/>
        <w:outlineLvl w:val="9"/>
        <w:rPr>
          <w:rFonts w:hint="default" w:ascii="宋体" w:hAnsi="宋体" w:eastAsia="宋体" w:cs="宋体"/>
          <w:color w:val="auto"/>
          <w:spacing w:val="3"/>
          <w:sz w:val="31"/>
          <w:szCs w:val="31"/>
          <w:highlight w:val="none"/>
          <w:lang w:val="en-US" w:eastAsia="zh-CN"/>
        </w:rPr>
      </w:pPr>
      <w:r>
        <w:rPr>
          <w:rFonts w:ascii="宋体" w:hAnsi="宋体" w:eastAsia="宋体" w:cs="宋体"/>
          <w:b/>
          <w:bCs/>
          <w:color w:val="auto"/>
          <w:spacing w:val="5"/>
          <w:sz w:val="31"/>
          <w:szCs w:val="31"/>
          <w:highlight w:val="none"/>
        </w:rPr>
        <w:t>甲</w:t>
      </w:r>
      <w:r>
        <w:rPr>
          <w:rFonts w:hint="eastAsia" w:ascii="宋体" w:hAnsi="宋体" w:eastAsia="宋体" w:cs="宋体"/>
          <w:color w:val="auto"/>
          <w:spacing w:val="5"/>
          <w:sz w:val="31"/>
          <w:szCs w:val="31"/>
          <w:highlight w:val="none"/>
          <w:lang w:eastAsia="zh-CN"/>
        </w:rPr>
        <w:t xml:space="preserve">    </w:t>
      </w:r>
      <w:r>
        <w:rPr>
          <w:rFonts w:ascii="宋体" w:hAnsi="宋体" w:eastAsia="宋体" w:cs="宋体"/>
          <w:b/>
          <w:bCs/>
          <w:color w:val="auto"/>
          <w:spacing w:val="5"/>
          <w:sz w:val="31"/>
          <w:szCs w:val="31"/>
          <w:highlight w:val="none"/>
        </w:rPr>
        <w:t>方：</w:t>
      </w:r>
      <w:r>
        <w:rPr>
          <w:rFonts w:hint="eastAsia" w:ascii="宋体" w:hAnsi="宋体" w:eastAsia="宋体" w:cs="宋体"/>
          <w:b/>
          <w:bCs/>
          <w:color w:val="auto"/>
          <w:spacing w:val="5"/>
          <w:sz w:val="31"/>
          <w:szCs w:val="31"/>
          <w:highlight w:val="none"/>
          <w:u w:val="single" w:color="auto"/>
          <w:lang w:eastAsia="zh-CN"/>
        </w:rPr>
        <w:t>西安市中心血站</w:t>
      </w:r>
      <w:r>
        <w:rPr>
          <w:rFonts w:hint="eastAsia" w:ascii="宋体" w:hAnsi="宋体" w:eastAsia="宋体" w:cs="宋体"/>
          <w:b/>
          <w:bCs/>
          <w:color w:val="auto"/>
          <w:spacing w:val="5"/>
          <w:sz w:val="31"/>
          <w:szCs w:val="31"/>
          <w:highlight w:val="none"/>
          <w:u w:val="single" w:color="auto"/>
          <w:lang w:val="en-US" w:eastAsia="zh-CN"/>
        </w:rPr>
        <w:t xml:space="preserve">  </w:t>
      </w:r>
    </w:p>
    <w:p w14:paraId="77645842">
      <w:pPr>
        <w:spacing w:before="101" w:line="225" w:lineRule="auto"/>
        <w:ind w:left="1470"/>
        <w:outlineLvl w:val="9"/>
        <w:rPr>
          <w:rFonts w:hint="eastAsia" w:ascii="宋体" w:hAnsi="宋体" w:eastAsia="宋体" w:cs="宋体"/>
          <w:b/>
          <w:bCs/>
          <w:color w:val="auto"/>
          <w:spacing w:val="5"/>
          <w:sz w:val="31"/>
          <w:szCs w:val="31"/>
          <w:highlight w:val="none"/>
          <w:lang w:eastAsia="zh-CN"/>
        </w:rPr>
      </w:pPr>
      <w:r>
        <w:rPr>
          <w:rFonts w:ascii="宋体" w:hAnsi="宋体" w:eastAsia="宋体" w:cs="宋体"/>
          <w:b/>
          <w:bCs/>
          <w:color w:val="auto"/>
          <w:spacing w:val="5"/>
          <w:sz w:val="31"/>
          <w:szCs w:val="31"/>
          <w:highlight w:val="none"/>
        </w:rPr>
        <w:t>乙</w:t>
      </w:r>
      <w:r>
        <w:rPr>
          <w:rFonts w:hint="eastAsia" w:ascii="宋体" w:hAnsi="宋体" w:eastAsia="宋体" w:cs="宋体"/>
          <w:b/>
          <w:bCs/>
          <w:color w:val="auto"/>
          <w:spacing w:val="5"/>
          <w:sz w:val="31"/>
          <w:szCs w:val="31"/>
          <w:highlight w:val="none"/>
          <w:lang w:eastAsia="zh-CN"/>
        </w:rPr>
        <w:t xml:space="preserve">    </w:t>
      </w:r>
      <w:r>
        <w:rPr>
          <w:rFonts w:ascii="宋体" w:hAnsi="宋体" w:eastAsia="宋体" w:cs="宋体"/>
          <w:b/>
          <w:bCs/>
          <w:color w:val="auto"/>
          <w:spacing w:val="5"/>
          <w:sz w:val="31"/>
          <w:szCs w:val="31"/>
          <w:highlight w:val="none"/>
        </w:rPr>
        <w:t>方</w:t>
      </w:r>
      <w:r>
        <w:rPr>
          <w:rFonts w:hint="eastAsia" w:ascii="宋体" w:hAnsi="宋体" w:eastAsia="宋体" w:cs="宋体"/>
          <w:b/>
          <w:bCs/>
          <w:color w:val="auto"/>
          <w:spacing w:val="5"/>
          <w:sz w:val="31"/>
          <w:szCs w:val="31"/>
          <w:highlight w:val="none"/>
          <w:lang w:eastAsia="zh-CN"/>
        </w:rPr>
        <w:t xml:space="preserve"> </w:t>
      </w:r>
      <w:r>
        <w:rPr>
          <w:rFonts w:ascii="宋体" w:hAnsi="宋体" w:eastAsia="宋体" w:cs="宋体"/>
          <w:b/>
          <w:bCs/>
          <w:color w:val="auto"/>
          <w:spacing w:val="5"/>
          <w:sz w:val="31"/>
          <w:szCs w:val="31"/>
          <w:highlight w:val="none"/>
        </w:rPr>
        <w:t>：</w:t>
      </w:r>
      <w:r>
        <w:rPr>
          <w:rFonts w:hint="eastAsia" w:ascii="宋体" w:hAnsi="宋体" w:eastAsia="宋体" w:cs="宋体"/>
          <w:b/>
          <w:bCs/>
          <w:color w:val="auto"/>
          <w:spacing w:val="5"/>
          <w:sz w:val="31"/>
          <w:szCs w:val="31"/>
          <w:highlight w:val="none"/>
          <w:u w:val="single"/>
          <w:lang w:eastAsia="zh-CN"/>
        </w:rPr>
        <w:t xml:space="preserve">                   </w:t>
      </w:r>
    </w:p>
    <w:p w14:paraId="4198600B">
      <w:pPr>
        <w:spacing w:before="101" w:line="225" w:lineRule="auto"/>
        <w:ind w:left="1470"/>
        <w:outlineLvl w:val="9"/>
        <w:rPr>
          <w:rFonts w:ascii="宋体" w:hAnsi="宋体" w:eastAsia="宋体" w:cs="宋体"/>
          <w:b/>
          <w:bCs/>
          <w:color w:val="auto"/>
          <w:spacing w:val="5"/>
          <w:sz w:val="31"/>
          <w:szCs w:val="31"/>
          <w:highlight w:val="none"/>
        </w:rPr>
      </w:pPr>
    </w:p>
    <w:p w14:paraId="357D6BFE">
      <w:pPr>
        <w:pStyle w:val="3"/>
        <w:spacing w:line="282" w:lineRule="auto"/>
        <w:outlineLvl w:val="9"/>
        <w:rPr>
          <w:color w:val="auto"/>
          <w:highlight w:val="none"/>
        </w:rPr>
      </w:pPr>
    </w:p>
    <w:p w14:paraId="2C27C242">
      <w:pPr>
        <w:spacing w:before="101" w:line="225" w:lineRule="auto"/>
        <w:ind w:left="3065"/>
        <w:outlineLvl w:val="9"/>
        <w:rPr>
          <w:rFonts w:ascii="宋体" w:hAnsi="宋体" w:eastAsia="宋体" w:cs="宋体"/>
          <w:color w:val="auto"/>
          <w:sz w:val="31"/>
          <w:szCs w:val="31"/>
          <w:highlight w:val="none"/>
        </w:rPr>
      </w:pPr>
      <w:r>
        <w:rPr>
          <w:rFonts w:ascii="宋体" w:hAnsi="宋体" w:eastAsia="宋体" w:cs="宋体"/>
          <w:b/>
          <w:bCs/>
          <w:color w:val="auto"/>
          <w:spacing w:val="2"/>
          <w:sz w:val="31"/>
          <w:szCs w:val="31"/>
          <w:highlight w:val="none"/>
        </w:rPr>
        <w:t>二零二</w:t>
      </w:r>
      <w:r>
        <w:rPr>
          <w:rFonts w:hint="eastAsia" w:ascii="宋体" w:hAnsi="宋体" w:eastAsia="宋体" w:cs="宋体"/>
          <w:b/>
          <w:bCs/>
          <w:color w:val="auto"/>
          <w:spacing w:val="2"/>
          <w:sz w:val="31"/>
          <w:szCs w:val="31"/>
          <w:highlight w:val="none"/>
          <w:lang w:val="en-US" w:eastAsia="zh-CN"/>
        </w:rPr>
        <w:t>五</w:t>
      </w:r>
      <w:r>
        <w:rPr>
          <w:rFonts w:ascii="宋体" w:hAnsi="宋体" w:eastAsia="宋体" w:cs="宋体"/>
          <w:b/>
          <w:bCs/>
          <w:color w:val="auto"/>
          <w:spacing w:val="2"/>
          <w:sz w:val="31"/>
          <w:szCs w:val="31"/>
          <w:highlight w:val="none"/>
        </w:rPr>
        <w:t>年</w:t>
      </w:r>
      <w:r>
        <w:rPr>
          <w:rFonts w:hint="eastAsia" w:ascii="宋体" w:hAnsi="宋体" w:eastAsia="宋体" w:cs="宋体"/>
          <w:color w:val="auto"/>
          <w:spacing w:val="14"/>
          <w:sz w:val="31"/>
          <w:szCs w:val="31"/>
          <w:highlight w:val="none"/>
          <w:lang w:eastAsia="zh-CN"/>
        </w:rPr>
        <w:t xml:space="preserve">   </w:t>
      </w:r>
      <w:r>
        <w:rPr>
          <w:rFonts w:ascii="宋体" w:hAnsi="宋体" w:eastAsia="宋体" w:cs="宋体"/>
          <w:b/>
          <w:bCs/>
          <w:color w:val="auto"/>
          <w:spacing w:val="2"/>
          <w:sz w:val="31"/>
          <w:szCs w:val="31"/>
          <w:highlight w:val="none"/>
        </w:rPr>
        <w:t>月</w:t>
      </w:r>
    </w:p>
    <w:p w14:paraId="7F7F60DE">
      <w:pPr>
        <w:outlineLvl w:val="9"/>
        <w:rPr>
          <w:rFonts w:ascii="宋体" w:hAnsi="宋体" w:eastAsia="宋体" w:cs="宋体"/>
          <w:color w:val="auto"/>
          <w:spacing w:val="8"/>
          <w:sz w:val="24"/>
          <w:szCs w:val="24"/>
          <w:highlight w:val="none"/>
        </w:rPr>
      </w:pPr>
      <w:r>
        <w:rPr>
          <w:rFonts w:ascii="宋体" w:hAnsi="宋体" w:eastAsia="宋体" w:cs="宋体"/>
          <w:color w:val="auto"/>
          <w:spacing w:val="8"/>
          <w:sz w:val="24"/>
          <w:szCs w:val="24"/>
          <w:highlight w:val="none"/>
        </w:rPr>
        <w:br w:type="page"/>
      </w:r>
    </w:p>
    <w:p w14:paraId="77D8C4F7">
      <w:pPr>
        <w:rPr>
          <w:color w:val="auto"/>
          <w:highlight w:val="none"/>
        </w:rPr>
      </w:pPr>
    </w:p>
    <w:p w14:paraId="6D90A9E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甲</w:t>
      </w:r>
      <w:r>
        <w:rPr>
          <w:rFonts w:hint="eastAsia" w:ascii="CESI宋体-GB2312" w:hAnsi="CESI宋体-GB2312" w:eastAsia="CESI宋体-GB2312" w:cs="CESI宋体-GB2312"/>
          <w:color w:val="auto"/>
          <w:sz w:val="24"/>
          <w:szCs w:val="24"/>
          <w:highlight w:val="none"/>
          <w:lang w:val="en-US" w:eastAsia="zh-CN"/>
        </w:rPr>
        <w:t xml:space="preserve">  </w:t>
      </w:r>
      <w:r>
        <w:rPr>
          <w:rFonts w:hint="eastAsia" w:ascii="CESI宋体-GB2312" w:hAnsi="CESI宋体-GB2312" w:eastAsia="CESI宋体-GB2312" w:cs="CESI宋体-GB2312"/>
          <w:color w:val="auto"/>
          <w:sz w:val="24"/>
          <w:szCs w:val="24"/>
          <w:highlight w:val="none"/>
        </w:rPr>
        <w:t>方：西安市中心血站</w:t>
      </w:r>
    </w:p>
    <w:p w14:paraId="00641F5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CESI宋体-GB2312" w:hAnsi="CESI宋体-GB2312" w:eastAsia="CESI宋体-GB2312" w:cs="CESI宋体-GB2312"/>
          <w:color w:val="auto"/>
          <w:sz w:val="24"/>
          <w:szCs w:val="24"/>
          <w:highlight w:val="none"/>
          <w:lang w:eastAsia="zh-CN"/>
        </w:rPr>
      </w:pPr>
      <w:r>
        <w:rPr>
          <w:rFonts w:hint="eastAsia" w:ascii="CESI宋体-GB2312" w:hAnsi="CESI宋体-GB2312" w:eastAsia="CESI宋体-GB2312" w:cs="CESI宋体-GB2312"/>
          <w:color w:val="auto"/>
          <w:sz w:val="24"/>
          <w:szCs w:val="24"/>
          <w:highlight w:val="none"/>
          <w:lang w:eastAsia="zh-CN"/>
        </w:rPr>
        <w:t>乙</w:t>
      </w:r>
      <w:r>
        <w:rPr>
          <w:rFonts w:hint="eastAsia" w:ascii="CESI宋体-GB2312" w:hAnsi="CESI宋体-GB2312" w:eastAsia="CESI宋体-GB2312" w:cs="CESI宋体-GB2312"/>
          <w:color w:val="auto"/>
          <w:sz w:val="24"/>
          <w:szCs w:val="24"/>
          <w:highlight w:val="none"/>
          <w:lang w:val="en-US" w:eastAsia="zh-CN"/>
        </w:rPr>
        <w:t xml:space="preserve">  </w:t>
      </w:r>
      <w:r>
        <w:rPr>
          <w:rFonts w:hint="eastAsia" w:ascii="CESI宋体-GB2312" w:hAnsi="CESI宋体-GB2312" w:eastAsia="CESI宋体-GB2312" w:cs="CESI宋体-GB2312"/>
          <w:color w:val="auto"/>
          <w:sz w:val="24"/>
          <w:szCs w:val="24"/>
          <w:highlight w:val="none"/>
          <w:lang w:eastAsia="zh-CN"/>
        </w:rPr>
        <w:t>方：</w:t>
      </w:r>
    </w:p>
    <w:p w14:paraId="40859CF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lang w:val="en-US"/>
        </w:rPr>
      </w:pPr>
      <w:r>
        <w:rPr>
          <w:rFonts w:hint="eastAsia" w:ascii="CESI宋体-GB2312" w:hAnsi="CESI宋体-GB2312" w:eastAsia="CESI宋体-GB2312" w:cs="CESI宋体-GB2312"/>
          <w:color w:val="auto"/>
          <w:sz w:val="24"/>
          <w:szCs w:val="24"/>
          <w:highlight w:val="none"/>
          <w:lang w:val="en-US" w:eastAsia="zh-CN"/>
        </w:rPr>
        <w:t>依据</w:t>
      </w:r>
      <w:r>
        <w:rPr>
          <w:rFonts w:hint="eastAsia" w:ascii="CESI宋体-GB2312" w:hAnsi="CESI宋体-GB2312" w:eastAsia="CESI宋体-GB2312" w:cs="CESI宋体-GB2312"/>
          <w:color w:val="auto"/>
          <w:sz w:val="24"/>
          <w:szCs w:val="24"/>
          <w:highlight w:val="none"/>
        </w:rPr>
        <w:t>《中华人民共和国政府采购法》、《中华人民共和国民法典》</w:t>
      </w:r>
      <w:r>
        <w:rPr>
          <w:rFonts w:hint="eastAsia" w:ascii="CESI宋体-GB2312" w:hAnsi="CESI宋体-GB2312" w:eastAsia="CESI宋体-GB2312" w:cs="CESI宋体-GB2312"/>
          <w:color w:val="auto"/>
          <w:sz w:val="24"/>
          <w:szCs w:val="24"/>
          <w:highlight w:val="none"/>
          <w:lang w:val="en-US" w:eastAsia="zh-CN"/>
        </w:rPr>
        <w:t>的规定，</w:t>
      </w:r>
      <w:r>
        <w:rPr>
          <w:rFonts w:hint="eastAsia" w:ascii="CESI宋体-GB2312" w:hAnsi="CESI宋体-GB2312" w:eastAsia="CESI宋体-GB2312" w:cs="CESI宋体-GB2312"/>
          <w:color w:val="auto"/>
          <w:sz w:val="24"/>
          <w:szCs w:val="24"/>
          <w:highlight w:val="none"/>
          <w:lang w:eastAsia="zh-CN"/>
        </w:rPr>
        <w:t>鉴证方按照政府采购程序就甲方所需组织采购工作，确定乙方为</w:t>
      </w:r>
      <w:r>
        <w:rPr>
          <w:rFonts w:hint="eastAsia" w:ascii="CESI宋体-GB2312" w:hAnsi="CESI宋体-GB2312" w:eastAsia="CESI宋体-GB2312" w:cs="CESI宋体-GB2312"/>
          <w:color w:val="auto"/>
          <w:sz w:val="24"/>
          <w:szCs w:val="24"/>
          <w:highlight w:val="none"/>
          <w:lang w:val="en-US" w:eastAsia="zh-CN"/>
        </w:rPr>
        <w:t>XXXXX项目（项目编号：XXXXXXXXXX）第X标段的成交供应商。经甲、乙双方协商，鉴证方确认，达成如下合同条款。</w:t>
      </w:r>
    </w:p>
    <w:p w14:paraId="5DFDBF99">
      <w:pPr>
        <w:spacing w:line="460" w:lineRule="exact"/>
        <w:ind w:firstLine="472" w:firstLineChars="196"/>
        <w:jc w:val="both"/>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b/>
          <w:bCs/>
          <w:color w:val="auto"/>
          <w:sz w:val="24"/>
          <w:szCs w:val="24"/>
          <w:highlight w:val="none"/>
          <w:lang w:val="zh-CN"/>
        </w:rPr>
        <w:t>一、合同标的</w:t>
      </w:r>
    </w:p>
    <w:tbl>
      <w:tblPr>
        <w:tblStyle w:val="4"/>
        <w:tblW w:w="81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2243"/>
        <w:gridCol w:w="1125"/>
        <w:gridCol w:w="885"/>
        <w:gridCol w:w="1125"/>
        <w:gridCol w:w="1140"/>
        <w:gridCol w:w="1140"/>
      </w:tblGrid>
      <w:tr w14:paraId="0E0DF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518" w:type="dxa"/>
            <w:tcBorders>
              <w:top w:val="single" w:color="auto" w:sz="4" w:space="0"/>
              <w:left w:val="single" w:color="auto" w:sz="4" w:space="0"/>
              <w:bottom w:val="single" w:color="auto" w:sz="4" w:space="0"/>
              <w:right w:val="single" w:color="auto" w:sz="4" w:space="0"/>
            </w:tcBorders>
            <w:vAlign w:val="center"/>
          </w:tcPr>
          <w:p w14:paraId="22DFE9ED">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color w:val="auto"/>
                <w:highlight w:val="none"/>
                <w:lang w:eastAsia="zh-CN"/>
              </w:rPr>
            </w:pPr>
            <w:r>
              <w:rPr>
                <w:rFonts w:ascii="CESI宋体-GB2312" w:hAnsi="CESI宋体-GB2312" w:eastAsia="CESI宋体-GB2312" w:cs="CESI宋体-GB2312"/>
                <w:color w:val="auto"/>
                <w:highlight w:val="none"/>
                <w:lang w:eastAsia="zh-CN"/>
              </w:rPr>
              <w:t>序号</w:t>
            </w:r>
          </w:p>
        </w:tc>
        <w:tc>
          <w:tcPr>
            <w:tcW w:w="2243" w:type="dxa"/>
            <w:tcBorders>
              <w:top w:val="single" w:color="auto" w:sz="4" w:space="0"/>
              <w:left w:val="single" w:color="auto" w:sz="4" w:space="0"/>
              <w:bottom w:val="single" w:color="auto" w:sz="4" w:space="0"/>
              <w:right w:val="single" w:color="auto" w:sz="4" w:space="0"/>
            </w:tcBorders>
            <w:vAlign w:val="center"/>
          </w:tcPr>
          <w:p w14:paraId="33513117">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color w:val="auto"/>
                <w:highlight w:val="none"/>
              </w:rPr>
            </w:pPr>
            <w:r>
              <w:rPr>
                <w:rFonts w:hint="eastAsia" w:ascii="CESI宋体-GB2312" w:hAnsi="CESI宋体-GB2312" w:eastAsia="CESI宋体-GB2312" w:cs="CESI宋体-GB2312"/>
                <w:color w:val="auto"/>
                <w:highlight w:val="none"/>
                <w:lang w:eastAsia="zh-CN"/>
              </w:rPr>
              <w:t>货</w:t>
            </w:r>
            <w:r>
              <w:rPr>
                <w:rFonts w:ascii="CESI宋体-GB2312" w:hAnsi="CESI宋体-GB2312" w:eastAsia="CESI宋体-GB2312" w:cs="CESI宋体-GB2312"/>
                <w:color w:val="auto"/>
                <w:highlight w:val="none"/>
                <w:lang w:eastAsia="zh-CN"/>
              </w:rPr>
              <w:t>料</w:t>
            </w:r>
            <w:r>
              <w:rPr>
                <w:rFonts w:hint="eastAsia" w:ascii="CESI宋体-GB2312" w:hAnsi="CESI宋体-GB2312" w:eastAsia="CESI宋体-GB2312" w:cs="CESI宋体-GB2312"/>
                <w:color w:val="auto"/>
                <w:highlight w:val="none"/>
              </w:rPr>
              <w:t>名称</w:t>
            </w:r>
          </w:p>
        </w:tc>
        <w:tc>
          <w:tcPr>
            <w:tcW w:w="1125" w:type="dxa"/>
            <w:tcBorders>
              <w:top w:val="single" w:color="auto" w:sz="4" w:space="0"/>
              <w:left w:val="single" w:color="auto" w:sz="4" w:space="0"/>
              <w:bottom w:val="single" w:color="auto" w:sz="4" w:space="0"/>
              <w:right w:val="single" w:color="auto" w:sz="4" w:space="0"/>
            </w:tcBorders>
            <w:vAlign w:val="center"/>
          </w:tcPr>
          <w:p w14:paraId="22742051">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color w:val="auto"/>
                <w:highlight w:val="none"/>
              </w:rPr>
            </w:pPr>
            <w:r>
              <w:rPr>
                <w:rFonts w:hint="eastAsia" w:ascii="CESI宋体-GB2312" w:hAnsi="CESI宋体-GB2312" w:eastAsia="CESI宋体-GB2312" w:cs="CESI宋体-GB2312"/>
                <w:color w:val="auto"/>
                <w:highlight w:val="none"/>
              </w:rPr>
              <w:t>制造厂商</w:t>
            </w:r>
          </w:p>
        </w:tc>
        <w:tc>
          <w:tcPr>
            <w:tcW w:w="885" w:type="dxa"/>
            <w:tcBorders>
              <w:top w:val="single" w:color="auto" w:sz="4" w:space="0"/>
              <w:left w:val="single" w:color="auto" w:sz="4" w:space="0"/>
              <w:bottom w:val="single" w:color="auto" w:sz="4" w:space="0"/>
              <w:right w:val="single" w:color="auto" w:sz="4" w:space="0"/>
            </w:tcBorders>
            <w:vAlign w:val="center"/>
          </w:tcPr>
          <w:p w14:paraId="64A2A820">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color w:val="auto"/>
                <w:highlight w:val="none"/>
              </w:rPr>
            </w:pPr>
            <w:r>
              <w:rPr>
                <w:rFonts w:hint="eastAsia" w:ascii="CESI宋体-GB2312" w:hAnsi="CESI宋体-GB2312" w:eastAsia="CESI宋体-GB2312" w:cs="CESI宋体-GB2312"/>
                <w:color w:val="auto"/>
                <w:highlight w:val="none"/>
              </w:rPr>
              <w:t>规格</w:t>
            </w:r>
          </w:p>
        </w:tc>
        <w:tc>
          <w:tcPr>
            <w:tcW w:w="1125" w:type="dxa"/>
            <w:tcBorders>
              <w:top w:val="single" w:color="auto" w:sz="4" w:space="0"/>
              <w:left w:val="single" w:color="auto" w:sz="4" w:space="0"/>
              <w:right w:val="single" w:color="auto" w:sz="4" w:space="0"/>
            </w:tcBorders>
            <w:vAlign w:val="center"/>
          </w:tcPr>
          <w:p w14:paraId="4B3648F7">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color w:val="auto"/>
                <w:highlight w:val="none"/>
              </w:rPr>
            </w:pPr>
            <w:r>
              <w:rPr>
                <w:rFonts w:hint="eastAsia" w:ascii="CESI宋体-GB2312" w:hAnsi="CESI宋体-GB2312" w:eastAsia="CESI宋体-GB2312" w:cs="CESI宋体-GB2312"/>
                <w:color w:val="auto"/>
                <w:highlight w:val="none"/>
              </w:rPr>
              <w:t>单价（元）</w:t>
            </w:r>
          </w:p>
        </w:tc>
        <w:tc>
          <w:tcPr>
            <w:tcW w:w="1140" w:type="dxa"/>
            <w:tcBorders>
              <w:top w:val="single" w:color="auto" w:sz="4" w:space="0"/>
              <w:left w:val="single" w:color="auto" w:sz="4" w:space="0"/>
              <w:right w:val="single" w:color="auto" w:sz="4" w:space="0"/>
            </w:tcBorders>
            <w:vAlign w:val="center"/>
          </w:tcPr>
          <w:p w14:paraId="5C394BD7">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color w:val="auto"/>
                <w:highlight w:val="none"/>
              </w:rPr>
            </w:pPr>
            <w:r>
              <w:rPr>
                <w:rFonts w:hint="eastAsia" w:ascii="CESI宋体-GB2312" w:hAnsi="CESI宋体-GB2312" w:eastAsia="CESI宋体-GB2312" w:cs="CESI宋体-GB2312"/>
                <w:color w:val="auto"/>
                <w:highlight w:val="none"/>
              </w:rPr>
              <w:t>数量（</w:t>
            </w:r>
            <w:r>
              <w:rPr>
                <w:rFonts w:hint="eastAsia" w:ascii="CESI宋体-GB2312" w:hAnsi="CESI宋体-GB2312" w:eastAsia="CESI宋体-GB2312" w:cs="CESI宋体-GB2312"/>
                <w:color w:val="auto"/>
                <w:highlight w:val="none"/>
                <w:lang w:val="en-US" w:eastAsia="zh-CN"/>
              </w:rPr>
              <w:t xml:space="preserve"> </w:t>
            </w:r>
            <w:r>
              <w:rPr>
                <w:rFonts w:hint="eastAsia" w:ascii="CESI宋体-GB2312" w:hAnsi="CESI宋体-GB2312" w:eastAsia="CESI宋体-GB2312" w:cs="CESI宋体-GB2312"/>
                <w:color w:val="auto"/>
                <w:highlight w:val="none"/>
              </w:rPr>
              <w:t>）</w:t>
            </w:r>
          </w:p>
        </w:tc>
        <w:tc>
          <w:tcPr>
            <w:tcW w:w="1140" w:type="dxa"/>
            <w:tcBorders>
              <w:top w:val="single" w:color="auto" w:sz="4" w:space="0"/>
              <w:left w:val="single" w:color="auto" w:sz="4" w:space="0"/>
              <w:bottom w:val="single" w:color="auto" w:sz="4" w:space="0"/>
              <w:right w:val="single" w:color="auto" w:sz="4" w:space="0"/>
            </w:tcBorders>
            <w:vAlign w:val="center"/>
          </w:tcPr>
          <w:p w14:paraId="4BBFCAEF">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color w:val="auto"/>
                <w:highlight w:val="none"/>
              </w:rPr>
            </w:pPr>
            <w:r>
              <w:rPr>
                <w:rFonts w:hint="eastAsia" w:ascii="CESI宋体-GB2312" w:hAnsi="CESI宋体-GB2312" w:eastAsia="CESI宋体-GB2312" w:cs="CESI宋体-GB2312"/>
                <w:color w:val="auto"/>
                <w:highlight w:val="none"/>
              </w:rPr>
              <w:t>合计（元）</w:t>
            </w:r>
          </w:p>
        </w:tc>
      </w:tr>
      <w:tr w14:paraId="0F1AF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vAlign w:val="center"/>
          </w:tcPr>
          <w:p w14:paraId="7A92D6BD">
            <w:pPr>
              <w:jc w:val="both"/>
              <w:rPr>
                <w:rFonts w:hint="eastAsia" w:ascii="CESI宋体-GB2312" w:hAnsi="CESI宋体-GB2312" w:eastAsia="CESI宋体-GB2312" w:cs="CESI宋体-GB2312"/>
                <w:color w:val="auto"/>
                <w:highlight w:val="none"/>
              </w:rPr>
            </w:pPr>
          </w:p>
        </w:tc>
        <w:tc>
          <w:tcPr>
            <w:tcW w:w="2243" w:type="dxa"/>
            <w:tcBorders>
              <w:top w:val="single" w:color="auto" w:sz="4" w:space="0"/>
              <w:left w:val="single" w:color="auto" w:sz="4" w:space="0"/>
              <w:bottom w:val="single" w:color="auto" w:sz="4" w:space="0"/>
              <w:right w:val="single" w:color="auto" w:sz="4" w:space="0"/>
            </w:tcBorders>
            <w:vAlign w:val="center"/>
          </w:tcPr>
          <w:p w14:paraId="477F36EF">
            <w:pPr>
              <w:jc w:val="both"/>
              <w:rPr>
                <w:rFonts w:hint="eastAsia" w:ascii="CESI宋体-GB2312" w:hAnsi="CESI宋体-GB2312" w:eastAsia="CESI宋体-GB2312" w:cs="CESI宋体-GB2312"/>
                <w:color w:val="auto"/>
                <w:highlight w:val="none"/>
              </w:rPr>
            </w:pPr>
          </w:p>
        </w:tc>
        <w:tc>
          <w:tcPr>
            <w:tcW w:w="1125" w:type="dxa"/>
            <w:tcBorders>
              <w:top w:val="single" w:color="auto" w:sz="4" w:space="0"/>
              <w:left w:val="single" w:color="auto" w:sz="4" w:space="0"/>
              <w:bottom w:val="single" w:color="auto" w:sz="4" w:space="0"/>
              <w:right w:val="single" w:color="auto" w:sz="4" w:space="0"/>
            </w:tcBorders>
            <w:vAlign w:val="center"/>
          </w:tcPr>
          <w:p w14:paraId="1483BFDB">
            <w:pPr>
              <w:jc w:val="both"/>
              <w:rPr>
                <w:rFonts w:hint="eastAsia" w:ascii="CESI宋体-GB2312" w:hAnsi="CESI宋体-GB2312" w:eastAsia="CESI宋体-GB2312" w:cs="CESI宋体-GB2312"/>
                <w:color w:val="auto"/>
                <w:highlight w:val="none"/>
              </w:rPr>
            </w:pPr>
          </w:p>
        </w:tc>
        <w:tc>
          <w:tcPr>
            <w:tcW w:w="885" w:type="dxa"/>
            <w:tcBorders>
              <w:top w:val="single" w:color="auto" w:sz="4" w:space="0"/>
              <w:left w:val="single" w:color="auto" w:sz="4" w:space="0"/>
              <w:bottom w:val="single" w:color="auto" w:sz="4" w:space="0"/>
              <w:right w:val="single" w:color="auto" w:sz="4" w:space="0"/>
            </w:tcBorders>
            <w:vAlign w:val="center"/>
          </w:tcPr>
          <w:p w14:paraId="4022B490">
            <w:pPr>
              <w:jc w:val="both"/>
              <w:rPr>
                <w:rFonts w:hint="eastAsia" w:ascii="CESI宋体-GB2312" w:hAnsi="CESI宋体-GB2312" w:eastAsia="CESI宋体-GB2312" w:cs="CESI宋体-GB2312"/>
                <w:color w:val="auto"/>
                <w:highlight w:val="none"/>
              </w:rPr>
            </w:pPr>
          </w:p>
        </w:tc>
        <w:tc>
          <w:tcPr>
            <w:tcW w:w="1125" w:type="dxa"/>
            <w:tcBorders>
              <w:left w:val="single" w:color="auto" w:sz="4" w:space="0"/>
              <w:right w:val="single" w:color="auto" w:sz="4" w:space="0"/>
            </w:tcBorders>
            <w:vAlign w:val="center"/>
          </w:tcPr>
          <w:p w14:paraId="51D440BC">
            <w:pPr>
              <w:jc w:val="both"/>
              <w:rPr>
                <w:rFonts w:hint="eastAsia" w:ascii="CESI宋体-GB2312" w:hAnsi="CESI宋体-GB2312" w:eastAsia="CESI宋体-GB2312" w:cs="CESI宋体-GB2312"/>
                <w:color w:val="auto"/>
                <w:highlight w:val="none"/>
              </w:rPr>
            </w:pPr>
          </w:p>
        </w:tc>
        <w:tc>
          <w:tcPr>
            <w:tcW w:w="1140" w:type="dxa"/>
            <w:tcBorders>
              <w:left w:val="single" w:color="auto" w:sz="4" w:space="0"/>
              <w:right w:val="single" w:color="auto" w:sz="4" w:space="0"/>
            </w:tcBorders>
            <w:vAlign w:val="center"/>
          </w:tcPr>
          <w:p w14:paraId="6C9D6D69">
            <w:pPr>
              <w:jc w:val="both"/>
              <w:rPr>
                <w:rFonts w:hint="eastAsia" w:ascii="CESI宋体-GB2312" w:hAnsi="CESI宋体-GB2312" w:eastAsia="CESI宋体-GB2312" w:cs="CESI宋体-GB2312"/>
                <w:color w:val="auto"/>
                <w:highlight w:val="none"/>
              </w:rPr>
            </w:pPr>
          </w:p>
        </w:tc>
        <w:tc>
          <w:tcPr>
            <w:tcW w:w="1140" w:type="dxa"/>
            <w:tcBorders>
              <w:top w:val="single" w:color="auto" w:sz="4" w:space="0"/>
              <w:left w:val="single" w:color="auto" w:sz="4" w:space="0"/>
              <w:bottom w:val="single" w:color="auto" w:sz="4" w:space="0"/>
              <w:right w:val="single" w:color="auto" w:sz="4" w:space="0"/>
            </w:tcBorders>
            <w:vAlign w:val="center"/>
          </w:tcPr>
          <w:p w14:paraId="3D43CCFC">
            <w:pPr>
              <w:jc w:val="both"/>
              <w:rPr>
                <w:rFonts w:hint="eastAsia" w:ascii="CESI宋体-GB2312" w:hAnsi="CESI宋体-GB2312" w:eastAsia="CESI宋体-GB2312" w:cs="CESI宋体-GB2312"/>
                <w:color w:val="auto"/>
                <w:highlight w:val="none"/>
              </w:rPr>
            </w:pPr>
          </w:p>
        </w:tc>
      </w:tr>
      <w:tr w14:paraId="414E0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vAlign w:val="center"/>
          </w:tcPr>
          <w:p w14:paraId="45F01835">
            <w:pPr>
              <w:jc w:val="both"/>
              <w:rPr>
                <w:rFonts w:hint="eastAsia" w:ascii="CESI宋体-GB2312" w:hAnsi="CESI宋体-GB2312" w:eastAsia="CESI宋体-GB2312" w:cs="CESI宋体-GB2312"/>
                <w:color w:val="auto"/>
                <w:highlight w:val="none"/>
                <w:lang w:val="en-US" w:eastAsia="zh-CN"/>
              </w:rPr>
            </w:pPr>
          </w:p>
        </w:tc>
        <w:tc>
          <w:tcPr>
            <w:tcW w:w="2243" w:type="dxa"/>
            <w:tcBorders>
              <w:top w:val="single" w:color="auto" w:sz="4" w:space="0"/>
              <w:left w:val="single" w:color="auto" w:sz="4" w:space="0"/>
              <w:bottom w:val="single" w:color="auto" w:sz="4" w:space="0"/>
              <w:right w:val="single" w:color="auto" w:sz="4" w:space="0"/>
            </w:tcBorders>
            <w:vAlign w:val="center"/>
          </w:tcPr>
          <w:p w14:paraId="11AF9AC0">
            <w:pPr>
              <w:jc w:val="both"/>
              <w:rPr>
                <w:rFonts w:hint="eastAsia" w:ascii="CESI宋体-GB2312" w:hAnsi="CESI宋体-GB2312" w:eastAsia="CESI宋体-GB2312" w:cs="CESI宋体-GB2312"/>
                <w:color w:val="auto"/>
                <w:highlight w:val="none"/>
              </w:rPr>
            </w:pPr>
          </w:p>
        </w:tc>
        <w:tc>
          <w:tcPr>
            <w:tcW w:w="1125" w:type="dxa"/>
            <w:tcBorders>
              <w:top w:val="single" w:color="auto" w:sz="4" w:space="0"/>
              <w:left w:val="single" w:color="auto" w:sz="4" w:space="0"/>
              <w:bottom w:val="single" w:color="auto" w:sz="4" w:space="0"/>
              <w:right w:val="single" w:color="auto" w:sz="4" w:space="0"/>
            </w:tcBorders>
            <w:vAlign w:val="center"/>
          </w:tcPr>
          <w:p w14:paraId="3D47BF5B">
            <w:pPr>
              <w:jc w:val="both"/>
              <w:rPr>
                <w:rFonts w:hint="eastAsia" w:ascii="CESI宋体-GB2312" w:hAnsi="CESI宋体-GB2312" w:eastAsia="CESI宋体-GB2312" w:cs="CESI宋体-GB2312"/>
                <w:color w:val="auto"/>
                <w:highlight w:val="none"/>
              </w:rPr>
            </w:pPr>
          </w:p>
        </w:tc>
        <w:tc>
          <w:tcPr>
            <w:tcW w:w="885" w:type="dxa"/>
            <w:tcBorders>
              <w:top w:val="single" w:color="auto" w:sz="4" w:space="0"/>
              <w:left w:val="single" w:color="auto" w:sz="4" w:space="0"/>
              <w:bottom w:val="single" w:color="auto" w:sz="4" w:space="0"/>
              <w:right w:val="single" w:color="auto" w:sz="4" w:space="0"/>
            </w:tcBorders>
            <w:vAlign w:val="center"/>
          </w:tcPr>
          <w:p w14:paraId="5465B18B">
            <w:pPr>
              <w:jc w:val="both"/>
              <w:rPr>
                <w:rFonts w:hint="eastAsia" w:ascii="CESI宋体-GB2312" w:hAnsi="CESI宋体-GB2312" w:eastAsia="CESI宋体-GB2312" w:cs="CESI宋体-GB2312"/>
                <w:color w:val="auto"/>
                <w:highlight w:val="none"/>
              </w:rPr>
            </w:pPr>
          </w:p>
        </w:tc>
        <w:tc>
          <w:tcPr>
            <w:tcW w:w="1125" w:type="dxa"/>
            <w:tcBorders>
              <w:left w:val="single" w:color="auto" w:sz="4" w:space="0"/>
              <w:right w:val="single" w:color="auto" w:sz="4" w:space="0"/>
            </w:tcBorders>
            <w:vAlign w:val="center"/>
          </w:tcPr>
          <w:p w14:paraId="25E4D057">
            <w:pPr>
              <w:jc w:val="both"/>
              <w:rPr>
                <w:rFonts w:hint="eastAsia" w:ascii="CESI宋体-GB2312" w:hAnsi="CESI宋体-GB2312" w:eastAsia="CESI宋体-GB2312" w:cs="CESI宋体-GB2312"/>
                <w:color w:val="auto"/>
                <w:highlight w:val="none"/>
              </w:rPr>
            </w:pPr>
          </w:p>
        </w:tc>
        <w:tc>
          <w:tcPr>
            <w:tcW w:w="1140" w:type="dxa"/>
            <w:tcBorders>
              <w:left w:val="single" w:color="auto" w:sz="4" w:space="0"/>
              <w:right w:val="single" w:color="auto" w:sz="4" w:space="0"/>
            </w:tcBorders>
            <w:vAlign w:val="center"/>
          </w:tcPr>
          <w:p w14:paraId="25BD5F2A">
            <w:pPr>
              <w:jc w:val="both"/>
              <w:rPr>
                <w:rFonts w:hint="eastAsia" w:ascii="CESI宋体-GB2312" w:hAnsi="CESI宋体-GB2312" w:eastAsia="CESI宋体-GB2312" w:cs="CESI宋体-GB2312"/>
                <w:color w:val="auto"/>
                <w:highlight w:val="none"/>
              </w:rPr>
            </w:pPr>
          </w:p>
        </w:tc>
        <w:tc>
          <w:tcPr>
            <w:tcW w:w="1140" w:type="dxa"/>
            <w:tcBorders>
              <w:top w:val="single" w:color="auto" w:sz="4" w:space="0"/>
              <w:left w:val="single" w:color="auto" w:sz="4" w:space="0"/>
              <w:bottom w:val="single" w:color="auto" w:sz="4" w:space="0"/>
              <w:right w:val="single" w:color="auto" w:sz="4" w:space="0"/>
            </w:tcBorders>
            <w:vAlign w:val="center"/>
          </w:tcPr>
          <w:p w14:paraId="06A595BF">
            <w:pPr>
              <w:jc w:val="both"/>
              <w:rPr>
                <w:rFonts w:hint="eastAsia" w:ascii="CESI宋体-GB2312" w:hAnsi="CESI宋体-GB2312" w:eastAsia="CESI宋体-GB2312" w:cs="CESI宋体-GB2312"/>
                <w:color w:val="auto"/>
                <w:highlight w:val="none"/>
              </w:rPr>
            </w:pPr>
          </w:p>
        </w:tc>
      </w:tr>
      <w:tr w14:paraId="2163E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18" w:type="dxa"/>
            <w:tcBorders>
              <w:top w:val="single" w:color="auto" w:sz="4" w:space="0"/>
              <w:left w:val="single" w:color="auto" w:sz="4" w:space="0"/>
              <w:bottom w:val="single" w:color="auto" w:sz="4" w:space="0"/>
              <w:right w:val="single" w:color="auto" w:sz="4" w:space="0"/>
            </w:tcBorders>
            <w:vAlign w:val="center"/>
          </w:tcPr>
          <w:p w14:paraId="2ECE0FE9">
            <w:pPr>
              <w:jc w:val="both"/>
              <w:rPr>
                <w:rFonts w:hint="eastAsia" w:ascii="CESI宋体-GB2312" w:hAnsi="CESI宋体-GB2312" w:eastAsia="CESI宋体-GB2312" w:cs="CESI宋体-GB2312"/>
                <w:color w:val="auto"/>
                <w:highlight w:val="none"/>
                <w:lang w:val="en-US" w:eastAsia="zh-CN"/>
              </w:rPr>
            </w:pPr>
          </w:p>
        </w:tc>
        <w:tc>
          <w:tcPr>
            <w:tcW w:w="2243" w:type="dxa"/>
            <w:tcBorders>
              <w:top w:val="single" w:color="auto" w:sz="4" w:space="0"/>
              <w:left w:val="single" w:color="auto" w:sz="4" w:space="0"/>
              <w:bottom w:val="single" w:color="auto" w:sz="4" w:space="0"/>
              <w:right w:val="single" w:color="auto" w:sz="4" w:space="0"/>
            </w:tcBorders>
            <w:vAlign w:val="center"/>
          </w:tcPr>
          <w:p w14:paraId="10EC1152">
            <w:pPr>
              <w:jc w:val="both"/>
              <w:rPr>
                <w:rFonts w:hint="eastAsia" w:ascii="CESI宋体-GB2312" w:hAnsi="CESI宋体-GB2312" w:eastAsia="CESI宋体-GB2312" w:cs="CESI宋体-GB2312"/>
                <w:color w:val="auto"/>
                <w:highlight w:val="none"/>
              </w:rPr>
            </w:pPr>
          </w:p>
        </w:tc>
        <w:tc>
          <w:tcPr>
            <w:tcW w:w="1125" w:type="dxa"/>
            <w:tcBorders>
              <w:top w:val="single" w:color="auto" w:sz="4" w:space="0"/>
              <w:left w:val="single" w:color="auto" w:sz="4" w:space="0"/>
              <w:bottom w:val="single" w:color="auto" w:sz="4" w:space="0"/>
              <w:right w:val="single" w:color="auto" w:sz="4" w:space="0"/>
            </w:tcBorders>
            <w:vAlign w:val="center"/>
          </w:tcPr>
          <w:p w14:paraId="0EF1F7F0">
            <w:pPr>
              <w:jc w:val="both"/>
              <w:rPr>
                <w:rFonts w:hint="eastAsia" w:ascii="CESI宋体-GB2312" w:hAnsi="CESI宋体-GB2312" w:eastAsia="CESI宋体-GB2312" w:cs="CESI宋体-GB2312"/>
                <w:color w:val="auto"/>
                <w:highlight w:val="none"/>
              </w:rPr>
            </w:pPr>
          </w:p>
        </w:tc>
        <w:tc>
          <w:tcPr>
            <w:tcW w:w="885" w:type="dxa"/>
            <w:tcBorders>
              <w:top w:val="single" w:color="auto" w:sz="4" w:space="0"/>
              <w:left w:val="single" w:color="auto" w:sz="4" w:space="0"/>
              <w:bottom w:val="single" w:color="auto" w:sz="4" w:space="0"/>
              <w:right w:val="single" w:color="auto" w:sz="4" w:space="0"/>
            </w:tcBorders>
            <w:vAlign w:val="center"/>
          </w:tcPr>
          <w:p w14:paraId="263C4E36">
            <w:pPr>
              <w:jc w:val="both"/>
              <w:rPr>
                <w:rFonts w:hint="eastAsia" w:ascii="CESI宋体-GB2312" w:hAnsi="CESI宋体-GB2312" w:eastAsia="CESI宋体-GB2312" w:cs="CESI宋体-GB2312"/>
                <w:color w:val="auto"/>
                <w:highlight w:val="none"/>
              </w:rPr>
            </w:pPr>
          </w:p>
        </w:tc>
        <w:tc>
          <w:tcPr>
            <w:tcW w:w="1125" w:type="dxa"/>
            <w:tcBorders>
              <w:left w:val="single" w:color="auto" w:sz="4" w:space="0"/>
              <w:bottom w:val="single" w:color="auto" w:sz="4" w:space="0"/>
              <w:right w:val="single" w:color="auto" w:sz="4" w:space="0"/>
            </w:tcBorders>
            <w:vAlign w:val="center"/>
          </w:tcPr>
          <w:p w14:paraId="4963C82F">
            <w:pPr>
              <w:jc w:val="both"/>
              <w:rPr>
                <w:rFonts w:hint="eastAsia" w:ascii="CESI宋体-GB2312" w:hAnsi="CESI宋体-GB2312" w:eastAsia="CESI宋体-GB2312" w:cs="CESI宋体-GB2312"/>
                <w:color w:val="auto"/>
                <w:highlight w:val="none"/>
              </w:rPr>
            </w:pPr>
          </w:p>
        </w:tc>
        <w:tc>
          <w:tcPr>
            <w:tcW w:w="1140" w:type="dxa"/>
            <w:tcBorders>
              <w:left w:val="single" w:color="auto" w:sz="4" w:space="0"/>
              <w:bottom w:val="single" w:color="auto" w:sz="4" w:space="0"/>
              <w:right w:val="single" w:color="auto" w:sz="4" w:space="0"/>
            </w:tcBorders>
            <w:vAlign w:val="center"/>
          </w:tcPr>
          <w:p w14:paraId="1144033A">
            <w:pPr>
              <w:jc w:val="both"/>
              <w:rPr>
                <w:rFonts w:hint="eastAsia" w:ascii="CESI宋体-GB2312" w:hAnsi="CESI宋体-GB2312" w:eastAsia="CESI宋体-GB2312" w:cs="CESI宋体-GB2312"/>
                <w:color w:val="auto"/>
                <w:highlight w:val="none"/>
              </w:rPr>
            </w:pPr>
          </w:p>
        </w:tc>
        <w:tc>
          <w:tcPr>
            <w:tcW w:w="1140" w:type="dxa"/>
            <w:tcBorders>
              <w:top w:val="single" w:color="auto" w:sz="4" w:space="0"/>
              <w:left w:val="single" w:color="auto" w:sz="4" w:space="0"/>
              <w:bottom w:val="single" w:color="auto" w:sz="4" w:space="0"/>
              <w:right w:val="single" w:color="auto" w:sz="4" w:space="0"/>
            </w:tcBorders>
            <w:vAlign w:val="center"/>
          </w:tcPr>
          <w:p w14:paraId="3DEE1D7E">
            <w:pPr>
              <w:jc w:val="both"/>
              <w:rPr>
                <w:rFonts w:hint="eastAsia" w:ascii="CESI宋体-GB2312" w:hAnsi="CESI宋体-GB2312" w:eastAsia="CESI宋体-GB2312" w:cs="CESI宋体-GB2312"/>
                <w:color w:val="auto"/>
                <w:highlight w:val="none"/>
              </w:rPr>
            </w:pPr>
          </w:p>
        </w:tc>
      </w:tr>
    </w:tbl>
    <w:p w14:paraId="758C88E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highlight w:val="none"/>
        </w:rPr>
      </w:pPr>
      <w:r>
        <w:rPr>
          <w:rFonts w:hint="eastAsia" w:ascii="CESI宋体-GB2312" w:hAnsi="CESI宋体-GB2312" w:eastAsia="CESI宋体-GB2312" w:cs="CESI宋体-GB2312"/>
          <w:b/>
          <w:color w:val="auto"/>
          <w:sz w:val="24"/>
          <w:szCs w:val="24"/>
          <w:highlight w:val="none"/>
        </w:rPr>
        <w:t>二、合同价款</w:t>
      </w:r>
    </w:p>
    <w:p w14:paraId="6916D5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1、合同总价：人民币</w:t>
      </w:r>
      <w:r>
        <w:rPr>
          <w:rFonts w:hint="eastAsia" w:ascii="CESI宋体-GB2312" w:hAnsi="CESI宋体-GB2312" w:eastAsia="CESI宋体-GB2312" w:cs="CESI宋体-GB2312"/>
          <w:color w:val="auto"/>
          <w:sz w:val="24"/>
          <w:szCs w:val="24"/>
          <w:highlight w:val="none"/>
          <w:lang w:val="en-US" w:eastAsia="zh-CN"/>
        </w:rPr>
        <w:t>XXXXXXXXXXXXXXX</w:t>
      </w:r>
      <w:r>
        <w:rPr>
          <w:rFonts w:hint="eastAsia" w:ascii="CESI宋体-GB2312" w:hAnsi="CESI宋体-GB2312" w:eastAsia="CESI宋体-GB2312" w:cs="CESI宋体-GB2312"/>
          <w:color w:val="auto"/>
          <w:sz w:val="24"/>
          <w:szCs w:val="24"/>
          <w:highlight w:val="none"/>
        </w:rPr>
        <w:t>元整（￥</w:t>
      </w:r>
      <w:r>
        <w:rPr>
          <w:rFonts w:hint="eastAsia" w:ascii="CESI宋体-GB2312" w:hAnsi="CESI宋体-GB2312" w:eastAsia="CESI宋体-GB2312" w:cs="CESI宋体-GB2312"/>
          <w:color w:val="auto"/>
          <w:sz w:val="24"/>
          <w:szCs w:val="24"/>
          <w:highlight w:val="none"/>
          <w:lang w:val="en-US" w:eastAsia="zh-CN"/>
        </w:rPr>
        <w:t>XXXXX</w:t>
      </w:r>
      <w:r>
        <w:rPr>
          <w:rFonts w:hint="eastAsia" w:ascii="CESI宋体-GB2312" w:hAnsi="CESI宋体-GB2312" w:eastAsia="CESI宋体-GB2312" w:cs="CESI宋体-GB2312"/>
          <w:color w:val="auto"/>
          <w:sz w:val="24"/>
          <w:szCs w:val="24"/>
          <w:highlight w:val="none"/>
        </w:rPr>
        <w:t>.</w:t>
      </w:r>
      <w:r>
        <w:rPr>
          <w:rFonts w:hint="eastAsia" w:ascii="CESI宋体-GB2312" w:hAnsi="CESI宋体-GB2312" w:eastAsia="CESI宋体-GB2312" w:cs="CESI宋体-GB2312"/>
          <w:color w:val="auto"/>
          <w:sz w:val="24"/>
          <w:szCs w:val="24"/>
          <w:highlight w:val="none"/>
          <w:lang w:val="en-US" w:eastAsia="zh-CN"/>
        </w:rPr>
        <w:t>XX</w:t>
      </w:r>
      <w:r>
        <w:rPr>
          <w:rFonts w:hint="eastAsia" w:ascii="CESI宋体-GB2312" w:hAnsi="CESI宋体-GB2312" w:eastAsia="CESI宋体-GB2312" w:cs="CESI宋体-GB2312"/>
          <w:color w:val="auto"/>
          <w:sz w:val="24"/>
          <w:szCs w:val="24"/>
          <w:highlight w:val="none"/>
        </w:rPr>
        <w:t>）。</w:t>
      </w:r>
    </w:p>
    <w:p w14:paraId="65F0692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2、合同总价包括：税费、培训费、产品费、运杂费及其它相关的费用。</w:t>
      </w:r>
    </w:p>
    <w:p w14:paraId="6DF1706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3、合同</w:t>
      </w:r>
      <w:r>
        <w:rPr>
          <w:rFonts w:hint="eastAsia" w:ascii="CESI宋体-GB2312" w:hAnsi="CESI宋体-GB2312" w:eastAsia="CESI宋体-GB2312" w:cs="CESI宋体-GB2312"/>
          <w:color w:val="auto"/>
          <w:sz w:val="24"/>
          <w:szCs w:val="24"/>
          <w:highlight w:val="none"/>
          <w:lang w:eastAsia="zh-CN"/>
        </w:rPr>
        <w:t>货物</w:t>
      </w:r>
      <w:r>
        <w:rPr>
          <w:rFonts w:hint="eastAsia" w:ascii="CESI宋体-GB2312" w:hAnsi="CESI宋体-GB2312" w:eastAsia="CESI宋体-GB2312" w:cs="CESI宋体-GB2312"/>
          <w:color w:val="auto"/>
          <w:sz w:val="24"/>
          <w:szCs w:val="24"/>
          <w:highlight w:val="none"/>
        </w:rPr>
        <w:t>单价一次包死，</w:t>
      </w:r>
      <w:r>
        <w:rPr>
          <w:rFonts w:hint="eastAsia" w:ascii="CESI宋体-GB2312" w:hAnsi="CESI宋体-GB2312" w:eastAsia="CESI宋体-GB2312" w:cs="CESI宋体-GB2312"/>
          <w:color w:val="auto"/>
          <w:sz w:val="24"/>
          <w:szCs w:val="24"/>
          <w:highlight w:val="none"/>
          <w:lang w:val="en-US" w:eastAsia="zh-CN"/>
        </w:rPr>
        <w:t>不受市场劳务等其它因素的影响而变化。</w:t>
      </w:r>
      <w:r>
        <w:rPr>
          <w:rFonts w:hint="eastAsia" w:ascii="CESI宋体-GB2312" w:hAnsi="CESI宋体-GB2312" w:eastAsia="CESI宋体-GB2312" w:cs="CESI宋体-GB2312"/>
          <w:color w:val="auto"/>
          <w:sz w:val="24"/>
          <w:szCs w:val="24"/>
          <w:highlight w:val="none"/>
          <w:lang w:eastAsia="zh-CN"/>
        </w:rPr>
        <w:t>在不超出总价的情况下，</w:t>
      </w:r>
      <w:r>
        <w:rPr>
          <w:rFonts w:hint="eastAsia" w:ascii="CESI宋体-GB2312" w:hAnsi="CESI宋体-GB2312" w:eastAsia="CESI宋体-GB2312" w:cs="CESI宋体-GB2312"/>
          <w:color w:val="auto"/>
          <w:sz w:val="24"/>
          <w:szCs w:val="24"/>
          <w:highlight w:val="none"/>
          <w:lang w:val="en-US" w:eastAsia="zh-CN"/>
        </w:rPr>
        <w:t>甲方可根据实际需求通知乙方分批供货，</w:t>
      </w:r>
      <w:r>
        <w:rPr>
          <w:rFonts w:hint="eastAsia" w:ascii="CESI宋体-GB2312" w:hAnsi="CESI宋体-GB2312" w:eastAsia="CESI宋体-GB2312" w:cs="CESI宋体-GB2312"/>
          <w:b w:val="0"/>
          <w:bCs w:val="0"/>
          <w:color w:val="auto"/>
          <w:sz w:val="24"/>
          <w:szCs w:val="24"/>
          <w:highlight w:val="none"/>
          <w:lang w:val="en-US" w:eastAsia="zh-CN"/>
        </w:rPr>
        <w:t>合同内每种货物的具体采购数量可根据甲方实际需要适当调整，</w:t>
      </w:r>
      <w:r>
        <w:rPr>
          <w:rFonts w:hint="eastAsia" w:ascii="CESI宋体-GB2312" w:hAnsi="CESI宋体-GB2312" w:eastAsia="CESI宋体-GB2312" w:cs="CESI宋体-GB2312"/>
          <w:color w:val="auto"/>
          <w:sz w:val="24"/>
          <w:szCs w:val="24"/>
          <w:highlight w:val="none"/>
        </w:rPr>
        <w:t>最终付款总价以甲方实际使用数量为准。</w:t>
      </w:r>
    </w:p>
    <w:p w14:paraId="1F2370B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highlight w:val="none"/>
        </w:rPr>
      </w:pPr>
      <w:r>
        <w:rPr>
          <w:rFonts w:hint="eastAsia" w:ascii="CESI宋体-GB2312" w:hAnsi="CESI宋体-GB2312" w:eastAsia="CESI宋体-GB2312" w:cs="CESI宋体-GB2312"/>
          <w:b/>
          <w:color w:val="auto"/>
          <w:sz w:val="24"/>
          <w:szCs w:val="24"/>
          <w:highlight w:val="none"/>
        </w:rPr>
        <w:t>三、</w:t>
      </w:r>
      <w:r>
        <w:rPr>
          <w:rFonts w:hint="eastAsia" w:ascii="CESI宋体-GB2312" w:hAnsi="CESI宋体-GB2312" w:eastAsia="CESI宋体-GB2312" w:cs="CESI宋体-GB2312"/>
          <w:b/>
          <w:color w:val="auto"/>
          <w:sz w:val="24"/>
          <w:szCs w:val="24"/>
          <w:highlight w:val="none"/>
          <w:lang w:eastAsia="zh-CN"/>
        </w:rPr>
        <w:t>支付</w:t>
      </w:r>
      <w:r>
        <w:rPr>
          <w:rFonts w:hint="eastAsia" w:ascii="CESI宋体-GB2312" w:hAnsi="CESI宋体-GB2312" w:eastAsia="CESI宋体-GB2312" w:cs="CESI宋体-GB2312"/>
          <w:b/>
          <w:color w:val="auto"/>
          <w:sz w:val="24"/>
          <w:szCs w:val="24"/>
          <w:highlight w:val="none"/>
        </w:rPr>
        <w:t>结算</w:t>
      </w:r>
    </w:p>
    <w:p w14:paraId="1200012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1、付款方式：银行转账。由</w:t>
      </w:r>
      <w:r>
        <w:rPr>
          <w:rFonts w:hint="eastAsia" w:ascii="CESI宋体-GB2312" w:hAnsi="CESI宋体-GB2312" w:eastAsia="CESI宋体-GB2312" w:cs="CESI宋体-GB2312"/>
          <w:strike w:val="0"/>
          <w:dstrike w:val="0"/>
          <w:color w:val="auto"/>
          <w:sz w:val="24"/>
          <w:szCs w:val="24"/>
          <w:highlight w:val="none"/>
          <w:lang w:val="en-US" w:eastAsia="zh-CN"/>
        </w:rPr>
        <w:t>甲方</w:t>
      </w:r>
      <w:r>
        <w:rPr>
          <w:rFonts w:hint="eastAsia" w:ascii="CESI宋体-GB2312" w:hAnsi="CESI宋体-GB2312" w:eastAsia="CESI宋体-GB2312" w:cs="CESI宋体-GB2312"/>
          <w:color w:val="auto"/>
          <w:sz w:val="24"/>
          <w:szCs w:val="24"/>
          <w:highlight w:val="none"/>
        </w:rPr>
        <w:t>负责结算，</w:t>
      </w:r>
      <w:r>
        <w:rPr>
          <w:rFonts w:hint="eastAsia" w:ascii="CESI宋体-GB2312" w:hAnsi="CESI宋体-GB2312" w:eastAsia="CESI宋体-GB2312" w:cs="CESI宋体-GB2312"/>
          <w:color w:val="auto"/>
          <w:sz w:val="24"/>
          <w:szCs w:val="24"/>
          <w:highlight w:val="none"/>
          <w:lang w:val="en-US" w:eastAsia="zh-CN"/>
        </w:rPr>
        <w:t>乙方</w:t>
      </w:r>
      <w:r>
        <w:rPr>
          <w:rFonts w:hint="eastAsia" w:ascii="CESI宋体-GB2312" w:hAnsi="CESI宋体-GB2312" w:eastAsia="CESI宋体-GB2312" w:cs="CESI宋体-GB2312"/>
          <w:color w:val="auto"/>
          <w:sz w:val="24"/>
          <w:szCs w:val="24"/>
          <w:highlight w:val="none"/>
        </w:rPr>
        <w:t>必须开具全额发票，并附详细清单和验收单。如非</w:t>
      </w:r>
      <w:r>
        <w:rPr>
          <w:rFonts w:hint="eastAsia" w:ascii="CESI宋体-GB2312" w:hAnsi="CESI宋体-GB2312" w:eastAsia="CESI宋体-GB2312" w:cs="CESI宋体-GB2312"/>
          <w:strike w:val="0"/>
          <w:dstrike w:val="0"/>
          <w:color w:val="auto"/>
          <w:sz w:val="24"/>
          <w:szCs w:val="24"/>
          <w:highlight w:val="none"/>
          <w:lang w:val="en-US" w:eastAsia="zh-CN"/>
        </w:rPr>
        <w:t>乙方</w:t>
      </w:r>
      <w:r>
        <w:rPr>
          <w:rFonts w:hint="eastAsia" w:ascii="CESI宋体-GB2312" w:hAnsi="CESI宋体-GB2312" w:eastAsia="CESI宋体-GB2312" w:cs="CESI宋体-GB2312"/>
          <w:color w:val="auto"/>
          <w:sz w:val="24"/>
          <w:szCs w:val="24"/>
          <w:highlight w:val="none"/>
        </w:rPr>
        <w:t>开具发票，甲方有权拒绝支付。</w:t>
      </w:r>
    </w:p>
    <w:p w14:paraId="18121C1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2、结算方式：</w:t>
      </w:r>
      <w:r>
        <w:rPr>
          <w:rFonts w:hint="eastAsia" w:ascii="CESI宋体-GB2312" w:hAnsi="CESI宋体-GB2312" w:eastAsia="CESI宋体-GB2312" w:cs="CESI宋体-GB2312"/>
          <w:color w:val="auto"/>
          <w:sz w:val="24"/>
          <w:szCs w:val="24"/>
          <w:highlight w:val="none"/>
          <w:lang w:val="en-US" w:eastAsia="zh-CN"/>
        </w:rPr>
        <w:t xml:space="preserve"> </w:t>
      </w:r>
      <w:r>
        <w:rPr>
          <w:rFonts w:hint="eastAsia" w:ascii="CESI宋体-GB2312" w:hAnsi="CESI宋体-GB2312" w:eastAsia="CESI宋体-GB2312" w:cs="CESI宋体-GB2312"/>
          <w:color w:val="auto"/>
          <w:sz w:val="24"/>
          <w:szCs w:val="24"/>
          <w:highlight w:val="none"/>
          <w:lang w:val="en-US" w:eastAsia="zh-CN"/>
        </w:rPr>
        <w:t>项目全部完成并交付采购人后，由采购人组织验收，经验收小组验收合格后付总合同价款的100%。</w:t>
      </w:r>
      <w:r>
        <w:rPr>
          <w:rFonts w:hint="eastAsia" w:ascii="CESI宋体-GB2312" w:hAnsi="CESI宋体-GB2312" w:eastAsia="CESI宋体-GB2312" w:cs="CESI宋体-GB2312"/>
          <w:color w:val="auto"/>
          <w:sz w:val="24"/>
          <w:szCs w:val="24"/>
          <w:highlight w:val="none"/>
          <w:lang w:val="en-US" w:eastAsia="zh-CN"/>
        </w:rPr>
        <w:t xml:space="preserve">   </w:t>
      </w:r>
      <w:r>
        <w:rPr>
          <w:rFonts w:hint="eastAsia" w:ascii="CESI宋体-GB2312" w:hAnsi="CESI宋体-GB2312" w:eastAsia="CESI宋体-GB2312" w:cs="CESI宋体-GB2312"/>
          <w:color w:val="auto"/>
          <w:sz w:val="24"/>
          <w:szCs w:val="24"/>
          <w:highlight w:val="none"/>
          <w:lang w:val="en-US" w:eastAsia="zh-CN"/>
        </w:rPr>
        <w:t xml:space="preserve">            </w:t>
      </w:r>
      <w:r>
        <w:rPr>
          <w:rFonts w:hint="eastAsia" w:ascii="CESI宋体-GB2312" w:hAnsi="CESI宋体-GB2312" w:eastAsia="CESI宋体-GB2312" w:cs="CESI宋体-GB2312"/>
          <w:color w:val="auto"/>
          <w:sz w:val="24"/>
          <w:szCs w:val="24"/>
          <w:highlight w:val="none"/>
        </w:rPr>
        <w:t>。</w:t>
      </w:r>
    </w:p>
    <w:p w14:paraId="23FA07E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highlight w:val="none"/>
          <w:lang w:eastAsia="zh-CN"/>
        </w:rPr>
      </w:pPr>
      <w:r>
        <w:rPr>
          <w:rFonts w:hint="eastAsia" w:ascii="CESI宋体-GB2312" w:hAnsi="CESI宋体-GB2312" w:eastAsia="CESI宋体-GB2312" w:cs="CESI宋体-GB2312"/>
          <w:b/>
          <w:color w:val="auto"/>
          <w:sz w:val="24"/>
          <w:szCs w:val="24"/>
          <w:highlight w:val="none"/>
        </w:rPr>
        <w:t>四、交</w:t>
      </w:r>
      <w:r>
        <w:rPr>
          <w:rFonts w:hint="eastAsia" w:ascii="CESI宋体-GB2312" w:hAnsi="CESI宋体-GB2312" w:eastAsia="CESI宋体-GB2312" w:cs="CESI宋体-GB2312"/>
          <w:b/>
          <w:color w:val="auto"/>
          <w:sz w:val="24"/>
          <w:szCs w:val="24"/>
          <w:highlight w:val="none"/>
          <w:lang w:eastAsia="zh-CN"/>
        </w:rPr>
        <w:t>付约定</w:t>
      </w:r>
    </w:p>
    <w:p w14:paraId="1EF3CBC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CESI宋体-GB2312" w:hAnsi="CESI宋体-GB2312" w:eastAsia="CESI宋体-GB2312" w:cs="CESI宋体-GB2312"/>
          <w:color w:val="auto"/>
          <w:sz w:val="24"/>
          <w:szCs w:val="24"/>
          <w:highlight w:val="none"/>
          <w:lang w:val="en-US" w:eastAsia="zh-CN"/>
        </w:rPr>
      </w:pPr>
      <w:r>
        <w:rPr>
          <w:rFonts w:hint="eastAsia" w:ascii="CESI宋体-GB2312" w:hAnsi="CESI宋体-GB2312" w:eastAsia="CESI宋体-GB2312" w:cs="CESI宋体-GB2312"/>
          <w:color w:val="auto"/>
          <w:sz w:val="24"/>
          <w:szCs w:val="24"/>
          <w:highlight w:val="none"/>
        </w:rPr>
        <w:t>1、交</w:t>
      </w:r>
      <w:r>
        <w:rPr>
          <w:rFonts w:hint="eastAsia" w:ascii="CESI宋体-GB2312" w:hAnsi="CESI宋体-GB2312" w:eastAsia="CESI宋体-GB2312" w:cs="CESI宋体-GB2312"/>
          <w:color w:val="auto"/>
          <w:sz w:val="24"/>
          <w:szCs w:val="24"/>
          <w:highlight w:val="none"/>
          <w:lang w:eastAsia="zh-CN"/>
        </w:rPr>
        <w:t>付时间</w:t>
      </w:r>
      <w:r>
        <w:rPr>
          <w:rFonts w:hint="eastAsia" w:ascii="CESI宋体-GB2312" w:hAnsi="CESI宋体-GB2312" w:eastAsia="CESI宋体-GB2312" w:cs="CESI宋体-GB2312"/>
          <w:color w:val="auto"/>
          <w:sz w:val="24"/>
          <w:szCs w:val="24"/>
          <w:highlight w:val="none"/>
        </w:rPr>
        <w:t>：</w:t>
      </w:r>
      <w:r>
        <w:rPr>
          <w:rFonts w:hint="eastAsia" w:ascii="CESI宋体-GB2312" w:hAnsi="CESI宋体-GB2312" w:eastAsia="CESI宋体-GB2312" w:cs="CESI宋体-GB2312"/>
          <w:color w:val="auto"/>
          <w:sz w:val="24"/>
          <w:szCs w:val="24"/>
          <w:highlight w:val="none"/>
          <w:lang w:val="en-US" w:eastAsia="zh-CN"/>
        </w:rPr>
        <w:t>自合同签订之日起30日历天</w:t>
      </w:r>
    </w:p>
    <w:p w14:paraId="6E4B3BC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2、交</w:t>
      </w:r>
      <w:r>
        <w:rPr>
          <w:rFonts w:hint="eastAsia" w:ascii="CESI宋体-GB2312" w:hAnsi="CESI宋体-GB2312" w:eastAsia="CESI宋体-GB2312" w:cs="CESI宋体-GB2312"/>
          <w:color w:val="auto"/>
          <w:sz w:val="24"/>
          <w:szCs w:val="24"/>
          <w:highlight w:val="none"/>
          <w:lang w:eastAsia="zh-CN"/>
        </w:rPr>
        <w:t>付</w:t>
      </w:r>
      <w:r>
        <w:rPr>
          <w:rFonts w:hint="eastAsia" w:ascii="CESI宋体-GB2312" w:hAnsi="CESI宋体-GB2312" w:eastAsia="CESI宋体-GB2312" w:cs="CESI宋体-GB2312"/>
          <w:color w:val="auto"/>
          <w:sz w:val="24"/>
          <w:szCs w:val="24"/>
          <w:highlight w:val="none"/>
        </w:rPr>
        <w:t>地点：</w:t>
      </w:r>
      <w:r>
        <w:rPr>
          <w:rFonts w:hint="eastAsia" w:ascii="CESI宋体-GB2312" w:hAnsi="CESI宋体-GB2312" w:eastAsia="CESI宋体-GB2312" w:cs="CESI宋体-GB2312"/>
          <w:color w:val="auto"/>
          <w:sz w:val="24"/>
          <w:szCs w:val="24"/>
          <w:highlight w:val="none"/>
          <w:lang w:eastAsia="zh-CN"/>
        </w:rPr>
        <w:t>甲方</w:t>
      </w:r>
      <w:r>
        <w:rPr>
          <w:rFonts w:hint="eastAsia" w:ascii="CESI宋体-GB2312" w:hAnsi="CESI宋体-GB2312" w:eastAsia="CESI宋体-GB2312" w:cs="CESI宋体-GB2312"/>
          <w:color w:val="auto"/>
          <w:sz w:val="24"/>
          <w:szCs w:val="24"/>
          <w:highlight w:val="none"/>
        </w:rPr>
        <w:t>指定地点。</w:t>
      </w:r>
    </w:p>
    <w:p w14:paraId="50404C98">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color w:val="auto"/>
          <w:sz w:val="24"/>
          <w:szCs w:val="24"/>
          <w:highlight w:val="none"/>
          <w:lang w:eastAsia="zh-CN"/>
        </w:rPr>
      </w:pPr>
      <w:r>
        <w:rPr>
          <w:rFonts w:hint="eastAsia" w:ascii="CESI宋体-GB2312" w:hAnsi="CESI宋体-GB2312" w:eastAsia="CESI宋体-GB2312" w:cs="CESI宋体-GB2312"/>
          <w:b/>
          <w:color w:val="auto"/>
          <w:sz w:val="24"/>
          <w:szCs w:val="24"/>
          <w:highlight w:val="none"/>
        </w:rPr>
        <w:t>五、货物验收</w:t>
      </w:r>
    </w:p>
    <w:p w14:paraId="727052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lang w:val="en-US" w:eastAsia="zh-CN"/>
        </w:rPr>
      </w:pPr>
      <w:r>
        <w:rPr>
          <w:rFonts w:hint="eastAsia" w:ascii="CESI宋体-GB2312" w:hAnsi="CESI宋体-GB2312" w:eastAsia="CESI宋体-GB2312" w:cs="CESI宋体-GB2312"/>
          <w:color w:val="auto"/>
          <w:sz w:val="24"/>
          <w:szCs w:val="24"/>
          <w:highlight w:val="none"/>
          <w:lang w:val="en-US" w:eastAsia="zh-CN"/>
        </w:rPr>
        <w:t>1、初步验收：按照验收依据对产品的规格、数量、包装等进行确认，对关键产品的技术指标、性能参数等进行抽检或逐项检查。若使用中发现缺陷，将视为产品验收不合格，供应商应无条件免费更换或退货。货物运送至交付地点时，乙方向甲方提供产品供货清单（注明品名、数量、生产厂家）以及产品使用过程中的所有资料，便于甲方收货和验收。初步验收合格的，甲方在产品供货清单中签字确认。</w:t>
      </w:r>
    </w:p>
    <w:p w14:paraId="3FEF736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lang w:val="en-US" w:eastAsia="zh-CN"/>
        </w:rPr>
      </w:pPr>
      <w:r>
        <w:rPr>
          <w:rFonts w:hint="eastAsia" w:ascii="CESI宋体-GB2312" w:hAnsi="CESI宋体-GB2312" w:eastAsia="CESI宋体-GB2312" w:cs="CESI宋体-GB2312"/>
          <w:color w:val="auto"/>
          <w:sz w:val="24"/>
          <w:szCs w:val="24"/>
          <w:highlight w:val="none"/>
          <w:lang w:val="en-US" w:eastAsia="zh-CN"/>
        </w:rPr>
        <w:t>2、最终验收：甲方和乙方共同对项目整体进行验收，在全部货物配送完毕后15个日历日内完成。验收合格，乙方填写验收单，交付甲方签字生效。</w:t>
      </w:r>
    </w:p>
    <w:p w14:paraId="11B6EC2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lang w:val="en-US" w:eastAsia="zh-CN"/>
        </w:rPr>
      </w:pPr>
      <w:r>
        <w:rPr>
          <w:rFonts w:hint="eastAsia" w:ascii="CESI宋体-GB2312" w:hAnsi="CESI宋体-GB2312" w:eastAsia="CESI宋体-GB2312" w:cs="CESI宋体-GB2312"/>
          <w:color w:val="auto"/>
          <w:sz w:val="24"/>
          <w:szCs w:val="24"/>
          <w:highlight w:val="none"/>
          <w:lang w:val="en-US" w:eastAsia="zh-CN"/>
        </w:rPr>
        <w:t>3、验收依据：（1）采购文件、投标文件、澄清函；（2）国家及行业现行的标准和技术规范。</w:t>
      </w:r>
    </w:p>
    <w:p w14:paraId="42589FF6">
      <w:pPr>
        <w:tabs>
          <w:tab w:val="left" w:pos="480"/>
        </w:tabs>
        <w:spacing w:line="360" w:lineRule="auto"/>
        <w:ind w:firstLine="470" w:firstLineChars="196"/>
        <w:rPr>
          <w:rFonts w:hint="eastAsia" w:ascii="CESI宋体-GB2312" w:hAnsi="CESI宋体-GB2312" w:eastAsia="CESI宋体-GB2312" w:cs="CESI宋体-GB2312"/>
          <w:color w:val="auto"/>
          <w:sz w:val="24"/>
          <w:szCs w:val="24"/>
          <w:highlight w:val="none"/>
          <w:lang w:val="en-US" w:eastAsia="zh-CN"/>
        </w:rPr>
      </w:pPr>
      <w:r>
        <w:rPr>
          <w:rFonts w:hint="eastAsia" w:ascii="CESI宋体-GB2312" w:hAnsi="CESI宋体-GB2312" w:eastAsia="CESI宋体-GB2312" w:cs="CESI宋体-GB2312"/>
          <w:color w:val="auto"/>
          <w:sz w:val="24"/>
          <w:szCs w:val="24"/>
          <w:highlight w:val="none"/>
          <w:lang w:val="en-US" w:eastAsia="zh-CN"/>
        </w:rPr>
        <w:t>4、</w:t>
      </w:r>
      <w:r>
        <w:rPr>
          <w:rFonts w:hint="eastAsia" w:ascii="CESI宋体-GB2312" w:hAnsi="CESI宋体-GB2312" w:eastAsia="CESI宋体-GB2312" w:cs="CESI宋体-GB2312"/>
          <w:color w:val="auto"/>
          <w:sz w:val="24"/>
          <w:szCs w:val="24"/>
          <w:highlight w:val="none"/>
          <w:lang w:eastAsia="zh-CN"/>
        </w:rPr>
        <w:t>甲方在验收中发现货物质量不符合合同要求和验收标准或有异议时，应及时通知乙方，乙方应在接到通知后三天内给予答复，并负责处理，若需送法定质检部门检验，检验费用由乙方承担。如发现货物质量严重不符合质量要求的，</w:t>
      </w:r>
      <w:r>
        <w:rPr>
          <w:rFonts w:hint="eastAsia" w:ascii="CESI宋体-GB2312" w:hAnsi="CESI宋体-GB2312" w:eastAsia="CESI宋体-GB2312" w:cs="CESI宋体-GB2312"/>
          <w:color w:val="auto"/>
          <w:sz w:val="24"/>
          <w:szCs w:val="24"/>
          <w:highlight w:val="none"/>
          <w:lang w:val="en-US" w:eastAsia="zh-CN"/>
        </w:rPr>
        <w:t>甲</w:t>
      </w:r>
      <w:r>
        <w:rPr>
          <w:rFonts w:hint="eastAsia" w:ascii="CESI宋体-GB2312" w:hAnsi="CESI宋体-GB2312" w:eastAsia="CESI宋体-GB2312" w:cs="CESI宋体-GB2312"/>
          <w:color w:val="auto"/>
          <w:sz w:val="24"/>
          <w:szCs w:val="24"/>
          <w:highlight w:val="none"/>
          <w:lang w:eastAsia="zh-CN"/>
        </w:rPr>
        <w:t>方可通知乙方停止供货，解除合同。</w:t>
      </w:r>
    </w:p>
    <w:p w14:paraId="0794B7E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b w:val="0"/>
          <w:bCs w:val="0"/>
          <w:color w:val="auto"/>
          <w:sz w:val="24"/>
          <w:szCs w:val="24"/>
          <w:highlight w:val="none"/>
          <w:lang w:val="en-US" w:eastAsia="zh-CN"/>
        </w:rPr>
      </w:pPr>
      <w:r>
        <w:rPr>
          <w:rFonts w:hint="eastAsia" w:ascii="CESI宋体-GB2312" w:hAnsi="CESI宋体-GB2312" w:eastAsia="CESI宋体-GB2312" w:cs="CESI宋体-GB2312"/>
          <w:color w:val="auto"/>
          <w:sz w:val="24"/>
          <w:szCs w:val="24"/>
          <w:highlight w:val="none"/>
          <w:lang w:val="en-US" w:eastAsia="zh-CN"/>
        </w:rPr>
        <w:t>5、若发现供应商有弄虚作假的，在招标阶段故意或随意夸大产品技术性能，乙方应无条件退货，并赔偿甲方相应的损失。</w:t>
      </w:r>
    </w:p>
    <w:p w14:paraId="08B565BA">
      <w:pPr>
        <w:pStyle w:val="2"/>
        <w:rPr>
          <w:rFonts w:hint="eastAsia"/>
          <w:color w:val="auto"/>
          <w:highlight w:val="none"/>
          <w:lang w:val="en-US" w:eastAsia="zh-CN"/>
        </w:rPr>
      </w:pPr>
      <w:r>
        <w:rPr>
          <w:rFonts w:hint="eastAsia" w:ascii="CESI宋体-GB2312" w:hAnsi="CESI宋体-GB2312" w:eastAsia="CESI宋体-GB2312" w:cs="CESI宋体-GB2312"/>
          <w:b w:val="0"/>
          <w:bCs w:val="0"/>
          <w:color w:val="auto"/>
          <w:sz w:val="24"/>
          <w:szCs w:val="24"/>
          <w:highlight w:val="none"/>
          <w:lang w:val="en-US" w:eastAsia="zh-CN"/>
        </w:rPr>
        <w:t xml:space="preserve">    6、乙方向甲方提交的供货清单、验收单需加盖乙方鲜章，若无则甲方有权拒绝签字确认。</w:t>
      </w:r>
    </w:p>
    <w:p w14:paraId="36885E64">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highlight w:val="none"/>
        </w:rPr>
      </w:pPr>
      <w:r>
        <w:rPr>
          <w:rFonts w:hint="eastAsia" w:ascii="CESI宋体-GB2312" w:hAnsi="CESI宋体-GB2312" w:eastAsia="CESI宋体-GB2312" w:cs="CESI宋体-GB2312"/>
          <w:b/>
          <w:color w:val="auto"/>
          <w:sz w:val="24"/>
          <w:szCs w:val="24"/>
          <w:highlight w:val="none"/>
        </w:rPr>
        <w:t>六、质量保证</w:t>
      </w:r>
    </w:p>
    <w:p w14:paraId="620EC0E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1、乙方提供产品必须是原品牌制造厂制造的最新工艺生产的最新产品。</w:t>
      </w:r>
    </w:p>
    <w:p w14:paraId="0C6130F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2、所供产品必须是经过办理正常手续的全新产品。</w:t>
      </w:r>
    </w:p>
    <w:p w14:paraId="3CA74CD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3、所供产品是经过国家法定检验、注册、准许市场销售的合法、合格产品。</w:t>
      </w:r>
    </w:p>
    <w:p w14:paraId="14A6EE7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4、产品性能稳定、具有较好的使用效果，质量保证措施完善，符合国家相关标准。</w:t>
      </w:r>
    </w:p>
    <w:p w14:paraId="57FCEBE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5、使用中因乙方产品质量所引发的各种赔偿责任由厂家或供货商负责协调解决。</w:t>
      </w:r>
    </w:p>
    <w:p w14:paraId="644AC6F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6、对于存在质量问题或者短少的产品，</w:t>
      </w:r>
      <w:r>
        <w:rPr>
          <w:rFonts w:hint="eastAsia" w:ascii="CESI宋体-GB2312" w:hAnsi="CESI宋体-GB2312" w:eastAsia="CESI宋体-GB2312" w:cs="CESI宋体-GB2312"/>
          <w:strike w:val="0"/>
          <w:dstrike w:val="0"/>
          <w:color w:val="auto"/>
          <w:sz w:val="24"/>
          <w:szCs w:val="24"/>
          <w:highlight w:val="none"/>
          <w:lang w:val="en-US" w:eastAsia="zh-CN"/>
        </w:rPr>
        <w:t>乙方</w:t>
      </w:r>
      <w:r>
        <w:rPr>
          <w:rFonts w:hint="eastAsia" w:ascii="CESI宋体-GB2312" w:hAnsi="CESI宋体-GB2312" w:eastAsia="CESI宋体-GB2312" w:cs="CESI宋体-GB2312"/>
          <w:color w:val="auto"/>
          <w:sz w:val="24"/>
          <w:szCs w:val="24"/>
          <w:highlight w:val="none"/>
        </w:rPr>
        <w:t>应在接到</w:t>
      </w:r>
      <w:r>
        <w:rPr>
          <w:rFonts w:hint="eastAsia" w:ascii="CESI宋体-GB2312" w:hAnsi="CESI宋体-GB2312" w:eastAsia="CESI宋体-GB2312" w:cs="CESI宋体-GB2312"/>
          <w:strike w:val="0"/>
          <w:dstrike w:val="0"/>
          <w:color w:val="auto"/>
          <w:sz w:val="24"/>
          <w:szCs w:val="24"/>
          <w:highlight w:val="none"/>
          <w:lang w:val="en-US" w:eastAsia="zh-CN"/>
        </w:rPr>
        <w:t>甲方</w:t>
      </w:r>
      <w:r>
        <w:rPr>
          <w:rFonts w:hint="eastAsia" w:ascii="CESI宋体-GB2312" w:hAnsi="CESI宋体-GB2312" w:eastAsia="CESI宋体-GB2312" w:cs="CESI宋体-GB2312"/>
          <w:color w:val="auto"/>
          <w:sz w:val="24"/>
          <w:szCs w:val="24"/>
          <w:highlight w:val="none"/>
        </w:rPr>
        <w:t>的通知2个日历日内负责调换或补齐。</w:t>
      </w:r>
    </w:p>
    <w:p w14:paraId="4AAC2EE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7、包装要求</w:t>
      </w:r>
    </w:p>
    <w:p w14:paraId="5FC38B7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7-1、除合同另有规定外，乙方提供的全部产品，均应按标准保护措施进行包装，并确保产品安全无损运抵甲方指定地点。</w:t>
      </w:r>
    </w:p>
    <w:p w14:paraId="206A68D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7-2、每一个包装箱内应附一份详细装箱单和质量合格证。</w:t>
      </w:r>
    </w:p>
    <w:p w14:paraId="730A960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highlight w:val="none"/>
        </w:rPr>
      </w:pPr>
      <w:r>
        <w:rPr>
          <w:rFonts w:hint="eastAsia" w:ascii="CESI宋体-GB2312" w:hAnsi="CESI宋体-GB2312" w:eastAsia="CESI宋体-GB2312" w:cs="CESI宋体-GB2312"/>
          <w:b/>
          <w:color w:val="auto"/>
          <w:sz w:val="24"/>
          <w:szCs w:val="24"/>
          <w:highlight w:val="none"/>
        </w:rPr>
        <w:t>七、货物运输</w:t>
      </w:r>
    </w:p>
    <w:p w14:paraId="4DB5974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1、乙方负责所有货物的运输。确保货物安全、完整到达使用地点，运杂费用包含在总价内，包括货物从供货地点到</w:t>
      </w:r>
      <w:r>
        <w:rPr>
          <w:rFonts w:hint="eastAsia" w:ascii="CESI宋体-GB2312" w:hAnsi="CESI宋体-GB2312" w:eastAsia="CESI宋体-GB2312" w:cs="CESI宋体-GB2312"/>
          <w:strike w:val="0"/>
          <w:dstrike w:val="0"/>
          <w:color w:val="auto"/>
          <w:sz w:val="24"/>
          <w:szCs w:val="24"/>
          <w:highlight w:val="none"/>
          <w:lang w:val="en-US" w:eastAsia="zh-CN"/>
        </w:rPr>
        <w:t>甲方</w:t>
      </w:r>
      <w:r>
        <w:rPr>
          <w:rFonts w:hint="eastAsia" w:ascii="CESI宋体-GB2312" w:hAnsi="CESI宋体-GB2312" w:eastAsia="CESI宋体-GB2312" w:cs="CESI宋体-GB2312"/>
          <w:color w:val="auto"/>
          <w:sz w:val="24"/>
          <w:szCs w:val="24"/>
          <w:highlight w:val="none"/>
        </w:rPr>
        <w:t>指定地点的运输费、保险费、搬运费等相关费用。</w:t>
      </w:r>
    </w:p>
    <w:p w14:paraId="0FD3704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2、所供货物在运输、搬运、安装的过程中，造成甲方财产损失和人员受伤的，由乙方为甲方修复、更新和治疗,所产生费用由乙方承担。</w:t>
      </w:r>
    </w:p>
    <w:p w14:paraId="3E09ED7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highlight w:val="none"/>
        </w:rPr>
      </w:pPr>
      <w:r>
        <w:rPr>
          <w:rFonts w:hint="eastAsia" w:ascii="CESI宋体-GB2312" w:hAnsi="CESI宋体-GB2312" w:eastAsia="CESI宋体-GB2312" w:cs="CESI宋体-GB2312"/>
          <w:b/>
          <w:color w:val="auto"/>
          <w:sz w:val="24"/>
          <w:szCs w:val="24"/>
          <w:highlight w:val="none"/>
        </w:rPr>
        <w:t>八、权利和义务</w:t>
      </w:r>
    </w:p>
    <w:p w14:paraId="53A00BF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（一）甲方权利和义务</w:t>
      </w:r>
    </w:p>
    <w:p w14:paraId="5F40E0F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1、甲方有权要求乙方按约定的时间交付货物。甲方可提前2个日历日变更收货的具体时间。若需变更收货时间，甲方可采用电话、微信、电子邮件等方式通知乙方。</w:t>
      </w:r>
    </w:p>
    <w:p w14:paraId="203B502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2、甲方有权知晓乙方选用的运输方式、乙方拟定的发货时间及甲方预计的收货时间，以方便甲方安排人员收货和验收。</w:t>
      </w:r>
    </w:p>
    <w:p w14:paraId="34F5731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3、甲方有权按照实际需求确定乙方供货数量，结算价格根据实际供货数量确定。</w:t>
      </w:r>
    </w:p>
    <w:p w14:paraId="4F2680D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4、甲方有权知晓乙方单位出现的可能影响合同正常履行的情形，若此种情形造成乙方履约能力受到影响，甲方可中止合同，待此种不利影响消除。如乙方涉及违约诉讼、企业经营不善等。</w:t>
      </w:r>
    </w:p>
    <w:p w14:paraId="7C99CD9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5、乙方办理结算手续需按照甲方要求提供增值税发票及收货单、验收单等资料。</w:t>
      </w:r>
    </w:p>
    <w:p w14:paraId="3AF0683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6、合同履行期间，应遵守合同约定，未约定的部分不得违背甲方和乙方的交易习惯，有必要的应签订补充协议。</w:t>
      </w:r>
    </w:p>
    <w:p w14:paraId="3276334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（二）乙方权利和义务</w:t>
      </w:r>
    </w:p>
    <w:p w14:paraId="11FE57F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1、乙方应全力支持甲方组织无偿献血活动，并积极配合参与无偿献血事业的宣传、献血和志愿者活动。</w:t>
      </w:r>
    </w:p>
    <w:p w14:paraId="19A333B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2、乙方应保证甲方在使用该产品或其任何一部分时免受第三方提出侵犯其专利权、商标权或工业设计权的起诉。</w:t>
      </w:r>
    </w:p>
    <w:p w14:paraId="530654D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3、产品质量不符合合同规定时，乙方负责包退包换。由于上述原因导致延误交货时间的，每延误一日，乙方应按逾期交货部分产品价款总值的日万分之五向甲方偿付违约金。</w:t>
      </w:r>
    </w:p>
    <w:p w14:paraId="0114250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4</w:t>
      </w:r>
      <w:r>
        <w:rPr>
          <w:rFonts w:hint="eastAsia" w:ascii="CESI宋体-GB2312" w:hAnsi="CESI宋体-GB2312" w:eastAsia="CESI宋体-GB2312" w:cs="CESI宋体-GB2312"/>
          <w:color w:val="auto"/>
          <w:sz w:val="24"/>
          <w:szCs w:val="24"/>
          <w:highlight w:val="none"/>
          <w:lang w:eastAsia="zh-CN"/>
        </w:rPr>
        <w:t>、</w:t>
      </w:r>
      <w:r>
        <w:rPr>
          <w:rFonts w:hint="eastAsia" w:ascii="CESI宋体-GB2312" w:hAnsi="CESI宋体-GB2312" w:eastAsia="CESI宋体-GB2312" w:cs="CESI宋体-GB2312"/>
          <w:color w:val="auto"/>
          <w:sz w:val="24"/>
          <w:szCs w:val="24"/>
          <w:highlight w:val="none"/>
        </w:rPr>
        <w:t>除不可抗力因素外，如果乙方不能按照合同规定的时间交货，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5B1879D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5、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赔偿金。每延误一日的违约金按迟交货物交货价或未提供服务的服务费用的日万分之五计收，直至交货或提供服务为止。误期赔偿费的最高限额为合同价格的10%。一旦达到误期赔偿费的最高限额或发生误期供货≧3次或合同规定的交货日期后10天内仍未能交货，甲方可终止合同。乙方除退还已收取的货款外，还应向采购人偿付政府采购合同总金额5%的违约金。</w:t>
      </w:r>
    </w:p>
    <w:p w14:paraId="53D4A62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b w:val="0"/>
          <w:bCs w:val="0"/>
          <w:color w:val="auto"/>
          <w:sz w:val="24"/>
          <w:szCs w:val="24"/>
          <w:highlight w:val="none"/>
        </w:rPr>
      </w:pPr>
      <w:r>
        <w:rPr>
          <w:rFonts w:hint="eastAsia" w:ascii="CESI宋体-GB2312" w:hAnsi="CESI宋体-GB2312" w:eastAsia="CESI宋体-GB2312" w:cs="CESI宋体-GB2312"/>
          <w:color w:val="auto"/>
          <w:sz w:val="24"/>
          <w:szCs w:val="24"/>
          <w:highlight w:val="none"/>
        </w:rPr>
        <w:t>6、如乙方未能按照招标参数要求提供甲方所需货物，且七个日历日内无法整改，甲方可终止合同。</w:t>
      </w:r>
    </w:p>
    <w:p w14:paraId="78F998CC">
      <w:pPr>
        <w:pStyle w:val="2"/>
        <w:spacing w:line="360" w:lineRule="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b w:val="0"/>
          <w:bCs w:val="0"/>
          <w:color w:val="auto"/>
          <w:sz w:val="24"/>
          <w:szCs w:val="24"/>
          <w:highlight w:val="none"/>
          <w:lang w:eastAsia="zh-CN"/>
        </w:rPr>
        <w:t xml:space="preserve">    </w:t>
      </w:r>
      <w:r>
        <w:rPr>
          <w:rFonts w:hint="eastAsia" w:ascii="CESI宋体-GB2312" w:hAnsi="CESI宋体-GB2312" w:eastAsia="CESI宋体-GB2312" w:cs="CESI宋体-GB2312"/>
          <w:b w:val="0"/>
          <w:bCs w:val="0"/>
          <w:color w:val="auto"/>
          <w:sz w:val="24"/>
          <w:szCs w:val="24"/>
          <w:highlight w:val="none"/>
        </w:rPr>
        <w:t>7、如遇不可抗拒因素，甲方可终止合同。</w:t>
      </w:r>
    </w:p>
    <w:p w14:paraId="2A5A8824">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highlight w:val="none"/>
        </w:rPr>
      </w:pPr>
      <w:r>
        <w:rPr>
          <w:rFonts w:hint="eastAsia" w:ascii="CESI宋体-GB2312" w:hAnsi="CESI宋体-GB2312" w:eastAsia="CESI宋体-GB2312" w:cs="CESI宋体-GB2312"/>
          <w:b/>
          <w:color w:val="auto"/>
          <w:sz w:val="24"/>
          <w:szCs w:val="24"/>
          <w:highlight w:val="none"/>
        </w:rPr>
        <w:t>九、技术及售后服务</w:t>
      </w:r>
    </w:p>
    <w:p w14:paraId="3508789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1、技术服务承诺：乙方免费提供必要的技术支持，包括现场指导、集中授课、专项操作等。</w:t>
      </w:r>
    </w:p>
    <w:p w14:paraId="7121A4C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2、售后服务承诺：甲方发现有质量或可能影响质量问题时，乙方接到通知后4小时内到达现场解决问题。</w:t>
      </w:r>
    </w:p>
    <w:p w14:paraId="0C0F39C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highlight w:val="none"/>
        </w:rPr>
      </w:pPr>
      <w:r>
        <w:rPr>
          <w:rFonts w:hint="eastAsia" w:ascii="CESI宋体-GB2312" w:hAnsi="CESI宋体-GB2312" w:eastAsia="CESI宋体-GB2312" w:cs="CESI宋体-GB2312"/>
          <w:b/>
          <w:color w:val="auto"/>
          <w:sz w:val="24"/>
          <w:szCs w:val="24"/>
          <w:highlight w:val="none"/>
        </w:rPr>
        <w:t>十、违约责任</w:t>
      </w:r>
    </w:p>
    <w:p w14:paraId="63C6A43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1、按《中华人民共和国民法典》中的条款执行。</w:t>
      </w:r>
    </w:p>
    <w:p w14:paraId="5E381DB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2、如乙方事先未征得甲方同意并得到甲方的谅解而单方面延迟交货，将按违约终止合同。</w:t>
      </w:r>
    </w:p>
    <w:p w14:paraId="3F6E179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3、违约终止合同：卖方所交付货物及伴随的服务不符合其投标承诺，存在偷工减料、以次充好情形的，采购人要求更换一次后仍不符合约定的，采购人有权解除政府采购合同，并将有关情况上报政府采购监管部门处理。</w:t>
      </w:r>
    </w:p>
    <w:p w14:paraId="5216740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highlight w:val="none"/>
        </w:rPr>
      </w:pPr>
      <w:r>
        <w:rPr>
          <w:rFonts w:hint="eastAsia" w:ascii="CESI宋体-GB2312" w:hAnsi="CESI宋体-GB2312" w:eastAsia="CESI宋体-GB2312" w:cs="CESI宋体-GB2312"/>
          <w:b/>
          <w:color w:val="auto"/>
          <w:sz w:val="24"/>
          <w:szCs w:val="24"/>
          <w:highlight w:val="none"/>
        </w:rPr>
        <w:t>十一、争议的解决</w:t>
      </w:r>
    </w:p>
    <w:p w14:paraId="7590AAF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b w:val="0"/>
          <w:bCs w:val="0"/>
          <w:color w:val="auto"/>
          <w:sz w:val="24"/>
          <w:szCs w:val="24"/>
          <w:highlight w:val="none"/>
        </w:rPr>
      </w:pPr>
      <w:r>
        <w:rPr>
          <w:rFonts w:hint="eastAsia" w:ascii="CESI宋体-GB2312" w:hAnsi="CESI宋体-GB2312" w:eastAsia="CESI宋体-GB2312" w:cs="CESI宋体-GB2312"/>
          <w:b w:val="0"/>
          <w:bCs w:val="0"/>
          <w:color w:val="auto"/>
          <w:sz w:val="24"/>
          <w:szCs w:val="24"/>
          <w:highlight w:val="none"/>
        </w:rPr>
        <w:t>1、甲乙双方所有争议应先采取友好协商的解决方式。</w:t>
      </w:r>
    </w:p>
    <w:p w14:paraId="602B080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b w:val="0"/>
          <w:bCs w:val="0"/>
          <w:color w:val="auto"/>
          <w:sz w:val="24"/>
          <w:szCs w:val="24"/>
          <w:highlight w:val="none"/>
        </w:rPr>
      </w:pPr>
      <w:r>
        <w:rPr>
          <w:rFonts w:hint="eastAsia" w:ascii="CESI宋体-GB2312" w:hAnsi="CESI宋体-GB2312" w:eastAsia="CESI宋体-GB2312" w:cs="CESI宋体-GB2312"/>
          <w:b w:val="0"/>
          <w:bCs w:val="0"/>
          <w:color w:val="auto"/>
          <w:sz w:val="24"/>
          <w:szCs w:val="24"/>
          <w:highlight w:val="none"/>
        </w:rPr>
        <w:t>2、协商未达成一致意见的，</w:t>
      </w:r>
      <w:r>
        <w:rPr>
          <w:rFonts w:hint="eastAsia" w:ascii="CESI宋体-GB2312" w:hAnsi="CESI宋体-GB2312" w:eastAsia="CESI宋体-GB2312" w:cs="CESI宋体-GB2312"/>
          <w:b w:val="0"/>
          <w:bCs w:val="0"/>
          <w:color w:val="auto"/>
          <w:sz w:val="24"/>
          <w:szCs w:val="24"/>
          <w:highlight w:val="none"/>
          <w:lang w:val="en-US" w:eastAsia="zh-CN"/>
        </w:rPr>
        <w:t>任何一方可以向甲方所在地西安市雁塔区人民法院提起诉讼</w:t>
      </w:r>
      <w:r>
        <w:rPr>
          <w:rFonts w:hint="eastAsia" w:ascii="CESI宋体-GB2312" w:hAnsi="CESI宋体-GB2312" w:eastAsia="CESI宋体-GB2312" w:cs="CESI宋体-GB2312"/>
          <w:b w:val="0"/>
          <w:bCs w:val="0"/>
          <w:color w:val="auto"/>
          <w:sz w:val="24"/>
          <w:szCs w:val="24"/>
          <w:highlight w:val="none"/>
        </w:rPr>
        <w:t>。</w:t>
      </w:r>
    </w:p>
    <w:p w14:paraId="11ED9EAD">
      <w:pPr>
        <w:pStyle w:val="2"/>
        <w:spacing w:line="360" w:lineRule="auto"/>
        <w:rPr>
          <w:rFonts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b w:val="0"/>
          <w:bCs w:val="0"/>
          <w:color w:val="auto"/>
          <w:sz w:val="24"/>
          <w:szCs w:val="24"/>
          <w:highlight w:val="none"/>
          <w:lang w:eastAsia="zh-CN"/>
        </w:rPr>
        <w:t xml:space="preserve">    </w:t>
      </w:r>
      <w:r>
        <w:rPr>
          <w:rFonts w:hint="eastAsia" w:ascii="CESI宋体-GB2312" w:hAnsi="CESI宋体-GB2312" w:eastAsia="CESI宋体-GB2312" w:cs="CESI宋体-GB2312"/>
          <w:b w:val="0"/>
          <w:bCs w:val="0"/>
          <w:color w:val="auto"/>
          <w:sz w:val="24"/>
          <w:szCs w:val="24"/>
          <w:highlight w:val="none"/>
        </w:rPr>
        <w:t>3、一方违约导致另一方采取法律途径维护合法权益的，违约方应承担守约方为维护权利而支出的</w:t>
      </w:r>
      <w:r>
        <w:rPr>
          <w:rFonts w:hint="eastAsia" w:ascii="CESI宋体-GB2312" w:hAnsi="CESI宋体-GB2312" w:eastAsia="CESI宋体-GB2312" w:cs="CESI宋体-GB2312"/>
          <w:b w:val="0"/>
          <w:bCs w:val="0"/>
          <w:color w:val="auto"/>
          <w:sz w:val="24"/>
          <w:szCs w:val="24"/>
          <w:highlight w:val="none"/>
          <w:lang w:val="en-US" w:eastAsia="zh-CN"/>
        </w:rPr>
        <w:t>案件受理费</w:t>
      </w:r>
      <w:r>
        <w:rPr>
          <w:rFonts w:hint="eastAsia" w:ascii="CESI宋体-GB2312" w:hAnsi="CESI宋体-GB2312" w:eastAsia="CESI宋体-GB2312" w:cs="CESI宋体-GB2312"/>
          <w:b w:val="0"/>
          <w:bCs w:val="0"/>
          <w:color w:val="auto"/>
          <w:sz w:val="24"/>
          <w:szCs w:val="24"/>
          <w:highlight w:val="none"/>
        </w:rPr>
        <w:t>、保全费、保全保险费、律师费、交通费等全部</w:t>
      </w:r>
      <w:r>
        <w:rPr>
          <w:rFonts w:hint="eastAsia" w:ascii="CESI宋体-GB2312" w:hAnsi="CESI宋体-GB2312" w:eastAsia="CESI宋体-GB2312" w:cs="CESI宋体-GB2312"/>
          <w:b w:val="0"/>
          <w:bCs w:val="0"/>
          <w:color w:val="auto"/>
          <w:sz w:val="24"/>
          <w:szCs w:val="24"/>
          <w:highlight w:val="none"/>
          <w:lang w:val="en-US" w:eastAsia="zh-CN"/>
        </w:rPr>
        <w:t>诉讼</w:t>
      </w:r>
      <w:r>
        <w:rPr>
          <w:rFonts w:hint="eastAsia" w:ascii="CESI宋体-GB2312" w:hAnsi="CESI宋体-GB2312" w:eastAsia="CESI宋体-GB2312" w:cs="CESI宋体-GB2312"/>
          <w:b w:val="0"/>
          <w:bCs w:val="0"/>
          <w:color w:val="auto"/>
          <w:sz w:val="24"/>
          <w:szCs w:val="24"/>
          <w:highlight w:val="none"/>
        </w:rPr>
        <w:t>费用。在</w:t>
      </w:r>
      <w:r>
        <w:rPr>
          <w:rFonts w:hint="eastAsia" w:ascii="CESI宋体-GB2312" w:hAnsi="CESI宋体-GB2312" w:eastAsia="CESI宋体-GB2312" w:cs="CESI宋体-GB2312"/>
          <w:b w:val="0"/>
          <w:bCs w:val="0"/>
          <w:color w:val="auto"/>
          <w:sz w:val="24"/>
          <w:szCs w:val="24"/>
          <w:highlight w:val="none"/>
          <w:lang w:val="en-US" w:eastAsia="zh-CN"/>
        </w:rPr>
        <w:t>诉讼</w:t>
      </w:r>
      <w:r>
        <w:rPr>
          <w:rFonts w:hint="eastAsia" w:ascii="CESI宋体-GB2312" w:hAnsi="CESI宋体-GB2312" w:eastAsia="CESI宋体-GB2312" w:cs="CESI宋体-GB2312"/>
          <w:b w:val="0"/>
          <w:bCs w:val="0"/>
          <w:color w:val="auto"/>
          <w:sz w:val="24"/>
          <w:szCs w:val="24"/>
          <w:highlight w:val="none"/>
        </w:rPr>
        <w:t>期间，除双方有争议的部分，合同其他部分应该继续履行。</w:t>
      </w:r>
    </w:p>
    <w:p w14:paraId="3D36F81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highlight w:val="none"/>
        </w:rPr>
      </w:pPr>
      <w:r>
        <w:rPr>
          <w:rFonts w:hint="eastAsia" w:ascii="CESI宋体-GB2312" w:hAnsi="CESI宋体-GB2312" w:eastAsia="CESI宋体-GB2312" w:cs="CESI宋体-GB2312"/>
          <w:b/>
          <w:color w:val="auto"/>
          <w:sz w:val="24"/>
          <w:szCs w:val="24"/>
          <w:highlight w:val="none"/>
        </w:rPr>
        <w:t>十二、合同生效</w:t>
      </w:r>
    </w:p>
    <w:p w14:paraId="5987336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CESI宋体-GB2312" w:hAnsi="CESI宋体-GB2312" w:eastAsia="CESI宋体-GB2312" w:cs="CESI宋体-GB2312"/>
          <w:color w:val="auto"/>
          <w:sz w:val="24"/>
          <w:szCs w:val="24"/>
          <w:highlight w:val="none"/>
          <w:lang w:eastAsia="zh-CN"/>
        </w:rPr>
      </w:pPr>
      <w:r>
        <w:rPr>
          <w:rFonts w:hint="eastAsia" w:ascii="CESI宋体-GB2312" w:hAnsi="CESI宋体-GB2312" w:eastAsia="CESI宋体-GB2312" w:cs="CESI宋体-GB2312"/>
          <w:color w:val="auto"/>
          <w:sz w:val="24"/>
          <w:szCs w:val="24"/>
          <w:highlight w:val="none"/>
        </w:rPr>
        <w:t>本合同一式</w:t>
      </w:r>
      <w:r>
        <w:rPr>
          <w:rFonts w:hint="eastAsia" w:ascii="CESI宋体-GB2312" w:hAnsi="CESI宋体-GB2312" w:eastAsia="CESI宋体-GB2312" w:cs="CESI宋体-GB2312"/>
          <w:color w:val="auto"/>
          <w:sz w:val="24"/>
          <w:szCs w:val="24"/>
          <w:highlight w:val="none"/>
          <w:lang w:eastAsia="zh-CN"/>
        </w:rPr>
        <w:t>陆</w:t>
      </w:r>
      <w:r>
        <w:rPr>
          <w:rFonts w:hint="eastAsia" w:ascii="CESI宋体-GB2312" w:hAnsi="CESI宋体-GB2312" w:eastAsia="CESI宋体-GB2312" w:cs="CESI宋体-GB2312"/>
          <w:color w:val="auto"/>
          <w:sz w:val="24"/>
          <w:szCs w:val="24"/>
          <w:highlight w:val="none"/>
        </w:rPr>
        <w:t>份，甲方</w:t>
      </w:r>
      <w:r>
        <w:rPr>
          <w:rFonts w:hint="eastAsia" w:ascii="CESI宋体-GB2312" w:hAnsi="CESI宋体-GB2312" w:eastAsia="CESI宋体-GB2312" w:cs="CESI宋体-GB2312"/>
          <w:color w:val="auto"/>
          <w:sz w:val="24"/>
          <w:szCs w:val="24"/>
          <w:highlight w:val="none"/>
          <w:lang w:eastAsia="zh-CN"/>
        </w:rPr>
        <w:t>肆</w:t>
      </w:r>
      <w:r>
        <w:rPr>
          <w:rFonts w:hint="eastAsia" w:ascii="CESI宋体-GB2312" w:hAnsi="CESI宋体-GB2312" w:eastAsia="CESI宋体-GB2312" w:cs="CESI宋体-GB2312"/>
          <w:color w:val="auto"/>
          <w:sz w:val="24"/>
          <w:szCs w:val="24"/>
          <w:highlight w:val="none"/>
        </w:rPr>
        <w:t>份，乙方</w:t>
      </w:r>
      <w:r>
        <w:rPr>
          <w:rFonts w:hint="eastAsia" w:ascii="CESI宋体-GB2312" w:hAnsi="CESI宋体-GB2312" w:eastAsia="CESI宋体-GB2312" w:cs="CESI宋体-GB2312"/>
          <w:color w:val="auto"/>
          <w:sz w:val="24"/>
          <w:szCs w:val="24"/>
          <w:highlight w:val="none"/>
          <w:lang w:eastAsia="zh-CN"/>
        </w:rPr>
        <w:t>贰</w:t>
      </w:r>
      <w:r>
        <w:rPr>
          <w:rFonts w:hint="eastAsia" w:ascii="CESI宋体-GB2312" w:hAnsi="CESI宋体-GB2312" w:eastAsia="CESI宋体-GB2312" w:cs="CESI宋体-GB2312"/>
          <w:color w:val="auto"/>
          <w:sz w:val="24"/>
          <w:szCs w:val="24"/>
          <w:highlight w:val="none"/>
        </w:rPr>
        <w:t>份。本合同经各方盖章后生效</w:t>
      </w:r>
      <w:r>
        <w:rPr>
          <w:rFonts w:hint="eastAsia" w:ascii="CESI宋体-GB2312" w:hAnsi="CESI宋体-GB2312" w:eastAsia="CESI宋体-GB2312" w:cs="CESI宋体-GB2312"/>
          <w:color w:val="auto"/>
          <w:sz w:val="24"/>
          <w:szCs w:val="24"/>
          <w:highlight w:val="none"/>
          <w:lang w:eastAsia="zh-CN"/>
        </w:rPr>
        <w:t>。</w:t>
      </w:r>
    </w:p>
    <w:p w14:paraId="6C517F6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CESI宋体-GB2312" w:hAnsi="CESI宋体-GB2312" w:eastAsia="CESI宋体-GB2312" w:cs="CESI宋体-GB2312"/>
          <w:b/>
          <w:color w:val="auto"/>
          <w:sz w:val="24"/>
          <w:szCs w:val="24"/>
          <w:highlight w:val="none"/>
        </w:rPr>
      </w:pPr>
      <w:r>
        <w:rPr>
          <w:rFonts w:hint="eastAsia" w:ascii="CESI宋体-GB2312" w:hAnsi="CESI宋体-GB2312" w:eastAsia="CESI宋体-GB2312" w:cs="CESI宋体-GB2312"/>
          <w:b/>
          <w:color w:val="auto"/>
          <w:sz w:val="24"/>
          <w:szCs w:val="24"/>
          <w:highlight w:val="none"/>
        </w:rPr>
        <w:t>十三、其他事项</w:t>
      </w:r>
    </w:p>
    <w:p w14:paraId="7DB4D324">
      <w:pPr>
        <w:keepNext w:val="0"/>
        <w:keepLines w:val="0"/>
        <w:pageBreakBefore w:val="0"/>
        <w:kinsoku w:val="0"/>
        <w:wordWrap/>
        <w:overflowPunct/>
        <w:topLinePunct w:val="0"/>
        <w:autoSpaceDE w:val="0"/>
        <w:autoSpaceDN w:val="0"/>
        <w:bidi w:val="0"/>
        <w:spacing w:line="360" w:lineRule="auto"/>
        <w:ind w:firstLine="480" w:firstLineChars="200"/>
        <w:jc w:val="both"/>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（一）</w:t>
      </w:r>
      <w:r>
        <w:rPr>
          <w:rFonts w:hint="eastAsia" w:ascii="CESI宋体-GB2312" w:hAnsi="CESI宋体-GB2312" w:eastAsia="CESI宋体-GB2312" w:cs="CESI宋体-GB2312"/>
          <w:color w:val="auto"/>
          <w:sz w:val="24"/>
          <w:szCs w:val="24"/>
          <w:highlight w:val="none"/>
          <w:lang w:val="en-US" w:eastAsia="zh-CN"/>
        </w:rPr>
        <w:t>成交</w:t>
      </w:r>
      <w:r>
        <w:rPr>
          <w:rFonts w:hint="eastAsia" w:ascii="CESI宋体-GB2312" w:hAnsi="CESI宋体-GB2312" w:eastAsia="CESI宋体-GB2312" w:cs="CESI宋体-GB2312"/>
          <w:color w:val="auto"/>
          <w:sz w:val="24"/>
          <w:szCs w:val="24"/>
          <w:highlight w:val="none"/>
        </w:rPr>
        <w:t>通知书、</w:t>
      </w:r>
      <w:r>
        <w:rPr>
          <w:rFonts w:hint="eastAsia" w:ascii="CESI宋体-GB2312" w:hAnsi="CESI宋体-GB2312" w:eastAsia="CESI宋体-GB2312" w:cs="CESI宋体-GB2312"/>
          <w:color w:val="auto"/>
          <w:sz w:val="24"/>
          <w:szCs w:val="24"/>
          <w:highlight w:val="none"/>
          <w:lang w:val="en-US" w:eastAsia="zh-CN"/>
        </w:rPr>
        <w:t>成交供应商</w:t>
      </w:r>
      <w:r>
        <w:rPr>
          <w:rFonts w:hint="eastAsia" w:ascii="CESI宋体-GB2312" w:hAnsi="CESI宋体-GB2312" w:eastAsia="CESI宋体-GB2312" w:cs="CESI宋体-GB2312"/>
          <w:color w:val="auto"/>
          <w:sz w:val="24"/>
          <w:szCs w:val="24"/>
          <w:highlight w:val="none"/>
        </w:rPr>
        <w:t>的</w:t>
      </w:r>
      <w:r>
        <w:rPr>
          <w:rFonts w:hint="eastAsia" w:ascii="CESI宋体-GB2312" w:hAnsi="CESI宋体-GB2312" w:eastAsia="CESI宋体-GB2312" w:cs="CESI宋体-GB2312"/>
          <w:color w:val="auto"/>
          <w:sz w:val="24"/>
          <w:szCs w:val="24"/>
          <w:highlight w:val="none"/>
          <w:lang w:val="en-US" w:eastAsia="zh-CN"/>
        </w:rPr>
        <w:t>响应</w:t>
      </w:r>
      <w:r>
        <w:rPr>
          <w:rFonts w:hint="eastAsia" w:ascii="CESI宋体-GB2312" w:hAnsi="CESI宋体-GB2312" w:eastAsia="CESI宋体-GB2312" w:cs="CESI宋体-GB2312"/>
          <w:color w:val="auto"/>
          <w:sz w:val="24"/>
          <w:szCs w:val="24"/>
          <w:highlight w:val="none"/>
        </w:rPr>
        <w:t>文件及澄清或承诺、</w:t>
      </w:r>
      <w:r>
        <w:rPr>
          <w:rFonts w:hint="eastAsia" w:ascii="CESI宋体-GB2312" w:hAnsi="CESI宋体-GB2312" w:eastAsia="CESI宋体-GB2312" w:cs="CESI宋体-GB2312"/>
          <w:color w:val="auto"/>
          <w:sz w:val="24"/>
          <w:szCs w:val="24"/>
          <w:highlight w:val="none"/>
          <w:lang w:eastAsia="zh-CN"/>
        </w:rPr>
        <w:t>磋商文件</w:t>
      </w:r>
      <w:r>
        <w:rPr>
          <w:rFonts w:hint="eastAsia" w:ascii="CESI宋体-GB2312" w:hAnsi="CESI宋体-GB2312" w:eastAsia="CESI宋体-GB2312" w:cs="CESI宋体-GB2312"/>
          <w:color w:val="auto"/>
          <w:sz w:val="24"/>
          <w:szCs w:val="24"/>
          <w:highlight w:val="none"/>
        </w:rPr>
        <w:t>等均为合同的有效组成部分，具有同等法律效力。上述文件如有冲突，以排列在前的优先。合同未尽事宜，由甲、乙双方协商确认后，作为合同补充，与原合同具有同等法律效力。</w:t>
      </w:r>
    </w:p>
    <w:p w14:paraId="775943F4">
      <w:pPr>
        <w:keepNext w:val="0"/>
        <w:keepLines w:val="0"/>
        <w:pageBreakBefore w:val="0"/>
        <w:kinsoku w:val="0"/>
        <w:wordWrap/>
        <w:overflowPunct/>
        <w:topLinePunct w:val="0"/>
        <w:autoSpaceDE w:val="0"/>
        <w:autoSpaceDN w:val="0"/>
        <w:bidi w:val="0"/>
        <w:spacing w:line="360" w:lineRule="auto"/>
        <w:ind w:firstLine="480" w:firstLineChars="200"/>
        <w:jc w:val="both"/>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（二）合同一经签订，不得擅自变更、中止或终止合同。对确需变更、调整或中止、终止合同的，应按规定履行相应的手续。</w:t>
      </w:r>
    </w:p>
    <w:p w14:paraId="6B635A05">
      <w:pPr>
        <w:keepNext w:val="0"/>
        <w:keepLines w:val="0"/>
        <w:pageBreakBefore w:val="0"/>
        <w:kinsoku w:val="0"/>
        <w:wordWrap/>
        <w:overflowPunct/>
        <w:topLinePunct w:val="0"/>
        <w:autoSpaceDE w:val="0"/>
        <w:autoSpaceDN w:val="0"/>
        <w:bidi w:val="0"/>
        <w:spacing w:line="360" w:lineRule="auto"/>
        <w:ind w:firstLine="480" w:firstLineChars="200"/>
        <w:jc w:val="both"/>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（三）本合同按照中华人民共和国的现行法律进行解释。</w:t>
      </w:r>
    </w:p>
    <w:p w14:paraId="24737DA7">
      <w:pPr>
        <w:keepNext w:val="0"/>
        <w:keepLines w:val="0"/>
        <w:pageBreakBefore w:val="0"/>
        <w:wordWrap/>
        <w:overflowPunct/>
        <w:topLinePunct w:val="0"/>
        <w:bidi w:val="0"/>
        <w:spacing w:line="340" w:lineRule="exact"/>
        <w:ind w:firstLine="480" w:firstLineChars="200"/>
        <w:jc w:val="both"/>
        <w:rPr>
          <w:rFonts w:hint="eastAsia" w:ascii="CESI宋体-GB2312" w:hAnsi="CESI宋体-GB2312" w:eastAsia="CESI宋体-GB2312" w:cs="CESI宋体-GB2312"/>
          <w:color w:val="auto"/>
          <w:sz w:val="24"/>
          <w:szCs w:val="24"/>
          <w:highlight w:val="none"/>
        </w:rPr>
      </w:pPr>
      <w:r>
        <w:rPr>
          <w:rFonts w:hint="eastAsia" w:ascii="CESI宋体-GB2312" w:hAnsi="CESI宋体-GB2312" w:eastAsia="CESI宋体-GB2312" w:cs="CESI宋体-GB2312"/>
          <w:color w:val="auto"/>
          <w:sz w:val="24"/>
          <w:szCs w:val="24"/>
          <w:highlight w:val="none"/>
        </w:rPr>
        <w:t>（四）采购合同条款和招标文件、采购文件、投标文件的内容不一致的，以采购合同内容为准。</w:t>
      </w:r>
    </w:p>
    <w:p w14:paraId="597493C4">
      <w:pPr>
        <w:pStyle w:val="2"/>
        <w:rPr>
          <w:rFonts w:hint="eastAsia"/>
          <w:color w:val="auto"/>
          <w:highlight w:val="none"/>
        </w:rPr>
      </w:pPr>
    </w:p>
    <w:tbl>
      <w:tblPr>
        <w:tblStyle w:val="4"/>
        <w:tblW w:w="8899"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1"/>
        <w:gridCol w:w="4408"/>
      </w:tblGrid>
      <w:tr w14:paraId="05221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4491" w:type="dxa"/>
            <w:tcBorders>
              <w:top w:val="single" w:color="auto" w:sz="4" w:space="0"/>
              <w:left w:val="single" w:color="auto" w:sz="4" w:space="0"/>
              <w:bottom w:val="single" w:color="auto" w:sz="4" w:space="0"/>
              <w:right w:val="single" w:color="auto" w:sz="4" w:space="0"/>
            </w:tcBorders>
            <w:vAlign w:val="center"/>
          </w:tcPr>
          <w:p w14:paraId="6F350358">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Cs w:val="21"/>
                <w:highlight w:val="none"/>
              </w:rPr>
            </w:pPr>
            <w:r>
              <w:rPr>
                <w:rFonts w:hint="eastAsia" w:ascii="CESI宋体-GB2312" w:hAnsi="CESI宋体-GB2312" w:eastAsia="CESI宋体-GB2312" w:cs="CESI宋体-GB2312"/>
                <w:color w:val="auto"/>
                <w:szCs w:val="21"/>
                <w:highlight w:val="none"/>
              </w:rPr>
              <w:t>甲  方</w:t>
            </w:r>
          </w:p>
        </w:tc>
        <w:tc>
          <w:tcPr>
            <w:tcW w:w="4408" w:type="dxa"/>
            <w:tcBorders>
              <w:top w:val="single" w:color="auto" w:sz="4" w:space="0"/>
              <w:left w:val="single" w:color="auto" w:sz="4" w:space="0"/>
              <w:bottom w:val="single" w:color="auto" w:sz="4" w:space="0"/>
              <w:right w:val="single" w:color="auto" w:sz="4" w:space="0"/>
            </w:tcBorders>
            <w:vAlign w:val="center"/>
          </w:tcPr>
          <w:p w14:paraId="09D97329">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Cs w:val="21"/>
                <w:highlight w:val="none"/>
              </w:rPr>
            </w:pPr>
            <w:r>
              <w:rPr>
                <w:rFonts w:hint="eastAsia" w:ascii="CESI宋体-GB2312" w:hAnsi="CESI宋体-GB2312" w:eastAsia="CESI宋体-GB2312" w:cs="CESI宋体-GB2312"/>
                <w:color w:val="auto"/>
                <w:szCs w:val="21"/>
                <w:highlight w:val="none"/>
              </w:rPr>
              <w:t>乙  方</w:t>
            </w:r>
          </w:p>
        </w:tc>
      </w:tr>
      <w:tr w14:paraId="40E1D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0" w:hRule="atLeast"/>
        </w:trPr>
        <w:tc>
          <w:tcPr>
            <w:tcW w:w="4491" w:type="dxa"/>
            <w:tcBorders>
              <w:top w:val="single" w:color="auto" w:sz="4" w:space="0"/>
              <w:left w:val="single" w:color="auto" w:sz="4" w:space="0"/>
              <w:bottom w:val="single" w:color="auto" w:sz="4" w:space="0"/>
              <w:right w:val="single" w:color="auto" w:sz="4" w:space="0"/>
            </w:tcBorders>
            <w:vAlign w:val="center"/>
          </w:tcPr>
          <w:p w14:paraId="6A7FFBD6">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Cs w:val="21"/>
                <w:highlight w:val="none"/>
              </w:rPr>
            </w:pPr>
            <w:r>
              <w:rPr>
                <w:rFonts w:hint="eastAsia" w:ascii="CESI宋体-GB2312" w:hAnsi="CESI宋体-GB2312" w:eastAsia="CESI宋体-GB2312" w:cs="CESI宋体-GB2312"/>
                <w:color w:val="auto"/>
                <w:szCs w:val="21"/>
                <w:highlight w:val="none"/>
              </w:rPr>
              <w:t>采购人名称（盖章）</w:t>
            </w:r>
          </w:p>
          <w:p w14:paraId="2BD164D6">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Cs w:val="21"/>
                <w:highlight w:val="none"/>
              </w:rPr>
            </w:pPr>
            <w:r>
              <w:rPr>
                <w:rFonts w:hint="eastAsia" w:ascii="CESI宋体-GB2312" w:hAnsi="CESI宋体-GB2312" w:eastAsia="CESI宋体-GB2312" w:cs="CESI宋体-GB2312"/>
                <w:color w:val="auto"/>
                <w:kern w:val="0"/>
                <w:highlight w:val="none"/>
              </w:rPr>
              <w:t>西安市中心血站</w:t>
            </w:r>
          </w:p>
        </w:tc>
        <w:tc>
          <w:tcPr>
            <w:tcW w:w="4408" w:type="dxa"/>
            <w:tcBorders>
              <w:top w:val="single" w:color="auto" w:sz="4" w:space="0"/>
              <w:left w:val="single" w:color="auto" w:sz="4" w:space="0"/>
              <w:bottom w:val="single" w:color="auto" w:sz="4" w:space="0"/>
              <w:right w:val="single" w:color="auto" w:sz="4" w:space="0"/>
            </w:tcBorders>
            <w:vAlign w:val="center"/>
          </w:tcPr>
          <w:p w14:paraId="18B11380">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Cs w:val="21"/>
                <w:highlight w:val="none"/>
              </w:rPr>
            </w:pPr>
            <w:r>
              <w:rPr>
                <w:rFonts w:hint="eastAsia" w:ascii="CESI宋体-GB2312" w:hAnsi="CESI宋体-GB2312" w:eastAsia="CESI宋体-GB2312" w:cs="CESI宋体-GB2312"/>
                <w:color w:val="auto"/>
                <w:szCs w:val="21"/>
                <w:highlight w:val="none"/>
              </w:rPr>
              <w:t>供应商全称（盖章）</w:t>
            </w:r>
          </w:p>
          <w:p w14:paraId="15FEA4BF">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szCs w:val="21"/>
                <w:highlight w:val="none"/>
              </w:rPr>
            </w:pPr>
          </w:p>
        </w:tc>
      </w:tr>
      <w:tr w14:paraId="2D622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4491" w:type="dxa"/>
            <w:tcBorders>
              <w:top w:val="single" w:color="auto" w:sz="4" w:space="0"/>
              <w:left w:val="single" w:color="auto" w:sz="4" w:space="0"/>
              <w:bottom w:val="single" w:color="auto" w:sz="4" w:space="0"/>
              <w:right w:val="single" w:color="auto" w:sz="4" w:space="0"/>
            </w:tcBorders>
            <w:vAlign w:val="center"/>
          </w:tcPr>
          <w:p w14:paraId="37B95ED9">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highlight w:val="none"/>
              </w:rPr>
            </w:pPr>
            <w:r>
              <w:rPr>
                <w:rFonts w:hint="eastAsia" w:ascii="CESI宋体-GB2312" w:hAnsi="CESI宋体-GB2312" w:eastAsia="CESI宋体-GB2312" w:cs="CESI宋体-GB2312"/>
                <w:color w:val="auto"/>
                <w:highlight w:val="none"/>
              </w:rPr>
              <w:t>地址：朱雀大街407号</w:t>
            </w:r>
          </w:p>
        </w:tc>
        <w:tc>
          <w:tcPr>
            <w:tcW w:w="4408" w:type="dxa"/>
            <w:tcBorders>
              <w:top w:val="single" w:color="auto" w:sz="4" w:space="0"/>
              <w:left w:val="single" w:color="auto" w:sz="4" w:space="0"/>
              <w:bottom w:val="single" w:color="auto" w:sz="4" w:space="0"/>
              <w:right w:val="single" w:color="auto" w:sz="4" w:space="0"/>
            </w:tcBorders>
            <w:vAlign w:val="center"/>
          </w:tcPr>
          <w:p w14:paraId="25F1F830">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highlight w:val="none"/>
              </w:rPr>
            </w:pPr>
            <w:r>
              <w:rPr>
                <w:rFonts w:hint="eastAsia" w:ascii="CESI宋体-GB2312" w:hAnsi="CESI宋体-GB2312" w:eastAsia="CESI宋体-GB2312" w:cs="CESI宋体-GB2312"/>
                <w:color w:val="auto"/>
                <w:highlight w:val="none"/>
              </w:rPr>
              <w:t>地址：</w:t>
            </w:r>
          </w:p>
        </w:tc>
      </w:tr>
      <w:tr w14:paraId="7656F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exact"/>
        </w:trPr>
        <w:tc>
          <w:tcPr>
            <w:tcW w:w="4491" w:type="dxa"/>
            <w:tcBorders>
              <w:top w:val="single" w:color="auto" w:sz="4" w:space="0"/>
              <w:left w:val="single" w:color="auto" w:sz="4" w:space="0"/>
              <w:bottom w:val="single" w:color="auto" w:sz="4" w:space="0"/>
              <w:right w:val="single" w:color="auto" w:sz="4" w:space="0"/>
            </w:tcBorders>
            <w:vAlign w:val="center"/>
          </w:tcPr>
          <w:p w14:paraId="6C93B74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highlight w:val="none"/>
              </w:rPr>
            </w:pPr>
            <w:r>
              <w:rPr>
                <w:rFonts w:hint="eastAsia" w:ascii="CESI宋体-GB2312" w:hAnsi="CESI宋体-GB2312" w:eastAsia="CESI宋体-GB2312" w:cs="CESI宋体-GB2312"/>
                <w:color w:val="auto"/>
                <w:highlight w:val="none"/>
              </w:rPr>
              <w:t>法定代表人</w:t>
            </w:r>
          </w:p>
          <w:p w14:paraId="0C0D80B3">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kern w:val="2"/>
                <w:sz w:val="21"/>
                <w:szCs w:val="22"/>
                <w:highlight w:val="none"/>
                <w:lang w:val="en-US" w:eastAsia="zh-CN" w:bidi="ar-SA"/>
              </w:rPr>
            </w:pPr>
            <w:r>
              <w:rPr>
                <w:rFonts w:hint="eastAsia" w:ascii="CESI宋体-GB2312" w:hAnsi="CESI宋体-GB2312" w:eastAsia="CESI宋体-GB2312" w:cs="CESI宋体-GB2312"/>
                <w:color w:val="auto"/>
                <w:highlight w:val="none"/>
                <w:lang w:eastAsia="zh-CN"/>
              </w:rPr>
              <w:t>或</w:t>
            </w:r>
            <w:r>
              <w:rPr>
                <w:rFonts w:hint="eastAsia" w:ascii="CESI宋体-GB2312" w:hAnsi="CESI宋体-GB2312" w:eastAsia="CESI宋体-GB2312" w:cs="CESI宋体-GB2312"/>
                <w:color w:val="auto"/>
                <w:highlight w:val="none"/>
              </w:rPr>
              <w:t xml:space="preserve">授权代表： </w:t>
            </w:r>
          </w:p>
        </w:tc>
        <w:tc>
          <w:tcPr>
            <w:tcW w:w="4408" w:type="dxa"/>
            <w:tcBorders>
              <w:top w:val="single" w:color="auto" w:sz="4" w:space="0"/>
              <w:left w:val="single" w:color="auto" w:sz="4" w:space="0"/>
              <w:bottom w:val="single" w:color="auto" w:sz="4" w:space="0"/>
              <w:right w:val="single" w:color="auto" w:sz="4" w:space="0"/>
            </w:tcBorders>
            <w:vAlign w:val="center"/>
          </w:tcPr>
          <w:p w14:paraId="77861424">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highlight w:val="none"/>
              </w:rPr>
            </w:pPr>
            <w:r>
              <w:rPr>
                <w:rFonts w:hint="eastAsia" w:ascii="CESI宋体-GB2312" w:hAnsi="CESI宋体-GB2312" w:eastAsia="CESI宋体-GB2312" w:cs="CESI宋体-GB2312"/>
                <w:color w:val="auto"/>
                <w:highlight w:val="none"/>
              </w:rPr>
              <w:t>法定代表人</w:t>
            </w:r>
          </w:p>
          <w:p w14:paraId="147C1316">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kern w:val="2"/>
                <w:sz w:val="21"/>
                <w:szCs w:val="22"/>
                <w:highlight w:val="none"/>
                <w:lang w:val="en-US" w:eastAsia="zh-CN" w:bidi="ar-SA"/>
              </w:rPr>
            </w:pPr>
            <w:r>
              <w:rPr>
                <w:rFonts w:hint="eastAsia" w:ascii="CESI宋体-GB2312" w:hAnsi="CESI宋体-GB2312" w:eastAsia="CESI宋体-GB2312" w:cs="CESI宋体-GB2312"/>
                <w:color w:val="auto"/>
                <w:highlight w:val="none"/>
                <w:lang w:eastAsia="zh-CN"/>
              </w:rPr>
              <w:t>或</w:t>
            </w:r>
            <w:r>
              <w:rPr>
                <w:rFonts w:hint="eastAsia" w:ascii="CESI宋体-GB2312" w:hAnsi="CESI宋体-GB2312" w:eastAsia="CESI宋体-GB2312" w:cs="CESI宋体-GB2312"/>
                <w:color w:val="auto"/>
                <w:highlight w:val="none"/>
              </w:rPr>
              <w:t>授权代表：</w:t>
            </w:r>
          </w:p>
        </w:tc>
      </w:tr>
      <w:tr w14:paraId="55E22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4491" w:type="dxa"/>
            <w:tcBorders>
              <w:top w:val="single" w:color="auto" w:sz="4" w:space="0"/>
              <w:left w:val="single" w:color="auto" w:sz="4" w:space="0"/>
              <w:bottom w:val="single" w:color="auto" w:sz="4" w:space="0"/>
              <w:right w:val="single" w:color="auto" w:sz="4" w:space="0"/>
            </w:tcBorders>
            <w:vAlign w:val="center"/>
          </w:tcPr>
          <w:p w14:paraId="5DDD0136">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highlight w:val="none"/>
              </w:rPr>
            </w:pPr>
          </w:p>
        </w:tc>
        <w:tc>
          <w:tcPr>
            <w:tcW w:w="4408" w:type="dxa"/>
            <w:tcBorders>
              <w:top w:val="single" w:color="auto" w:sz="4" w:space="0"/>
              <w:left w:val="single" w:color="auto" w:sz="4" w:space="0"/>
              <w:bottom w:val="single" w:color="auto" w:sz="4" w:space="0"/>
              <w:right w:val="single" w:color="auto" w:sz="4" w:space="0"/>
            </w:tcBorders>
            <w:vAlign w:val="center"/>
          </w:tcPr>
          <w:p w14:paraId="676A1DC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highlight w:val="none"/>
              </w:rPr>
            </w:pPr>
            <w:r>
              <w:rPr>
                <w:rFonts w:hint="eastAsia" w:ascii="CESI宋体-GB2312" w:hAnsi="CESI宋体-GB2312" w:eastAsia="CESI宋体-GB2312" w:cs="CESI宋体-GB2312"/>
                <w:color w:val="auto"/>
                <w:highlight w:val="none"/>
              </w:rPr>
              <w:t>供应商拥有者性别：</w:t>
            </w:r>
            <w:r>
              <w:rPr>
                <w:rFonts w:ascii="CESI宋体-GB2312" w:hAnsi="CESI宋体-GB2312" w:eastAsia="CESI宋体-GB2312" w:cs="CESI宋体-GB2312"/>
                <w:color w:val="auto"/>
                <w:highlight w:val="none"/>
              </w:rPr>
              <w:t xml:space="preserve">  </w:t>
            </w:r>
            <w:r>
              <w:rPr>
                <w:rFonts w:ascii="CESI宋体-GB2312" w:hAnsi="CESI宋体-GB2312" w:eastAsia="CESI宋体-GB2312" w:cs="CESI宋体-GB2312"/>
                <w:color w:val="auto"/>
                <w:sz w:val="15"/>
                <w:szCs w:val="15"/>
                <w:highlight w:val="none"/>
              </w:rPr>
              <w:t xml:space="preserve">男   女  </w:t>
            </w:r>
          </w:p>
        </w:tc>
      </w:tr>
      <w:tr w14:paraId="0CAB9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4491" w:type="dxa"/>
            <w:tcBorders>
              <w:top w:val="single" w:color="auto" w:sz="4" w:space="0"/>
              <w:left w:val="single" w:color="auto" w:sz="4" w:space="0"/>
              <w:bottom w:val="single" w:color="auto" w:sz="4" w:space="0"/>
              <w:right w:val="single" w:color="auto" w:sz="4" w:space="0"/>
            </w:tcBorders>
            <w:vAlign w:val="center"/>
          </w:tcPr>
          <w:p w14:paraId="27954EE9">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highlight w:val="none"/>
              </w:rPr>
            </w:pPr>
          </w:p>
        </w:tc>
        <w:tc>
          <w:tcPr>
            <w:tcW w:w="4408" w:type="dxa"/>
            <w:tcBorders>
              <w:top w:val="single" w:color="auto" w:sz="4" w:space="0"/>
              <w:left w:val="single" w:color="auto" w:sz="4" w:space="0"/>
              <w:bottom w:val="single" w:color="auto" w:sz="4" w:space="0"/>
              <w:right w:val="single" w:color="auto" w:sz="4" w:space="0"/>
            </w:tcBorders>
            <w:vAlign w:val="center"/>
          </w:tcPr>
          <w:p w14:paraId="1E04F00D">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highlight w:val="none"/>
              </w:rPr>
            </w:pPr>
            <w:r>
              <w:rPr>
                <w:rFonts w:hint="eastAsia" w:ascii="CESI宋体-GB2312" w:hAnsi="CESI宋体-GB2312" w:eastAsia="CESI宋体-GB2312" w:cs="CESI宋体-GB2312"/>
                <w:color w:val="auto"/>
                <w:highlight w:val="none"/>
              </w:rPr>
              <w:t>供应商规模：</w:t>
            </w:r>
            <w:r>
              <w:rPr>
                <w:rFonts w:ascii="CESI宋体-GB2312" w:hAnsi="CESI宋体-GB2312" w:eastAsia="CESI宋体-GB2312" w:cs="CESI宋体-GB2312"/>
                <w:color w:val="auto"/>
                <w:highlight w:val="none"/>
              </w:rPr>
              <w:t xml:space="preserve">  </w:t>
            </w:r>
            <w:r>
              <w:rPr>
                <w:rFonts w:ascii="CESI宋体-GB2312" w:hAnsi="CESI宋体-GB2312" w:eastAsia="CESI宋体-GB2312" w:cs="CESI宋体-GB2312"/>
                <w:color w:val="auto"/>
                <w:sz w:val="15"/>
                <w:szCs w:val="15"/>
                <w:highlight w:val="none"/>
              </w:rPr>
              <w:t>大  中  小  微  其他</w:t>
            </w:r>
          </w:p>
        </w:tc>
      </w:tr>
      <w:tr w14:paraId="7AD36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4491" w:type="dxa"/>
            <w:tcBorders>
              <w:top w:val="single" w:color="auto" w:sz="4" w:space="0"/>
              <w:left w:val="single" w:color="auto" w:sz="4" w:space="0"/>
              <w:bottom w:val="single" w:color="auto" w:sz="4" w:space="0"/>
              <w:right w:val="single" w:color="auto" w:sz="4" w:space="0"/>
            </w:tcBorders>
            <w:vAlign w:val="center"/>
          </w:tcPr>
          <w:p w14:paraId="7514BE23">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highlight w:val="none"/>
                <w:lang w:val="en-US" w:eastAsia="zh-CN"/>
              </w:rPr>
            </w:pPr>
            <w:r>
              <w:rPr>
                <w:rFonts w:hint="eastAsia" w:ascii="CESI宋体-GB2312" w:hAnsi="CESI宋体-GB2312" w:eastAsia="CESI宋体-GB2312" w:cs="CESI宋体-GB2312"/>
                <w:color w:val="auto"/>
                <w:highlight w:val="none"/>
              </w:rPr>
              <w:t>电话：029-85</w:t>
            </w:r>
            <w:r>
              <w:rPr>
                <w:rFonts w:hint="eastAsia" w:ascii="CESI宋体-GB2312" w:hAnsi="CESI宋体-GB2312" w:eastAsia="CESI宋体-GB2312" w:cs="CESI宋体-GB2312"/>
                <w:color w:val="auto"/>
                <w:highlight w:val="none"/>
                <w:lang w:val="en-US" w:eastAsia="zh-CN"/>
              </w:rPr>
              <w:t>212746</w:t>
            </w:r>
          </w:p>
        </w:tc>
        <w:tc>
          <w:tcPr>
            <w:tcW w:w="4408" w:type="dxa"/>
            <w:tcBorders>
              <w:top w:val="single" w:color="auto" w:sz="4" w:space="0"/>
              <w:left w:val="single" w:color="auto" w:sz="4" w:space="0"/>
              <w:bottom w:val="single" w:color="auto" w:sz="4" w:space="0"/>
              <w:right w:val="single" w:color="auto" w:sz="4" w:space="0"/>
            </w:tcBorders>
            <w:vAlign w:val="center"/>
          </w:tcPr>
          <w:p w14:paraId="280976D0">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color w:val="auto"/>
                <w:highlight w:val="none"/>
              </w:rPr>
            </w:pPr>
            <w:r>
              <w:rPr>
                <w:rFonts w:hint="eastAsia" w:ascii="CESI宋体-GB2312" w:hAnsi="CESI宋体-GB2312" w:eastAsia="CESI宋体-GB2312" w:cs="CESI宋体-GB2312"/>
                <w:color w:val="auto"/>
                <w:highlight w:val="none"/>
              </w:rPr>
              <w:t>电话：</w:t>
            </w:r>
          </w:p>
        </w:tc>
      </w:tr>
      <w:tr w14:paraId="69302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4491" w:type="dxa"/>
            <w:tcBorders>
              <w:top w:val="single" w:color="auto" w:sz="4" w:space="0"/>
              <w:left w:val="single" w:color="auto" w:sz="4" w:space="0"/>
              <w:bottom w:val="single" w:color="auto" w:sz="4" w:space="0"/>
              <w:right w:val="single" w:color="auto" w:sz="4" w:space="0"/>
            </w:tcBorders>
            <w:vAlign w:val="center"/>
          </w:tcPr>
          <w:p w14:paraId="497D9F8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CESI宋体-GB2312" w:hAnsi="CESI宋体-GB2312" w:eastAsia="CESI宋体-GB2312" w:cs="CESI宋体-GB2312"/>
                <w:color w:val="auto"/>
                <w:highlight w:val="none"/>
                <w:lang w:eastAsia="zh-CN"/>
              </w:rPr>
            </w:pPr>
            <w:r>
              <w:rPr>
                <w:rFonts w:hint="eastAsia" w:ascii="CESI宋体-GB2312" w:hAnsi="CESI宋体-GB2312" w:eastAsia="CESI宋体-GB2312" w:cs="CESI宋体-GB2312"/>
                <w:color w:val="auto"/>
                <w:highlight w:val="none"/>
                <w:lang w:eastAsia="zh-CN"/>
              </w:rPr>
              <w:t>开户银行：招商银行西影路支行</w:t>
            </w:r>
          </w:p>
        </w:tc>
        <w:tc>
          <w:tcPr>
            <w:tcW w:w="4408" w:type="dxa"/>
            <w:tcBorders>
              <w:top w:val="single" w:color="auto" w:sz="4" w:space="0"/>
              <w:left w:val="single" w:color="auto" w:sz="4" w:space="0"/>
              <w:bottom w:val="single" w:color="auto" w:sz="4" w:space="0"/>
              <w:right w:val="single" w:color="auto" w:sz="4" w:space="0"/>
            </w:tcBorders>
            <w:vAlign w:val="center"/>
          </w:tcPr>
          <w:p w14:paraId="3D7B7627">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color w:val="auto"/>
                <w:highlight w:val="none"/>
                <w:lang w:eastAsia="zh-CN"/>
              </w:rPr>
            </w:pPr>
            <w:r>
              <w:rPr>
                <w:rFonts w:hint="eastAsia" w:ascii="CESI宋体-GB2312" w:hAnsi="CESI宋体-GB2312" w:eastAsia="CESI宋体-GB2312" w:cs="CESI宋体-GB2312"/>
                <w:color w:val="auto"/>
                <w:highlight w:val="none"/>
                <w:lang w:eastAsia="zh-CN"/>
              </w:rPr>
              <w:t>开户银行：</w:t>
            </w:r>
          </w:p>
        </w:tc>
      </w:tr>
      <w:tr w14:paraId="7C3C2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4491" w:type="dxa"/>
            <w:tcBorders>
              <w:top w:val="single" w:color="auto" w:sz="4" w:space="0"/>
              <w:left w:val="single" w:color="auto" w:sz="4" w:space="0"/>
              <w:bottom w:val="single" w:color="auto" w:sz="4" w:space="0"/>
              <w:right w:val="single" w:color="auto" w:sz="4" w:space="0"/>
            </w:tcBorders>
            <w:vAlign w:val="center"/>
          </w:tcPr>
          <w:p w14:paraId="2DE060DC">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color w:val="auto"/>
                <w:highlight w:val="none"/>
                <w:lang w:val="en-US" w:eastAsia="zh-CN"/>
              </w:rPr>
            </w:pPr>
            <w:r>
              <w:rPr>
                <w:rFonts w:hint="eastAsia" w:ascii="CESI宋体-GB2312" w:hAnsi="CESI宋体-GB2312" w:eastAsia="CESI宋体-GB2312" w:cs="CESI宋体-GB2312"/>
                <w:color w:val="auto"/>
                <w:highlight w:val="none"/>
                <w:lang w:eastAsia="zh-CN"/>
              </w:rPr>
              <w:t>账号：</w:t>
            </w:r>
            <w:r>
              <w:rPr>
                <w:rFonts w:hint="eastAsia" w:ascii="CESI宋体-GB2312" w:hAnsi="CESI宋体-GB2312" w:eastAsia="CESI宋体-GB2312" w:cs="CESI宋体-GB2312"/>
                <w:color w:val="auto"/>
                <w:highlight w:val="none"/>
                <w:lang w:val="en-US" w:eastAsia="zh-CN"/>
              </w:rPr>
              <w:t>129904468910201</w:t>
            </w:r>
          </w:p>
        </w:tc>
        <w:tc>
          <w:tcPr>
            <w:tcW w:w="4408" w:type="dxa"/>
            <w:tcBorders>
              <w:top w:val="single" w:color="auto" w:sz="4" w:space="0"/>
              <w:left w:val="single" w:color="auto" w:sz="4" w:space="0"/>
              <w:bottom w:val="single" w:color="auto" w:sz="4" w:space="0"/>
              <w:right w:val="single" w:color="auto" w:sz="4" w:space="0"/>
            </w:tcBorders>
            <w:vAlign w:val="center"/>
          </w:tcPr>
          <w:p w14:paraId="4CF8C662">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color w:val="auto"/>
                <w:highlight w:val="none"/>
                <w:lang w:eastAsia="zh-CN"/>
              </w:rPr>
            </w:pPr>
            <w:r>
              <w:rPr>
                <w:rFonts w:hint="eastAsia" w:ascii="CESI宋体-GB2312" w:hAnsi="CESI宋体-GB2312" w:eastAsia="CESI宋体-GB2312" w:cs="CESI宋体-GB2312"/>
                <w:color w:val="auto"/>
                <w:highlight w:val="none"/>
                <w:lang w:eastAsia="zh-CN"/>
              </w:rPr>
              <w:t>帐号：</w:t>
            </w:r>
          </w:p>
        </w:tc>
      </w:tr>
      <w:tr w14:paraId="6C515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rPr>
        <w:tc>
          <w:tcPr>
            <w:tcW w:w="4491" w:type="dxa"/>
            <w:tcBorders>
              <w:top w:val="single" w:color="auto" w:sz="4" w:space="0"/>
              <w:left w:val="single" w:color="auto" w:sz="4" w:space="0"/>
              <w:bottom w:val="single" w:color="auto" w:sz="4" w:space="0"/>
              <w:right w:val="single" w:color="auto" w:sz="4" w:space="0"/>
            </w:tcBorders>
            <w:vAlign w:val="center"/>
          </w:tcPr>
          <w:p w14:paraId="250A39C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CESI宋体-GB2312" w:hAnsi="CESI宋体-GB2312" w:eastAsia="CESI宋体-GB2312" w:cs="CESI宋体-GB2312"/>
                <w:color w:val="auto"/>
                <w:highlight w:val="none"/>
                <w:lang w:eastAsia="zh-CN"/>
              </w:rPr>
            </w:pPr>
            <w:r>
              <w:rPr>
                <w:rFonts w:hint="eastAsia" w:ascii="CESI宋体-GB2312" w:hAnsi="CESI宋体-GB2312" w:eastAsia="CESI宋体-GB2312" w:cs="CESI宋体-GB2312"/>
                <w:color w:val="auto"/>
                <w:highlight w:val="none"/>
                <w:lang w:eastAsia="zh-CN"/>
              </w:rPr>
              <w:t>纳税人识别号：</w:t>
            </w:r>
            <w:r>
              <w:rPr>
                <w:rFonts w:hint="eastAsia" w:ascii="CESI宋体-GB2312" w:hAnsi="CESI宋体-GB2312" w:eastAsia="CESI宋体-GB2312" w:cs="CESI宋体-GB2312"/>
                <w:color w:val="auto"/>
                <w:highlight w:val="none"/>
                <w:lang w:val="en-US" w:eastAsia="zh-CN"/>
              </w:rPr>
              <w:t>126101004372030973</w:t>
            </w:r>
          </w:p>
        </w:tc>
        <w:tc>
          <w:tcPr>
            <w:tcW w:w="4408" w:type="dxa"/>
            <w:tcBorders>
              <w:top w:val="single" w:color="auto" w:sz="4" w:space="0"/>
              <w:left w:val="single" w:color="auto" w:sz="4" w:space="0"/>
              <w:bottom w:val="single" w:color="auto" w:sz="4" w:space="0"/>
              <w:right w:val="single" w:color="auto" w:sz="4" w:space="0"/>
            </w:tcBorders>
            <w:vAlign w:val="center"/>
          </w:tcPr>
          <w:p w14:paraId="41C5D5EA">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color w:val="auto"/>
                <w:highlight w:val="none"/>
                <w:lang w:eastAsia="zh-CN"/>
              </w:rPr>
            </w:pPr>
            <w:r>
              <w:rPr>
                <w:rFonts w:hint="eastAsia" w:ascii="CESI宋体-GB2312" w:hAnsi="CESI宋体-GB2312" w:eastAsia="CESI宋体-GB2312" w:cs="CESI宋体-GB2312"/>
                <w:color w:val="auto"/>
                <w:highlight w:val="none"/>
                <w:lang w:eastAsia="zh-CN"/>
              </w:rPr>
              <w:t>纳税人识别号：</w:t>
            </w:r>
          </w:p>
        </w:tc>
      </w:tr>
      <w:tr w14:paraId="419C4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trPr>
        <w:tc>
          <w:tcPr>
            <w:tcW w:w="8899" w:type="dxa"/>
            <w:gridSpan w:val="2"/>
            <w:tcBorders>
              <w:top w:val="single" w:color="auto" w:sz="4" w:space="0"/>
              <w:left w:val="single" w:color="auto" w:sz="4" w:space="0"/>
              <w:bottom w:val="single" w:color="auto" w:sz="4" w:space="0"/>
              <w:right w:val="single" w:color="auto" w:sz="4" w:space="0"/>
            </w:tcBorders>
            <w:vAlign w:val="center"/>
          </w:tcPr>
          <w:p w14:paraId="35C6357C">
            <w:pPr>
              <w:keepNext w:val="0"/>
              <w:keepLines w:val="0"/>
              <w:pageBreakBefore w:val="0"/>
              <w:widowControl w:val="0"/>
              <w:kinsoku/>
              <w:wordWrap/>
              <w:overflowPunct/>
              <w:topLinePunct w:val="0"/>
              <w:autoSpaceDE/>
              <w:autoSpaceDN/>
              <w:adjustRightInd/>
              <w:snapToGrid/>
              <w:spacing w:line="240" w:lineRule="exact"/>
              <w:jc w:val="center"/>
              <w:rPr>
                <w:rFonts w:ascii="CESI宋体-GB2312" w:hAnsi="CESI宋体-GB2312" w:eastAsia="CESI宋体-GB2312" w:cs="CESI宋体-GB2312"/>
                <w:color w:val="auto"/>
                <w:highlight w:val="none"/>
                <w:lang w:eastAsia="zh-CN"/>
              </w:rPr>
            </w:pPr>
            <w:r>
              <w:rPr>
                <w:rFonts w:ascii="CESI宋体-GB2312" w:hAnsi="CESI宋体-GB2312" w:eastAsia="CESI宋体-GB2312" w:cs="CESI宋体-GB2312"/>
                <w:color w:val="auto"/>
                <w:highlight w:val="none"/>
                <w:lang w:eastAsia="zh-CN"/>
              </w:rPr>
              <w:t>签订日期：      年   月   日</w:t>
            </w:r>
          </w:p>
        </w:tc>
      </w:tr>
    </w:tbl>
    <w:p w14:paraId="33F9C7FC">
      <w:pPr>
        <w:rPr>
          <w:color w:val="auto"/>
          <w:highlight w:val="none"/>
        </w:rPr>
      </w:pPr>
    </w:p>
    <w:p w14:paraId="4BB8B226">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ESI宋体-GB2312">
    <w:altName w:val="宋体"/>
    <w:panose1 w:val="02000500000000000000"/>
    <w:charset w:val="86"/>
    <w:family w:val="script"/>
    <w:pitch w:val="default"/>
    <w:sig w:usb0="00000000" w:usb1="00000000" w:usb2="00000010"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21C33"/>
    <w:rsid w:val="7CC21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unhideWhenUsed/>
    <w:qFormat/>
    <w:uiPriority w:val="0"/>
    <w:pPr>
      <w:keepNext/>
      <w:keepLines/>
      <w:spacing w:before="120" w:beforeLines="0" w:beforeAutospacing="0" w:after="120" w:afterLines="0" w:afterAutospacing="0" w:line="240" w:lineRule="auto"/>
      <w:jc w:val="left"/>
      <w:outlineLvl w:val="3"/>
    </w:pPr>
    <w:rPr>
      <w:rFonts w:ascii="宋体" w:hAnsi="宋体" w:eastAsia="宋体"/>
      <w:b/>
      <w:sz w:val="28"/>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2025-06-16T06:07:00Z</dcterms:created>
  <dc:creator>我在
丶等风</dc:creator>
  <cp:lastModifiedBy>我在
丶等风</cp:lastModifiedBy>
  <dcterms:modified xsi:type="dcterms:W3CDTF">2025-06-16T06:08:11Z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BA14711FDA924EE189DDF65B76C9FAD7_11</vt:lpwstr>
  </property>
  <property fmtid="{D5CDD505-2E9C-101B-9397-08002B2CF9AE}" pid="4" name="KSOTemplateDocerSaveRecord">
    <vt:lpwstr>eyJoZGlkIjoiZDU5ZmUxYTc5ZjVhNjc2ZjlmNjIwZDE5NzZjZGZkMmMiLCJ1c2VySWQiOiIzMjExNjMxODcifQ==</vt:lpwstr>
  </property>
</Properties>
</file>