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版本号：HSGJ2025-14720250616001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采购档案密集架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HSGJ2025-147</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采购档案密集架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采购档案密集架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新业务楼10楼档案室因工作需要，需购买智能档案密集架，具体内容详见第三章。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 xml:space="preserve">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pPr>
        <w:pStyle w:val="null3"/>
      </w:pPr>
      <w:r>
        <w:rPr>
          <w:rFonts w:ascii="仿宋_GB2312" w:hAnsi="仿宋_GB2312" w:cs="仿宋_GB2312" w:eastAsia="仿宋_GB2312"/>
        </w:rPr>
        <w:t xml:space="preserve">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主要负责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9、承诺书：供应商提供非我站职工及其亲属投资举办的企业承诺书。</w:t>
      </w:r>
    </w:p>
    <w:p>
      <w:pPr>
        <w:pStyle w:val="null3"/>
      </w:pPr>
      <w:r>
        <w:rPr>
          <w:rFonts w:ascii="仿宋_GB2312" w:hAnsi="仿宋_GB2312" w:cs="仿宋_GB2312" w:eastAsia="仿宋_GB2312"/>
        </w:rPr>
        <w:t>10、质量保证承诺书：供应商提供质量保证承诺书。</w:t>
      </w:r>
    </w:p>
    <w:p>
      <w:pPr>
        <w:pStyle w:val="null3"/>
      </w:pPr>
      <w:r>
        <w:rPr>
          <w:rFonts w:ascii="仿宋_GB2312" w:hAnsi="仿宋_GB2312" w:cs="仿宋_GB2312" w:eastAsia="仿宋_GB2312"/>
        </w:rPr>
        <w:t>11、联合体投标：不接受联合体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瑚曼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转账事由：HSGJ2025-147项目代理服务费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新业务楼10楼档案室因工作需要，需购买智能档案密集架，具体内容详见第三章。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档案密集架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标的名称：档案密集架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left"/>
              <w:outlineLvl w:val="3"/>
            </w:pPr>
            <w:r>
              <w:rPr>
                <w:rFonts w:ascii="仿宋_GB2312" w:hAnsi="仿宋_GB2312" w:cs="仿宋_GB2312" w:eastAsia="仿宋_GB2312"/>
                <w:sz w:val="28"/>
                <w:b/>
                <w:color w:val="000000"/>
              </w:rPr>
              <w:t>一、采购内容</w:t>
            </w:r>
          </w:p>
          <w:p>
            <w:pPr>
              <w:pStyle w:val="null3"/>
              <w:jc w:val="left"/>
            </w:pPr>
            <w:r>
              <w:rPr>
                <w:rFonts w:ascii="仿宋_GB2312" w:hAnsi="仿宋_GB2312" w:cs="仿宋_GB2312" w:eastAsia="仿宋_GB2312"/>
                <w:sz w:val="21"/>
                <w:color w:val="000000"/>
              </w:rPr>
              <w:t>规定区域设计安装能满足我站业务档案存放的轨道式智能档案密集架</w:t>
            </w:r>
          </w:p>
          <w:p>
            <w:pPr>
              <w:pStyle w:val="null3"/>
              <w:jc w:val="left"/>
            </w:pPr>
            <w:r>
              <w:rPr>
                <w:rFonts w:ascii="仿宋_GB2312" w:hAnsi="仿宋_GB2312" w:cs="仿宋_GB2312" w:eastAsia="仿宋_GB2312"/>
                <w:sz w:val="21"/>
                <w:color w:val="000000"/>
              </w:rPr>
              <w:t>1.档案架安装位置面积约为61.44㎡，需在放置区域内按照要求提供设计方案。</w:t>
            </w:r>
          </w:p>
          <w:p>
            <w:pPr>
              <w:pStyle w:val="null3"/>
              <w:jc w:val="left"/>
            </w:pPr>
            <w:r>
              <w:rPr>
                <w:rFonts w:ascii="仿宋_GB2312" w:hAnsi="仿宋_GB2312" w:cs="仿宋_GB2312" w:eastAsia="仿宋_GB2312"/>
                <w:sz w:val="21"/>
                <w:color w:val="000000"/>
              </w:rPr>
              <w:t>2.密集档案架层数：6层以上。</w:t>
            </w:r>
          </w:p>
          <w:p>
            <w:pPr>
              <w:pStyle w:val="null3"/>
              <w:jc w:val="left"/>
            </w:pPr>
            <w:r>
              <w:rPr>
                <w:rFonts w:ascii="仿宋_GB2312" w:hAnsi="仿宋_GB2312" w:cs="仿宋_GB2312" w:eastAsia="仿宋_GB2312"/>
                <w:sz w:val="21"/>
                <w:color w:val="000000"/>
              </w:rPr>
              <w:t>3.密集档案架总体积：110m³以上。</w:t>
            </w:r>
          </w:p>
          <w:p>
            <w:pPr>
              <w:pStyle w:val="null3"/>
              <w:jc w:val="left"/>
            </w:pPr>
            <w:r>
              <w:rPr>
                <w:rFonts w:ascii="仿宋_GB2312" w:hAnsi="仿宋_GB2312" w:cs="仿宋_GB2312" w:eastAsia="仿宋_GB2312"/>
                <w:sz w:val="21"/>
                <w:color w:val="000000"/>
              </w:rPr>
              <w:t>4.项目总预算21万元。</w:t>
            </w:r>
          </w:p>
          <w:p>
            <w:pPr>
              <w:pStyle w:val="null3"/>
              <w:jc w:val="left"/>
              <w:outlineLvl w:val="3"/>
            </w:pPr>
            <w:r>
              <w:rPr>
                <w:rFonts w:ascii="仿宋_GB2312" w:hAnsi="仿宋_GB2312" w:cs="仿宋_GB2312" w:eastAsia="仿宋_GB2312"/>
                <w:sz w:val="28"/>
                <w:b/>
                <w:color w:val="000000"/>
              </w:rPr>
              <w:t>二、技术要求</w:t>
            </w:r>
          </w:p>
          <w:tbl>
            <w:tblPr>
              <w:tblInd w:type="dxa" w:w="135"/>
              <w:tblBorders>
                <w:top w:val="none" w:color="000000" w:sz="4"/>
                <w:left w:val="none" w:color="000000" w:sz="4"/>
                <w:bottom w:val="none" w:color="000000" w:sz="4"/>
                <w:right w:val="none" w:color="000000" w:sz="4"/>
                <w:insideH w:val="none"/>
                <w:insideV w:val="none"/>
              </w:tblBorders>
            </w:tblPr>
            <w:tblGrid>
              <w:gridCol w:w="347"/>
              <w:gridCol w:w="237"/>
              <w:gridCol w:w="135"/>
              <w:gridCol w:w="199"/>
              <w:gridCol w:w="1634"/>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参数分类</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color w:val="000000"/>
                    </w:rPr>
                    <w:t>参数描述</w:t>
                  </w:r>
                </w:p>
              </w:tc>
            </w:tr>
            <w:tr>
              <w:tc>
                <w:tcPr>
                  <w:tcW w:type="dxa" w:w="3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0"/>
                      <w:color w:val="000000"/>
                    </w:rPr>
                    <w:t>智能密集架</w:t>
                  </w:r>
                  <w:r>
                    <w:rPr>
                      <w:rFonts w:ascii="仿宋_GB2312" w:hAnsi="仿宋_GB2312" w:cs="仿宋_GB2312" w:eastAsia="仿宋_GB2312"/>
                      <w:sz w:val="30"/>
                      <w:color w:val="000000"/>
                    </w:rPr>
                    <w:t>（</w:t>
                  </w:r>
                  <w:r>
                    <w:rPr>
                      <w:rFonts w:ascii="仿宋_GB2312" w:hAnsi="仿宋_GB2312" w:cs="仿宋_GB2312" w:eastAsia="仿宋_GB2312"/>
                      <w:sz w:val="30"/>
                      <w:color w:val="000000"/>
                    </w:rPr>
                    <w:t>核心产品</w:t>
                  </w:r>
                  <w:r>
                    <w:rPr>
                      <w:rFonts w:ascii="仿宋_GB2312" w:hAnsi="仿宋_GB2312" w:cs="仿宋_GB2312" w:eastAsia="仿宋_GB2312"/>
                      <w:sz w:val="30"/>
                      <w:color w:val="000000"/>
                    </w:rPr>
                    <w:t>）</w:t>
                  </w: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架体参数</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规格尺寸</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档案架安装位置面积约为</w:t>
                  </w:r>
                  <w:r>
                    <w:rPr>
                      <w:rFonts w:ascii="仿宋_GB2312" w:hAnsi="仿宋_GB2312" w:cs="仿宋_GB2312" w:eastAsia="仿宋_GB2312"/>
                      <w:sz w:val="21"/>
                      <w:color w:val="000000"/>
                    </w:rPr>
                    <w:t>61.44㎡，需在放置区域内按照要求提供设计方案。</w:t>
                  </w:r>
                </w:p>
                <w:p>
                  <w:pPr>
                    <w:pStyle w:val="null3"/>
                    <w:numPr>
                      <w:ilvl w:val="0"/>
                      <w:numId w:val="1"/>
                    </w:numPr>
                    <w:jc w:val="left"/>
                  </w:pPr>
                  <w:r>
                    <w:rPr>
                      <w:rFonts w:ascii="仿宋_GB2312" w:hAnsi="仿宋_GB2312" w:cs="仿宋_GB2312" w:eastAsia="仿宋_GB2312"/>
                      <w:sz w:val="21"/>
                      <w:color w:val="000000"/>
                    </w:rPr>
                    <w:t>密集档案架层数：</w:t>
                  </w:r>
                  <w:r>
                    <w:rPr>
                      <w:rFonts w:ascii="仿宋_GB2312" w:hAnsi="仿宋_GB2312" w:cs="仿宋_GB2312" w:eastAsia="仿宋_GB2312"/>
                      <w:sz w:val="21"/>
                      <w:color w:val="000000"/>
                    </w:rPr>
                    <w:t>6层以上。</w:t>
                  </w:r>
                </w:p>
                <w:p>
                  <w:pPr>
                    <w:pStyle w:val="null3"/>
                    <w:numPr>
                      <w:ilvl w:val="0"/>
                      <w:numId w:val="1"/>
                    </w:numPr>
                    <w:jc w:val="left"/>
                  </w:pPr>
                  <w:r>
                    <w:rPr>
                      <w:rFonts w:ascii="仿宋_GB2312" w:hAnsi="仿宋_GB2312" w:cs="仿宋_GB2312" w:eastAsia="仿宋_GB2312"/>
                      <w:sz w:val="21"/>
                      <w:color w:val="000000"/>
                    </w:rPr>
                    <w:t>密集档案架总体积：</w:t>
                  </w:r>
                  <w:r>
                    <w:rPr>
                      <w:rFonts w:ascii="仿宋_GB2312" w:hAnsi="仿宋_GB2312" w:cs="仿宋_GB2312" w:eastAsia="仿宋_GB2312"/>
                      <w:sz w:val="21"/>
                      <w:color w:val="000000"/>
                    </w:rPr>
                    <w:t>110m³以上。</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执行标准</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中华人民共和国</w:t>
                  </w:r>
                  <w:r>
                    <w:rPr>
                      <w:rFonts w:ascii="仿宋_GB2312" w:hAnsi="仿宋_GB2312" w:cs="仿宋_GB2312" w:eastAsia="仿宋_GB2312"/>
                      <w:sz w:val="21"/>
                      <w:color w:val="000000"/>
                    </w:rPr>
                    <w:t>GB/T13667.3-2013 国家标准。</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DA/T7-92 国家档案局密集架行业要求。</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符合国家</w:t>
                  </w:r>
                  <w:r>
                    <w:rPr>
                      <w:rFonts w:ascii="仿宋_GB2312" w:hAnsi="仿宋_GB2312" w:cs="仿宋_GB2312" w:eastAsia="仿宋_GB2312"/>
                      <w:sz w:val="21"/>
                      <w:color w:val="000000"/>
                    </w:rPr>
                    <w:t>QB/T4371-2012 国家家具抗菌性能标准；</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符合国家</w:t>
                  </w:r>
                  <w:r>
                    <w:rPr>
                      <w:rFonts w:ascii="仿宋_GB2312" w:hAnsi="仿宋_GB2312" w:cs="仿宋_GB2312" w:eastAsia="仿宋_GB2312"/>
                      <w:sz w:val="21"/>
                      <w:color w:val="000000"/>
                    </w:rPr>
                    <w:t>GB/T1741-2020 漆膜耐霉菌性测定标准；</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符合国家</w:t>
                  </w:r>
                  <w:r>
                    <w:rPr>
                      <w:rFonts w:ascii="仿宋_GB2312" w:hAnsi="仿宋_GB2312" w:cs="仿宋_GB2312" w:eastAsia="仿宋_GB2312"/>
                      <w:sz w:val="21"/>
                      <w:color w:val="000000"/>
                    </w:rPr>
                    <w:t>GB/T708-2019 《冷轧钢板和钢带的尺寸、外型、重量及允许公差》；</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符合国家</w:t>
                  </w:r>
                  <w:r>
                    <w:rPr>
                      <w:rFonts w:ascii="仿宋_GB2312" w:hAnsi="仿宋_GB2312" w:cs="仿宋_GB2312" w:eastAsia="仿宋_GB2312"/>
                      <w:sz w:val="21"/>
                      <w:color w:val="000000"/>
                    </w:rPr>
                    <w:t>GB/T709-2019 《热轧钢板和钢带的尺寸、外型、重量及允许公差》；</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产品表面处理及质量符合钢铁工件涂前磷化处理技术条件。</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架体要求</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1、主体结构：搁(层)板、挂板、侧板、顶板、门板等采用冷轧钢板厚度≥1.0mm，搁(层)板承重能力强，每层承重≥80KG，挡棒采用优质冷轧钢板下冲折一体成型，厚度≥0.8mm。</w:t>
                  </w:r>
                </w:p>
                <w:p>
                  <w:pPr>
                    <w:pStyle w:val="null3"/>
                    <w:jc w:val="left"/>
                  </w:pPr>
                  <w:r>
                    <w:rPr>
                      <w:rFonts w:ascii="仿宋_GB2312" w:hAnsi="仿宋_GB2312" w:cs="仿宋_GB2312" w:eastAsia="仿宋_GB2312"/>
                      <w:sz w:val="21"/>
                      <w:color w:val="000000"/>
                    </w:rPr>
                    <w:t>2、立柱: 采用优质冷轧钢板，厚度≥1.5mm。</w:t>
                  </w:r>
                </w:p>
                <w:p>
                  <w:pPr>
                    <w:pStyle w:val="null3"/>
                    <w:jc w:val="left"/>
                  </w:pPr>
                  <w:r>
                    <w:rPr>
                      <w:rFonts w:ascii="仿宋_GB2312" w:hAnsi="仿宋_GB2312" w:cs="仿宋_GB2312" w:eastAsia="仿宋_GB2312"/>
                      <w:sz w:val="21"/>
                      <w:color w:val="000000"/>
                    </w:rPr>
                    <w:t>3、底盘：采用优质热轧钢板，厚度为≥3.0mm。</w:t>
                  </w:r>
                </w:p>
                <w:p>
                  <w:pPr>
                    <w:pStyle w:val="null3"/>
                    <w:jc w:val="left"/>
                  </w:pPr>
                  <w:r>
                    <w:rPr>
                      <w:rFonts w:ascii="仿宋_GB2312" w:hAnsi="仿宋_GB2312" w:cs="仿宋_GB2312" w:eastAsia="仿宋_GB2312"/>
                      <w:sz w:val="21"/>
                      <w:color w:val="000000"/>
                    </w:rPr>
                    <w:t>4、轨道：采用优质钢板厚度≥3.0mm，承载能力强，不易变形，轨芯采用20mm*20mm 实心方钢。</w:t>
                  </w:r>
                </w:p>
                <w:p>
                  <w:pPr>
                    <w:pStyle w:val="null3"/>
                    <w:jc w:val="left"/>
                  </w:pPr>
                  <w:r>
                    <w:rPr>
                      <w:rFonts w:ascii="仿宋_GB2312" w:hAnsi="仿宋_GB2312" w:cs="仿宋_GB2312" w:eastAsia="仿宋_GB2312"/>
                      <w:sz w:val="21"/>
                      <w:color w:val="000000"/>
                    </w:rPr>
                    <w:t>5、表面处理：防锈抗菌耐磨静电喷涂层</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传动机构</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传动机构主要由精铸铁滚轮、传动轴、连接管、调心轴承、精密滚子链条，机械式自脱超越离合摇手体、多级速比精制链轮等零</w:t>
                  </w:r>
                  <w:r>
                    <w:rPr>
                      <w:rFonts w:ascii="仿宋_GB2312" w:hAnsi="仿宋_GB2312" w:cs="仿宋_GB2312" w:eastAsia="仿宋_GB2312"/>
                      <w:sz w:val="21"/>
                      <w:color w:val="000000"/>
                    </w:rPr>
                    <w:t>(部)件组成。在负载情况下保持轻便、灵活、平稳，不得有失灵现象。</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防倾倒装置</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底部设有防倾倒装置，采用优质钢板，厚度</w:t>
                  </w:r>
                  <w:r>
                    <w:rPr>
                      <w:rFonts w:ascii="仿宋_GB2312" w:hAnsi="仿宋_GB2312" w:cs="仿宋_GB2312" w:eastAsia="仿宋_GB2312"/>
                      <w:sz w:val="21"/>
                      <w:color w:val="000000"/>
                    </w:rPr>
                    <w:t>≥3.0mm，确保在密集架运动过程中或静止状态下都能起到良好的防倾倒作用。</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密封装置</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密集架列与列之间密封装置采用磁性密封条，每列接触面均有缓冲及密封装置，具有良好的防震、防尘、防鼠、防光、</w:t>
                  </w:r>
                  <w:r>
                    <w:rPr>
                      <w:rFonts w:ascii="仿宋_GB2312" w:hAnsi="仿宋_GB2312" w:cs="仿宋_GB2312" w:eastAsia="仿宋_GB2312"/>
                      <w:sz w:val="21"/>
                      <w:color w:val="000000"/>
                    </w:rPr>
                    <w:t>防潮、防火功能。顶部有防尘板，每列架体上方安装防尘板，要求防尘、防光、防有害气体，底部有防鼠板，合拢后无缝隙，具有良好的防尘、防鼠、防火、防潮等功能。</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制动装置</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每列均装有刹车制动装置，每一列均可锁定，查阅资料和存放文件时能确保人身安全，存取更安全。每一组合团体均装有总锁装置，每个组合团体都可锁定。</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载重性能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1、搁板静载荷：搁板经静载荷试验后,不得有裂缝,最大挠度应</w:t>
                  </w:r>
                  <w:r>
                    <w:rPr>
                      <w:rFonts w:ascii="仿宋_GB2312" w:hAnsi="仿宋_GB2312" w:cs="仿宋_GB2312" w:eastAsia="仿宋_GB2312"/>
                      <w:sz w:val="21"/>
                      <w:color w:val="000000"/>
                    </w:rPr>
                    <w:t>≤</w:t>
                  </w:r>
                  <w:r>
                    <w:rPr>
                      <w:rFonts w:ascii="仿宋_GB2312" w:hAnsi="仿宋_GB2312" w:cs="仿宋_GB2312" w:eastAsia="仿宋_GB2312"/>
                      <w:sz w:val="21"/>
                      <w:color w:val="000000"/>
                    </w:rPr>
                    <w:t>4.0mm,残余变形量应</w:t>
                  </w:r>
                  <w:r>
                    <w:rPr>
                      <w:rFonts w:ascii="仿宋_GB2312" w:hAnsi="仿宋_GB2312" w:cs="仿宋_GB2312" w:eastAsia="仿宋_GB2312"/>
                      <w:sz w:val="21"/>
                      <w:color w:val="000000"/>
                    </w:rPr>
                    <w:t>≤</w:t>
                  </w:r>
                  <w:r>
                    <w:rPr>
                      <w:rFonts w:ascii="仿宋_GB2312" w:hAnsi="仿宋_GB2312" w:cs="仿宋_GB2312" w:eastAsia="仿宋_GB2312"/>
                      <w:sz w:val="21"/>
                      <w:color w:val="000000"/>
                    </w:rPr>
                    <w:t>0.30mm。</w:t>
                  </w:r>
                </w:p>
                <w:p>
                  <w:pPr>
                    <w:pStyle w:val="null3"/>
                    <w:jc w:val="left"/>
                  </w:pPr>
                  <w:r>
                    <w:rPr>
                      <w:rFonts w:ascii="仿宋_GB2312" w:hAnsi="仿宋_GB2312" w:cs="仿宋_GB2312" w:eastAsia="仿宋_GB2312"/>
                      <w:sz w:val="21"/>
                      <w:color w:val="000000"/>
                    </w:rPr>
                    <w:t>2、全静荷载：经24h连续试验卸载后，书架的挂板、搁板、立柱及其他结合部位应无塑性变形和其他异常现象。</w:t>
                  </w:r>
                </w:p>
                <w:p>
                  <w:pPr>
                    <w:pStyle w:val="null3"/>
                    <w:jc w:val="left"/>
                  </w:pPr>
                  <w:r>
                    <w:rPr>
                      <w:rFonts w:ascii="仿宋_GB2312" w:hAnsi="仿宋_GB2312" w:cs="仿宋_GB2312" w:eastAsia="仿宋_GB2312"/>
                      <w:sz w:val="21"/>
                      <w:color w:val="000000"/>
                    </w:rPr>
                    <w:t>3、载重运行：在全静载荷的情况下进行运行试验,架体应运动自如,不得有阻滞现象。手柄摇力应</w:t>
                  </w:r>
                  <w:r>
                    <w:rPr>
                      <w:rFonts w:ascii="仿宋_GB2312" w:hAnsi="仿宋_GB2312" w:cs="仿宋_GB2312" w:eastAsia="仿宋_GB2312"/>
                      <w:sz w:val="21"/>
                      <w:color w:val="000000"/>
                    </w:rPr>
                    <w:t>≤</w:t>
                  </w:r>
                  <w:r>
                    <w:rPr>
                      <w:rFonts w:ascii="仿宋_GB2312" w:hAnsi="仿宋_GB2312" w:cs="仿宋_GB2312" w:eastAsia="仿宋_GB2312"/>
                      <w:sz w:val="21"/>
                      <w:color w:val="000000"/>
                    </w:rPr>
                    <w:t>11.8N。</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制造要求</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1、板材的加工：在板材剪切下料、冲压、轧压等工序全部达到模具化、零件组合焊接从轨道、立柱、底盘的钻孔等工序，全部达到工具模具化，具有优良的互换性和协调性。</w:t>
                  </w:r>
                </w:p>
                <w:p>
                  <w:pPr>
                    <w:pStyle w:val="null3"/>
                    <w:jc w:val="left"/>
                  </w:pPr>
                  <w:r>
                    <w:rPr>
                      <w:rFonts w:ascii="仿宋_GB2312" w:hAnsi="仿宋_GB2312" w:cs="仿宋_GB2312" w:eastAsia="仿宋_GB2312"/>
                      <w:sz w:val="21"/>
                      <w:color w:val="000000"/>
                    </w:rPr>
                    <w:t>2、各零部件表面应光滑、平整、不应有尖角和突起；</w:t>
                  </w:r>
                </w:p>
                <w:p>
                  <w:pPr>
                    <w:pStyle w:val="null3"/>
                    <w:jc w:val="left"/>
                  </w:pPr>
                  <w:r>
                    <w:rPr>
                      <w:rFonts w:ascii="仿宋_GB2312" w:hAnsi="仿宋_GB2312" w:cs="仿宋_GB2312" w:eastAsia="仿宋_GB2312"/>
                      <w:sz w:val="21"/>
                      <w:color w:val="000000"/>
                    </w:rPr>
                    <w:t>3、焊接处应焊接牢固，焊痕光滑平整；</w:t>
                  </w:r>
                </w:p>
                <w:p>
                  <w:pPr>
                    <w:pStyle w:val="null3"/>
                    <w:jc w:val="left"/>
                  </w:pPr>
                  <w:r>
                    <w:rPr>
                      <w:rFonts w:ascii="仿宋_GB2312" w:hAnsi="仿宋_GB2312" w:cs="仿宋_GB2312" w:eastAsia="仿宋_GB2312"/>
                      <w:sz w:val="21"/>
                      <w:color w:val="000000"/>
                    </w:rPr>
                    <w:t>4、涂层表面应平整光滑，色泽均匀一致，不应有流挂、起粒、皱皮、露底、剥落、伤痕等缺陷。</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安装标准</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1、导轨偏差：单根导轨直线度应</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1.0mm/m，水平偏差</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1.0mm/m。</w:t>
                  </w:r>
                </w:p>
                <w:p>
                  <w:pPr>
                    <w:pStyle w:val="null3"/>
                    <w:jc w:val="left"/>
                  </w:pPr>
                  <w:r>
                    <w:rPr>
                      <w:rFonts w:ascii="仿宋_GB2312" w:hAnsi="仿宋_GB2312" w:cs="仿宋_GB2312" w:eastAsia="仿宋_GB2312"/>
                      <w:sz w:val="21"/>
                      <w:color w:val="000000"/>
                    </w:rPr>
                    <w:t>2、垂直度：立柱与底梁的垂直度应</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3、位差度：架列侧面相邻两平面的位差度应</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p>
              </w:tc>
            </w:tr>
            <w:tr>
              <w:tc>
                <w:tcPr>
                  <w:tcW w:type="dxa" w:w="347"/>
                  <w:vMerge/>
                  <w:tcBorders>
                    <w:top w:val="none" w:color="000000" w:sz="4"/>
                    <w:left w:val="single" w:color="000000" w:sz="4"/>
                    <w:bottom w:val="single" w:color="000000" w:sz="4"/>
                    <w:right w:val="single" w:color="000000" w:sz="4"/>
                  </w:tcBorders>
                </w:tcP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系统功能参数</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系统登录</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可在固定列上输入账号密码登录系统。</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系统自检功能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开机后，可进行自检功能。</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人机交互</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固定列采用</w:t>
                  </w:r>
                  <w:r>
                    <w:rPr>
                      <w:rFonts w:ascii="仿宋_GB2312" w:hAnsi="仿宋_GB2312" w:cs="仿宋_GB2312" w:eastAsia="仿宋_GB2312"/>
                      <w:sz w:val="21"/>
                      <w:color w:val="000000"/>
                    </w:rPr>
                    <w:t>≥15</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寸一体化触摸显示主机，</w:t>
                  </w:r>
                  <w:r>
                    <w:rPr>
                      <w:rFonts w:ascii="仿宋_GB2312" w:hAnsi="仿宋_GB2312" w:cs="仿宋_GB2312" w:eastAsia="仿宋_GB2312"/>
                      <w:sz w:val="21"/>
                      <w:color w:val="000000"/>
                    </w:rPr>
                    <w:t>活动列采用</w:t>
                  </w:r>
                  <w:r>
                    <w:rPr>
                      <w:rFonts w:ascii="仿宋_GB2312" w:hAnsi="仿宋_GB2312" w:cs="仿宋_GB2312" w:eastAsia="仿宋_GB2312"/>
                      <w:sz w:val="21"/>
                      <w:color w:val="000000"/>
                    </w:rPr>
                    <w:t>≥8</w:t>
                  </w:r>
                  <w:r>
                    <w:rPr>
                      <w:rFonts w:ascii="仿宋_GB2312" w:hAnsi="仿宋_GB2312" w:cs="仿宋_GB2312" w:eastAsia="仿宋_GB2312"/>
                      <w:sz w:val="21"/>
                      <w:color w:val="000000"/>
                    </w:rPr>
                    <w:t>英</w:t>
                  </w:r>
                  <w:r>
                    <w:rPr>
                      <w:rFonts w:ascii="仿宋_GB2312" w:hAnsi="仿宋_GB2312" w:cs="仿宋_GB2312" w:eastAsia="仿宋_GB2312"/>
                      <w:sz w:val="21"/>
                      <w:color w:val="000000"/>
                    </w:rPr>
                    <w:t>寸触控彩色显示屏。</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信息显示功能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通过点击图示的关键字查询、快速查询按钮，即可对系统录入的档案进行查询，档案查询功能支持按档案名称查询、档案编号查询、首字母查询、模糊查询等。</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架内人数统计</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显示进出架体的人员数量，当架内有人时，控制架体禁止运行。</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照明控制功能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可通过活动列触摸屏开启</w:t>
                  </w:r>
                  <w:r>
                    <w:rPr>
                      <w:rFonts w:ascii="仿宋_GB2312" w:hAnsi="仿宋_GB2312" w:cs="仿宋_GB2312" w:eastAsia="仿宋_GB2312"/>
                      <w:sz w:val="21"/>
                      <w:color w:val="000000"/>
                    </w:rPr>
                    <w:t>LED 照明灯，当检测到有人员进入活动列移动形成的通道后，LED照明灯应自动开启。当活动列闭架后，LED照明灯由开启状态转为关闭状态。</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活动列自动开架功能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在固定列、活动列触摸屏上查询到档案或条码扫描方式查询到档案后，档案所动开架功能在的固定列或活动列触摸屏上以图形形式显示档案所在层、节位置，同时自动开架。</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自动闭架功能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可按设定的无人操作闭架时间自动闭架，并可在固定列触摸屏上设置无人操作自动闭架时间。</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用户管理功能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软件具有不同等级用户权限限制，并可设置相应的用户登录密码。</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档案管理功能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可通过管理平台录入档案名称、编号。</w:t>
                  </w:r>
                </w:p>
                <w:p>
                  <w:pPr>
                    <w:pStyle w:val="null3"/>
                    <w:jc w:val="left"/>
                  </w:pPr>
                  <w:r>
                    <w:rPr>
                      <w:rFonts w:ascii="仿宋_GB2312" w:hAnsi="仿宋_GB2312" w:cs="仿宋_GB2312" w:eastAsia="仿宋_GB2312"/>
                      <w:sz w:val="21"/>
                      <w:color w:val="000000"/>
                    </w:rPr>
                    <w:t>可在管理平台上对指定的档案进行入库、上架、借阅、归还，删除并下发。</w:t>
                  </w:r>
                </w:p>
                <w:p>
                  <w:pPr>
                    <w:pStyle w:val="null3"/>
                    <w:jc w:val="left"/>
                  </w:pPr>
                  <w:r>
                    <w:rPr>
                      <w:rFonts w:ascii="仿宋_GB2312" w:hAnsi="仿宋_GB2312" w:cs="仿宋_GB2312" w:eastAsia="仿宋_GB2312"/>
                      <w:sz w:val="21"/>
                      <w:color w:val="000000"/>
                    </w:rPr>
                    <w:t>可通过管理平台导入或导出档案记录。</w:t>
                  </w:r>
                </w:p>
                <w:p>
                  <w:pPr>
                    <w:pStyle w:val="null3"/>
                    <w:jc w:val="left"/>
                  </w:pPr>
                  <w:r>
                    <w:rPr>
                      <w:rFonts w:ascii="仿宋_GB2312" w:hAnsi="仿宋_GB2312" w:cs="仿宋_GB2312" w:eastAsia="仿宋_GB2312"/>
                      <w:sz w:val="21"/>
                      <w:color w:val="000000"/>
                    </w:rPr>
                    <w:t>可通过管理平台添加档案类别。</w:t>
                  </w:r>
                </w:p>
                <w:p>
                  <w:pPr>
                    <w:pStyle w:val="null3"/>
                    <w:jc w:val="left"/>
                  </w:pPr>
                  <w:r>
                    <w:rPr>
                      <w:rFonts w:ascii="仿宋_GB2312" w:hAnsi="仿宋_GB2312" w:cs="仿宋_GB2312" w:eastAsia="仿宋_GB2312"/>
                      <w:sz w:val="21"/>
                      <w:color w:val="000000"/>
                    </w:rPr>
                    <w:t>可通过管理平台按列显示档案在库和出库数量。</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电子档案管理功能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可在管理平台上添加、删除和修改电子档案，并可显示电子档案内容。</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档案远程查询</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可通过输入档案名称、档案编号、档案条码、档案状态、档案类型、档案位置等信息进行档案查询，支持模糊查询及关键字查询，并且支持查询后远程开架。</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系统具备统计功能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可针对环境、档案、借阅记录、归还记录、报警信息、操作日志进行统计并且可对统计数据、图表数据进行导出。</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环境数据查看</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环境数据温度，湿度，可在固定列，移动列显示屏实时展示，并可查看温湿度报表和曲线。</w:t>
                  </w:r>
                </w:p>
              </w:tc>
            </w:tr>
            <w:tr>
              <w:tc>
                <w:tcPr>
                  <w:tcW w:type="dxa" w:w="347"/>
                  <w:vMerge/>
                  <w:tcBorders>
                    <w:top w:val="none" w:color="000000" w:sz="4"/>
                    <w:left w:val="single" w:color="000000" w:sz="4"/>
                    <w:bottom w:val="single" w:color="000000" w:sz="4"/>
                    <w:right w:val="single" w:color="000000" w:sz="4"/>
                  </w:tcBorders>
                </w:tcP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color w:val="000000"/>
                    </w:rPr>
                    <w:t>安全防护功能参数</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侧边红外传感功能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当活动列侧边红外对射传感器被触发后，活动列由解锁状态自动进入锁定状态。</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人员进出架体检测</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每个通道配置人员检测红外模块，对</w:t>
                  </w:r>
                  <w:r>
                    <w:rPr>
                      <w:rFonts w:ascii="仿宋_GB2312" w:hAnsi="仿宋_GB2312" w:cs="仿宋_GB2312" w:eastAsia="仿宋_GB2312"/>
                      <w:sz w:val="21"/>
                      <w:color w:val="000000"/>
                    </w:rPr>
                    <w:t>人员进入或者离开通道进行检测，进出人员都可以准确显示人数，以保证架内有人时系统锁定不能操作，无人时系统解锁。</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7</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到位检测功能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闭架时可通过非接触传感器检测活动列之间或活动列、固定列之间的移动到位状态。</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防夹保护功能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实现安全的密集架防夹保护功能，在所有传感器失效情况下，通过向密集架运动方向施加反向力能够可靠停止运行，且反向力大小可调节。</w:t>
                  </w:r>
                </w:p>
              </w:tc>
            </w:tr>
            <w:tr>
              <w:tc>
                <w:tcPr>
                  <w:tcW w:type="dxa" w:w="347"/>
                  <w:vMerge/>
                  <w:tcBorders>
                    <w:top w:val="none" w:color="000000" w:sz="4"/>
                    <w:left w:val="single" w:color="000000" w:sz="4"/>
                    <w:bottom w:val="single" w:color="000000" w:sz="4"/>
                    <w:right w:val="single" w:color="000000" w:sz="4"/>
                  </w:tcBorders>
                </w:tcPr>
                <w:p/>
              </w:tc>
              <w:tc>
                <w:tcPr>
                  <w:tcW w:type="dxa" w:w="237"/>
                  <w:vMerge/>
                  <w:tcBorders>
                    <w:top w:val="none" w:color="000000" w:sz="4"/>
                    <w:left w:val="single" w:color="000000" w:sz="4"/>
                    <w:bottom w:val="single" w:color="000000" w:sz="4"/>
                    <w:right w:val="single" w:color="000000" w:sz="4"/>
                  </w:tcBorders>
                </w:tcP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9</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机械锁锁定功能</w:t>
                  </w:r>
                </w:p>
              </w:tc>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在移动列上将机械锁锁定之后架体无法移动，在控制屏状态显示机械锁锁定，所有操作禁止。</w:t>
                  </w:r>
                </w:p>
              </w:tc>
            </w:tr>
          </w:tbl>
          <w:p>
            <w:pPr>
              <w:pStyle w:val="null3"/>
              <w:jc w:val="left"/>
            </w:pPr>
            <w:r>
              <w:rPr>
                <w:rFonts w:ascii="仿宋_GB2312" w:hAnsi="仿宋_GB2312" w:cs="仿宋_GB2312" w:eastAsia="仿宋_GB2312"/>
                <w:sz w:val="28"/>
                <w:b/>
                <w:color w:val="000000"/>
              </w:rPr>
              <w:t>三、服务要求</w:t>
            </w:r>
          </w:p>
          <w:p>
            <w:pPr>
              <w:pStyle w:val="null3"/>
              <w:jc w:val="left"/>
            </w:pPr>
            <w:r>
              <w:rPr>
                <w:rFonts w:ascii="仿宋_GB2312" w:hAnsi="仿宋_GB2312" w:cs="仿宋_GB2312" w:eastAsia="仿宋_GB2312"/>
                <w:sz w:val="21"/>
                <w:color w:val="000000"/>
              </w:rPr>
              <w:t>1.交付时间：30日历天；</w:t>
            </w:r>
          </w:p>
          <w:p>
            <w:pPr>
              <w:pStyle w:val="null3"/>
              <w:jc w:val="left"/>
            </w:pPr>
            <w:r>
              <w:rPr>
                <w:rFonts w:ascii="仿宋_GB2312" w:hAnsi="仿宋_GB2312" w:cs="仿宋_GB2312" w:eastAsia="仿宋_GB2312"/>
                <w:sz w:val="21"/>
                <w:color w:val="000000"/>
              </w:rPr>
              <w:t>2.交货要求：</w:t>
            </w:r>
            <w:r>
              <w:rPr>
                <w:rFonts w:ascii="仿宋_GB2312" w:hAnsi="仿宋_GB2312" w:cs="仿宋_GB2312" w:eastAsia="仿宋_GB2312"/>
                <w:sz w:val="21"/>
                <w:color w:val="000000"/>
              </w:rPr>
              <w:t>合同签定后接采购人通知后，在规定时间内完成该项目所需内容的的采购、制作、辅材、备件、包装、运输至采购人指定地点、安装、调试、验收、及售后服务等全部内容（由此所需发生的一切费用均应包含在报价中），直至交付采购人可以正常用的标准，安装完成后需保持地面完整。</w:t>
            </w:r>
          </w:p>
          <w:p>
            <w:pPr>
              <w:pStyle w:val="null3"/>
              <w:jc w:val="left"/>
            </w:pPr>
            <w:r>
              <w:rPr>
                <w:rFonts w:ascii="仿宋_GB2312" w:hAnsi="仿宋_GB2312" w:cs="仿宋_GB2312" w:eastAsia="仿宋_GB2312"/>
                <w:sz w:val="21"/>
                <w:color w:val="000000"/>
              </w:rPr>
              <w:t>3.质保期：大于等于3年；</w:t>
            </w:r>
          </w:p>
          <w:p>
            <w:pPr>
              <w:pStyle w:val="null3"/>
              <w:jc w:val="left"/>
            </w:pPr>
            <w:r>
              <w:rPr>
                <w:rFonts w:ascii="仿宋_GB2312" w:hAnsi="仿宋_GB2312" w:cs="仿宋_GB2312" w:eastAsia="仿宋_GB2312"/>
                <w:sz w:val="21"/>
                <w:color w:val="000000"/>
              </w:rPr>
              <w:t>4.应急服务</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提供紧急维修服务，市区内响应时间</w:t>
            </w:r>
            <w:r>
              <w:rPr>
                <w:rFonts w:ascii="仿宋_GB2312" w:hAnsi="仿宋_GB2312" w:cs="仿宋_GB2312" w:eastAsia="仿宋_GB2312"/>
                <w:sz w:val="21"/>
                <w:color w:val="000000"/>
              </w:rPr>
              <w:t>≤1小时，故障修复时间≤48小时。</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项目全部完成并交付采购人后，由采购人组织验收，经验收小组验收合格后付总合同价款的100%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步验收：按照验收依据对产品的规格、数量、包装等进行确认，对关键产品的技术指标、性能参数等进行抽检或逐项检查。若使用中发现缺陷，将视为产品验收不合格，供应商应无条件免费更换或退货。货物运送至交付地点时，乙方向甲方提供产品供货清单（注明品名、数量、生产厂家）以及产品使用过程中的所有资料，便于甲方收货和验收。初步验收合格的，甲方在产品供货清单中签字确认。 2、最终验收：甲方和乙方共同对项目整体进行验收，在全部货物配送完毕后15个日历日内完成。验收合格，乙方填写验收单，交付甲方签字生效。 3、验收依据：（1）采购文件、投标文件、澄清函；（2）国家及行业现行的标准和技术规范。 4、甲方在验收中发现货物质量不符合合同要求和验收标准或有异议时，应及时通知乙方，乙方应在接到通知后三天内给予答复，并负责处理，若需送法定质检部门检验，检验费用由乙方承担。如发现货物质量严重不符合质量要求的，甲方可通知乙方停止供货，解除合同。 5、若发现供应商有弄虚作假的，在招标阶段故意或随意夸大产品技术性能，乙方应无条件退货，并赔偿甲方相应的损失。 6、乙方向甲方提交的供货清单、验收单需加盖乙方鲜章，若无则甲方有权拒绝签字确认。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大于等于3年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1、甲乙双方所有争议应先采取友好协商的解决方式。 2、协商未达成一致意见的，任何一方可以向甲方所在地西安市雁塔区人民法院提起诉讼。 3、一方违约导致另一方采取法律途径维护合法权益的，违约方应承担守约方为维护权利而支出的案件受理费、保全费、保全保险费、律师费、交通费等全部诉讼费用。在诉讼期间，除双方有争议的部分，合同其他部分应该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提供投标截止时间前3个月内任意一个月份(投标截止时间当月不计入)的社会保障资金缴存单据或社保机构开具的社会保险参保缴费情况证明。依法不需要缴纳社会保障资金的供应商应提供相关文件证明；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技术偏离表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技术偏离表 中小企业声明函 报价表 分项报价明细表 法定代表人证明书及法定代表人授权书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技术偏离表 中小企业声明函 报价表 分项报价明细表 法定代表人证明书及法定代表人授权书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分项报价明细表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 分项报价明细表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根据供应商提供所投产品的技术指标（参数）及相应的证明材料（包括但不限于产品彩页或测试报告或官网和功能截图等技术支持性文件（资料），经评审专家审定得分。 基本分（24分）：完全符合、响应磋商文件要求，没有负偏离的得24分；参数负偏离一项扣3分，扣完为止。 注：磋商文件中的技术要求需提供相关证明材料。</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根据供应商所供产品的制作工艺流程、技术标准、材料材质、规格标准（产品检测报告或相关技术资料、说明书、彩页等） 进行综合比较。 产品检测报告或相关技术资料、说明书、彩页等完整详细，得11分； 产品检测报告或相关技术资料、说明书、彩页表述较完整，得9分； 产品检测报告或相关技术资料、说明书、彩页表述基本完整，得7分； 产品检测报告或相关技术资料、说明书、彩页等资料不完整，得5分； 产品检测报告或相关技术资料、说明书、彩页有缺失，得3分； 产品检测报告或相关技术资料、说明书、彩页等资料缺失较多，得1分； 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针对本项目提供具体的实施方案，方案内容包含①物流保障措施②配送方案③人员安排④培训方案⑤应急方案⑥验收方案； 评审标准：方案各部分内容全面详细、阐述条例清晰详尽、符合本项目采购需求得18分；评审内容每缺一项扣3分；评审内容有缺陷不满足采购需求的扣0.5-2.5分。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 评审标准：方案各部分内容全面详细、阐述条例清晰详尽、符合本项目采购需求得12分；评审内容每缺一项扣2分；评审内容有缺陷不满足采购需求的扣0.5-1.5分。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价格分采用低价优先法计算，即满足磋商文件要求且投标价格最低的投标报价为评标基准价，其价格分为满分。其他供应商的价格分统一按照下列公式计算： 投标报价得分=（评标基准价/有效报价）×价格权重（30%）×100 符合磋商文件规定的小型或微型企业或监狱企业或残疾人福利性单位优惠条件的投标人，价格给予10%的扣除，用扣除后的价格参与评审。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