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CAEBB">
      <w:pPr>
        <w:pStyle w:val="8"/>
        <w:spacing w:line="240" w:lineRule="auto"/>
        <w:jc w:val="center"/>
        <w:outlineLvl w:val="1"/>
        <w:rPr>
          <w:rFonts w:hint="eastAsia" w:ascii="宋体" w:hAnsi="宋体" w:eastAsia="宋体" w:cs="宋体"/>
        </w:rPr>
      </w:pPr>
      <w:r>
        <w:rPr>
          <w:rFonts w:hint="eastAsia" w:ascii="宋体" w:hAnsi="宋体" w:eastAsia="宋体" w:cs="宋体"/>
          <w:b/>
          <w:sz w:val="36"/>
        </w:rPr>
        <w:t>第七章 拟签订合同文本</w:t>
      </w:r>
    </w:p>
    <w:p w14:paraId="64983F3A">
      <w:pPr>
        <w:pStyle w:val="2"/>
        <w:pageBreakBefore w:val="0"/>
        <w:numPr>
          <w:ilvl w:val="0"/>
          <w:numId w:val="0"/>
        </w:numPr>
        <w:tabs>
          <w:tab w:val="center" w:pos="4153"/>
        </w:tabs>
        <w:kinsoku/>
        <w:wordWrap/>
        <w:overflowPunct/>
        <w:topLinePunct w:val="0"/>
        <w:bidi w:val="0"/>
        <w:snapToGrid/>
        <w:spacing w:before="0" w:after="0" w:line="240" w:lineRule="auto"/>
        <w:ind w:right="0" w:rightChars="0"/>
        <w:jc w:val="center"/>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西安市第一医院供货合同</w:t>
      </w:r>
    </w:p>
    <w:p w14:paraId="40E1C1E9">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合同编号：</w:t>
      </w:r>
    </w:p>
    <w:p w14:paraId="058DEA28">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签订地点：西安市第一医院（粉巷）</w:t>
      </w:r>
    </w:p>
    <w:p w14:paraId="4D4E12A2">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采购人（甲方）：西安市第一医院</w:t>
      </w:r>
    </w:p>
    <w:p w14:paraId="3C3F92E2">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供应商（乙方）： </w:t>
      </w:r>
    </w:p>
    <w:p w14:paraId="44707205">
      <w:pPr>
        <w:pStyle w:val="4"/>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供应商规模：  规模企业（大、中、小、微）</w:t>
      </w:r>
    </w:p>
    <w:p w14:paraId="7CBD4057">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招标公司： </w:t>
      </w:r>
    </w:p>
    <w:p w14:paraId="5A1BD672">
      <w:pPr>
        <w:keepNext w:val="0"/>
        <w:keepLines w:val="0"/>
        <w:pageBreakBefore w:val="0"/>
        <w:kinsoku/>
        <w:wordWrap/>
        <w:overflowPunct/>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招标时间：    年    月    日   ；  中标时间：    年    月   日</w:t>
      </w:r>
    </w:p>
    <w:p w14:paraId="24C45D7E">
      <w:pPr>
        <w:keepNext w:val="0"/>
        <w:keepLines w:val="0"/>
        <w:pageBreakBefore w:val="0"/>
        <w:kinsoku/>
        <w:wordWrap/>
        <w:overflowPunct/>
        <w:topLinePunct w:val="0"/>
        <w:bidi w:val="0"/>
        <w:snapToGrid/>
        <w:spacing w:after="0" w:line="240" w:lineRule="auto"/>
        <w:ind w:left="0" w:right="0" w:rightChars="0" w:firstLine="220" w:firstLineChars="1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履约结束日期：   年   月  日（可视验收具体情况向后顺延）</w:t>
      </w:r>
    </w:p>
    <w:p w14:paraId="66BAD446">
      <w:pPr>
        <w:pStyle w:val="9"/>
        <w:keepNext w:val="0"/>
        <w:keepLines w:val="0"/>
        <w:pageBreakBefore w:val="0"/>
        <w:kinsoku/>
        <w:wordWrap/>
        <w:overflowPunct/>
        <w:topLinePunct w:val="0"/>
        <w:bidi w:val="0"/>
        <w:snapToGrid/>
        <w:spacing w:before="0" w:after="0" w:line="240" w:lineRule="auto"/>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根据《中华人民共和国政府采购法》、《中华人民共和国民法典》及西安市第一医院医疗设备采购项目（项目编</w:t>
      </w:r>
      <w:r>
        <w:rPr>
          <w:rFonts w:hint="eastAsia" w:ascii="宋体" w:hAnsi="宋体" w:eastAsia="宋体" w:cs="宋体"/>
          <w:b w:val="0"/>
          <w:bCs/>
          <w:color w:val="000000" w:themeColor="text1"/>
          <w:kern w:val="0"/>
          <w:sz w:val="22"/>
          <w:szCs w:val="22"/>
          <w14:textFill>
            <w14:solidFill>
              <w14:schemeClr w14:val="tx1"/>
            </w14:solidFill>
          </w14:textFill>
        </w:rPr>
        <w:t>号及名称：</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kern w:val="0"/>
          <w:sz w:val="22"/>
          <w:szCs w:val="22"/>
          <w14:textFill>
            <w14:solidFill>
              <w14:schemeClr w14:val="tx1"/>
            </w14:solidFill>
          </w14:textFill>
        </w:rPr>
        <w:t>）</w:t>
      </w:r>
      <w:r>
        <w:rPr>
          <w:rFonts w:hint="eastAsia" w:ascii="宋体" w:hAnsi="宋体" w:eastAsia="宋体" w:cs="宋体"/>
          <w:b w:val="0"/>
          <w:bCs/>
          <w:color w:val="000000" w:themeColor="text1"/>
          <w:sz w:val="22"/>
          <w:szCs w:val="22"/>
          <w14:textFill>
            <w14:solidFill>
              <w14:schemeClr w14:val="tx1"/>
            </w14:solidFill>
          </w14:textFill>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5ECB681E">
      <w:pPr>
        <w:keepNext w:val="0"/>
        <w:keepLines w:val="0"/>
        <w:pageBreakBefore w:val="0"/>
        <w:kinsoku/>
        <w:wordWrap/>
        <w:overflowPunct/>
        <w:topLinePunct w:val="0"/>
        <w:bidi w:val="0"/>
        <w:snapToGrid/>
        <w:spacing w:after="0" w:line="240" w:lineRule="auto"/>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一、合同货物（配置清单附后）</w:t>
      </w:r>
    </w:p>
    <w:tbl>
      <w:tblPr>
        <w:tblStyle w:val="6"/>
        <w:tblW w:w="98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7"/>
        <w:gridCol w:w="878"/>
        <w:gridCol w:w="717"/>
        <w:gridCol w:w="750"/>
        <w:gridCol w:w="650"/>
        <w:gridCol w:w="1033"/>
        <w:gridCol w:w="1050"/>
        <w:gridCol w:w="917"/>
        <w:gridCol w:w="1450"/>
        <w:gridCol w:w="700"/>
        <w:gridCol w:w="799"/>
      </w:tblGrid>
      <w:tr w14:paraId="2BF382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1F5EC6BA">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货物品名</w:t>
            </w:r>
          </w:p>
        </w:tc>
        <w:tc>
          <w:tcPr>
            <w:tcW w:w="878" w:type="dxa"/>
            <w:tcBorders>
              <w:top w:val="single" w:color="auto" w:sz="4" w:space="0"/>
              <w:left w:val="single" w:color="auto" w:sz="4" w:space="0"/>
              <w:bottom w:val="single" w:color="auto" w:sz="4" w:space="0"/>
              <w:right w:val="single" w:color="auto" w:sz="4" w:space="0"/>
            </w:tcBorders>
            <w:noWrap w:val="0"/>
            <w:vAlign w:val="center"/>
          </w:tcPr>
          <w:p w14:paraId="5D96BBB2">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产地</w:t>
            </w:r>
          </w:p>
          <w:p w14:paraId="7176D181">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品牌</w:t>
            </w:r>
          </w:p>
        </w:tc>
        <w:tc>
          <w:tcPr>
            <w:tcW w:w="717" w:type="dxa"/>
            <w:tcBorders>
              <w:top w:val="single" w:color="auto" w:sz="4" w:space="0"/>
              <w:left w:val="single" w:color="auto" w:sz="4" w:space="0"/>
              <w:bottom w:val="single" w:color="auto" w:sz="4" w:space="0"/>
              <w:right w:val="single" w:color="auto" w:sz="4" w:space="0"/>
            </w:tcBorders>
            <w:noWrap w:val="0"/>
            <w:vAlign w:val="center"/>
          </w:tcPr>
          <w:p w14:paraId="51F7E50F">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规格</w:t>
            </w:r>
          </w:p>
          <w:p w14:paraId="7D14A9AD">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96DB306">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单位</w:t>
            </w:r>
          </w:p>
        </w:tc>
        <w:tc>
          <w:tcPr>
            <w:tcW w:w="650" w:type="dxa"/>
            <w:tcBorders>
              <w:top w:val="single" w:color="auto" w:sz="4" w:space="0"/>
              <w:left w:val="single" w:color="auto" w:sz="4" w:space="0"/>
              <w:bottom w:val="single" w:color="auto" w:sz="4" w:space="0"/>
              <w:right w:val="single" w:color="auto" w:sz="4" w:space="0"/>
            </w:tcBorders>
            <w:noWrap w:val="0"/>
            <w:vAlign w:val="center"/>
          </w:tcPr>
          <w:p w14:paraId="0E0931DF">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数量</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94A7BCF">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单价</w:t>
            </w:r>
          </w:p>
          <w:p w14:paraId="20292C6C">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（万元）</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6F9D94FF">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总价</w:t>
            </w:r>
          </w:p>
          <w:p w14:paraId="5CEE4D9B">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（万元）</w:t>
            </w:r>
          </w:p>
        </w:tc>
        <w:tc>
          <w:tcPr>
            <w:tcW w:w="917" w:type="dxa"/>
            <w:tcBorders>
              <w:top w:val="single" w:color="auto" w:sz="4" w:space="0"/>
              <w:left w:val="single" w:color="auto" w:sz="4" w:space="0"/>
              <w:bottom w:val="single" w:color="auto" w:sz="4" w:space="0"/>
              <w:right w:val="single" w:color="auto" w:sz="4" w:space="0"/>
            </w:tcBorders>
            <w:noWrap w:val="0"/>
            <w:vAlign w:val="center"/>
          </w:tcPr>
          <w:p w14:paraId="5C473728">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随机</w:t>
            </w:r>
          </w:p>
          <w:p w14:paraId="477F25D9">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配件</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340639EB">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交货期</w:t>
            </w:r>
          </w:p>
        </w:tc>
        <w:tc>
          <w:tcPr>
            <w:tcW w:w="700" w:type="dxa"/>
            <w:tcBorders>
              <w:top w:val="single" w:color="auto" w:sz="4" w:space="0"/>
              <w:left w:val="single" w:color="auto" w:sz="4" w:space="0"/>
              <w:bottom w:val="single" w:color="auto" w:sz="4" w:space="0"/>
              <w:right w:val="single" w:color="auto" w:sz="4" w:space="0"/>
            </w:tcBorders>
            <w:noWrap w:val="0"/>
            <w:vAlign w:val="top"/>
          </w:tcPr>
          <w:p w14:paraId="5A0DE372">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使用科室</w:t>
            </w:r>
          </w:p>
        </w:tc>
        <w:tc>
          <w:tcPr>
            <w:tcW w:w="799" w:type="dxa"/>
            <w:tcBorders>
              <w:top w:val="single" w:color="auto" w:sz="4" w:space="0"/>
              <w:left w:val="single" w:color="auto" w:sz="4" w:space="0"/>
              <w:bottom w:val="single" w:color="auto" w:sz="4" w:space="0"/>
              <w:right w:val="single" w:color="auto" w:sz="4" w:space="0"/>
            </w:tcBorders>
            <w:noWrap w:val="0"/>
            <w:vAlign w:val="top"/>
          </w:tcPr>
          <w:p w14:paraId="1B05E170">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资金类型</w:t>
            </w:r>
          </w:p>
        </w:tc>
      </w:tr>
      <w:tr w14:paraId="33AB71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69EC457C">
            <w:pPr>
              <w:pStyle w:val="10"/>
              <w:keepNext w:val="0"/>
              <w:keepLines w:val="0"/>
              <w:pageBreakBefore w:val="0"/>
              <w:kinsoku/>
              <w:wordWrap/>
              <w:overflowPunct/>
              <w:topLinePunct w:val="0"/>
              <w:bidi w:val="0"/>
              <w:snapToGrid/>
              <w:spacing w:after="0" w:line="240" w:lineRule="auto"/>
              <w:ind w:left="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878" w:type="dxa"/>
            <w:tcBorders>
              <w:top w:val="single" w:color="auto" w:sz="4" w:space="0"/>
              <w:left w:val="single" w:color="auto" w:sz="4" w:space="0"/>
              <w:bottom w:val="single" w:color="auto" w:sz="4" w:space="0"/>
              <w:right w:val="single" w:color="auto" w:sz="4" w:space="0"/>
            </w:tcBorders>
            <w:noWrap w:val="0"/>
            <w:vAlign w:val="center"/>
          </w:tcPr>
          <w:p w14:paraId="10CFF9D7">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17" w:type="dxa"/>
            <w:tcBorders>
              <w:top w:val="single" w:color="auto" w:sz="4" w:space="0"/>
              <w:left w:val="single" w:color="auto" w:sz="4" w:space="0"/>
              <w:bottom w:val="single" w:color="auto" w:sz="4" w:space="0"/>
              <w:right w:val="single" w:color="auto" w:sz="4" w:space="0"/>
            </w:tcBorders>
            <w:noWrap w:val="0"/>
            <w:vAlign w:val="center"/>
          </w:tcPr>
          <w:p w14:paraId="286B8A43">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2E2B49AD">
            <w:pPr>
              <w:keepNext w:val="0"/>
              <w:keepLines w:val="0"/>
              <w:pageBreakBefore w:val="0"/>
              <w:kinsoku/>
              <w:wordWrap/>
              <w:overflowPunct/>
              <w:topLinePunct w:val="0"/>
              <w:bidi w:val="0"/>
              <w:snapToGrid/>
              <w:spacing w:after="0" w:line="240" w:lineRule="auto"/>
              <w:ind w:left="0" w:right="0" w:rightChars="0" w:firstLine="110" w:firstLineChars="50"/>
              <w:jc w:val="center"/>
              <w:rPr>
                <w:rFonts w:hint="eastAsia" w:ascii="宋体" w:hAnsi="宋体" w:eastAsia="宋体" w:cs="宋体"/>
                <w:b w:val="0"/>
                <w:bCs/>
                <w:color w:val="000000" w:themeColor="text1"/>
                <w:sz w:val="22"/>
                <w:szCs w:val="22"/>
                <w14:textFill>
                  <w14:solidFill>
                    <w14:schemeClr w14:val="tx1"/>
                  </w14:solidFill>
                </w14:textFill>
              </w:rPr>
            </w:pPr>
          </w:p>
        </w:tc>
        <w:tc>
          <w:tcPr>
            <w:tcW w:w="650" w:type="dxa"/>
            <w:tcBorders>
              <w:top w:val="single" w:color="auto" w:sz="4" w:space="0"/>
              <w:left w:val="single" w:color="auto" w:sz="4" w:space="0"/>
              <w:bottom w:val="single" w:color="auto" w:sz="4" w:space="0"/>
              <w:right w:val="single" w:color="auto" w:sz="4" w:space="0"/>
            </w:tcBorders>
            <w:noWrap w:val="0"/>
            <w:vAlign w:val="center"/>
          </w:tcPr>
          <w:p w14:paraId="62337F24">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695D59EE">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B480A4F">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917" w:type="dxa"/>
            <w:tcBorders>
              <w:top w:val="single" w:color="auto" w:sz="4" w:space="0"/>
              <w:left w:val="single" w:color="auto" w:sz="4" w:space="0"/>
              <w:right w:val="single" w:color="auto" w:sz="4" w:space="0"/>
            </w:tcBorders>
            <w:noWrap w:val="0"/>
            <w:vAlign w:val="center"/>
          </w:tcPr>
          <w:p w14:paraId="7B6D03B9">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详见配置清单</w:t>
            </w:r>
          </w:p>
        </w:tc>
        <w:tc>
          <w:tcPr>
            <w:tcW w:w="1450" w:type="dxa"/>
            <w:tcBorders>
              <w:top w:val="single" w:color="auto" w:sz="4" w:space="0"/>
              <w:left w:val="single" w:color="auto" w:sz="4" w:space="0"/>
              <w:right w:val="single" w:color="auto" w:sz="4" w:space="0"/>
            </w:tcBorders>
            <w:noWrap w:val="0"/>
            <w:vAlign w:val="center"/>
          </w:tcPr>
          <w:p w14:paraId="3EFC32E6">
            <w:pPr>
              <w:keepNext w:val="0"/>
              <w:keepLines w:val="0"/>
              <w:pageBreakBefore w:val="0"/>
              <w:kinsoku/>
              <w:wordWrap/>
              <w:overflowPunct/>
              <w:topLinePunct w:val="0"/>
              <w:bidi w:val="0"/>
              <w:snapToGrid/>
              <w:spacing w:after="0" w:line="240" w:lineRule="auto"/>
              <w:ind w:left="0" w:right="0" w:rightChars="0" w:firstLine="0"/>
              <w:jc w:val="both"/>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合同签订后XX个日历日内</w:t>
            </w:r>
          </w:p>
        </w:tc>
        <w:tc>
          <w:tcPr>
            <w:tcW w:w="700" w:type="dxa"/>
            <w:tcBorders>
              <w:top w:val="single" w:color="auto" w:sz="4" w:space="0"/>
              <w:left w:val="single" w:color="auto" w:sz="4" w:space="0"/>
              <w:right w:val="single" w:color="auto" w:sz="4" w:space="0"/>
            </w:tcBorders>
            <w:noWrap w:val="0"/>
            <w:vAlign w:val="top"/>
          </w:tcPr>
          <w:p w14:paraId="7FEE5BEC">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99" w:type="dxa"/>
            <w:tcBorders>
              <w:top w:val="single" w:color="auto" w:sz="4" w:space="0"/>
              <w:left w:val="single" w:color="auto" w:sz="4" w:space="0"/>
              <w:right w:val="single" w:color="auto" w:sz="4" w:space="0"/>
            </w:tcBorders>
            <w:noWrap w:val="0"/>
            <w:vAlign w:val="top"/>
          </w:tcPr>
          <w:p w14:paraId="422A64FB">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r>
      <w:tr w14:paraId="38CDCF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2E33F8E6">
            <w:pPr>
              <w:keepNext w:val="0"/>
              <w:keepLines w:val="0"/>
              <w:pageBreakBefore w:val="0"/>
              <w:kinsoku/>
              <w:wordWrap/>
              <w:overflowPunct/>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合计</w:t>
            </w:r>
          </w:p>
        </w:tc>
        <w:tc>
          <w:tcPr>
            <w:tcW w:w="7445" w:type="dxa"/>
            <w:gridSpan w:val="8"/>
            <w:tcBorders>
              <w:top w:val="single" w:color="auto" w:sz="4" w:space="0"/>
              <w:left w:val="single" w:color="auto" w:sz="4" w:space="0"/>
              <w:bottom w:val="single" w:color="auto" w:sz="4" w:space="0"/>
              <w:right w:val="single" w:color="auto" w:sz="4" w:space="0"/>
            </w:tcBorders>
            <w:noWrap w:val="0"/>
            <w:vAlign w:val="center"/>
          </w:tcPr>
          <w:p w14:paraId="48065186">
            <w:pPr>
              <w:keepNext w:val="0"/>
              <w:keepLines w:val="0"/>
              <w:pageBreakBefore w:val="0"/>
              <w:kinsoku/>
              <w:wordWrap/>
              <w:overflowPunct/>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人民币（大写）：</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元）</w:t>
            </w:r>
          </w:p>
        </w:tc>
        <w:tc>
          <w:tcPr>
            <w:tcW w:w="700" w:type="dxa"/>
            <w:tcBorders>
              <w:top w:val="single" w:color="auto" w:sz="4" w:space="0"/>
              <w:left w:val="single" w:color="auto" w:sz="4" w:space="0"/>
              <w:bottom w:val="single" w:color="auto" w:sz="4" w:space="0"/>
              <w:right w:val="single" w:color="auto" w:sz="4" w:space="0"/>
            </w:tcBorders>
            <w:noWrap w:val="0"/>
            <w:vAlign w:val="top"/>
          </w:tcPr>
          <w:p w14:paraId="449B57D4">
            <w:pPr>
              <w:keepNext w:val="0"/>
              <w:keepLines w:val="0"/>
              <w:pageBreakBefore w:val="0"/>
              <w:kinsoku/>
              <w:wordWrap/>
              <w:overflowPunct/>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6F336D0E">
            <w:pPr>
              <w:keepNext w:val="0"/>
              <w:keepLines w:val="0"/>
              <w:pageBreakBefore w:val="0"/>
              <w:kinsoku/>
              <w:wordWrap/>
              <w:overflowPunct/>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p>
        </w:tc>
      </w:tr>
    </w:tbl>
    <w:p w14:paraId="10CA8C80">
      <w:pPr>
        <w:keepNext w:val="0"/>
        <w:keepLines w:val="0"/>
        <w:pageBreakBefore w:val="0"/>
        <w:kinsoku/>
        <w:wordWrap/>
        <w:overflowPunct/>
        <w:topLinePunct w:val="0"/>
        <w:bidi w:val="0"/>
        <w:snapToGrid/>
        <w:spacing w:after="0" w:line="240" w:lineRule="auto"/>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耗材清单：</w:t>
      </w:r>
    </w:p>
    <w:tbl>
      <w:tblPr>
        <w:tblStyle w:val="6"/>
        <w:tblW w:w="964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1093"/>
        <w:gridCol w:w="1264"/>
        <w:gridCol w:w="2033"/>
        <w:gridCol w:w="1125"/>
        <w:gridCol w:w="1128"/>
        <w:gridCol w:w="686"/>
        <w:gridCol w:w="1221"/>
        <w:gridCol w:w="857"/>
      </w:tblGrid>
      <w:tr w14:paraId="1EA6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9" w:type="dxa"/>
            <w:gridSpan w:val="2"/>
            <w:noWrap w:val="0"/>
            <w:vAlign w:val="center"/>
          </w:tcPr>
          <w:p w14:paraId="2DE66041">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设备名称</w:t>
            </w:r>
          </w:p>
        </w:tc>
        <w:tc>
          <w:tcPr>
            <w:tcW w:w="1264" w:type="dxa"/>
            <w:noWrap w:val="0"/>
            <w:vAlign w:val="top"/>
          </w:tcPr>
          <w:p w14:paraId="4B2E2207">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耗材名称</w:t>
            </w:r>
          </w:p>
        </w:tc>
        <w:tc>
          <w:tcPr>
            <w:tcW w:w="2033" w:type="dxa"/>
            <w:noWrap w:val="0"/>
            <w:vAlign w:val="top"/>
          </w:tcPr>
          <w:p w14:paraId="4076A71E">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阳光挂网组件编号</w:t>
            </w:r>
          </w:p>
        </w:tc>
        <w:tc>
          <w:tcPr>
            <w:tcW w:w="1125" w:type="dxa"/>
            <w:noWrap w:val="0"/>
            <w:vAlign w:val="top"/>
          </w:tcPr>
          <w:p w14:paraId="60060059">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产地品牌</w:t>
            </w:r>
          </w:p>
        </w:tc>
        <w:tc>
          <w:tcPr>
            <w:tcW w:w="1128" w:type="dxa"/>
            <w:noWrap w:val="0"/>
            <w:vAlign w:val="center"/>
          </w:tcPr>
          <w:p w14:paraId="14E35975">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规格型号</w:t>
            </w:r>
          </w:p>
        </w:tc>
        <w:tc>
          <w:tcPr>
            <w:tcW w:w="686" w:type="dxa"/>
            <w:noWrap w:val="0"/>
            <w:vAlign w:val="center"/>
          </w:tcPr>
          <w:p w14:paraId="0B702373">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单位</w:t>
            </w:r>
          </w:p>
        </w:tc>
        <w:tc>
          <w:tcPr>
            <w:tcW w:w="1221" w:type="dxa"/>
            <w:noWrap w:val="0"/>
            <w:vAlign w:val="center"/>
          </w:tcPr>
          <w:p w14:paraId="07782334">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单价（元）</w:t>
            </w:r>
          </w:p>
        </w:tc>
        <w:tc>
          <w:tcPr>
            <w:tcW w:w="857" w:type="dxa"/>
            <w:noWrap w:val="0"/>
            <w:vAlign w:val="center"/>
          </w:tcPr>
          <w:p w14:paraId="4BF79FD4">
            <w:pPr>
              <w:keepNext w:val="0"/>
              <w:keepLines w:val="0"/>
              <w:pageBreakBefore w:val="0"/>
              <w:kinsoku/>
              <w:wordWrap/>
              <w:overflowPunct/>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备注</w:t>
            </w:r>
          </w:p>
        </w:tc>
      </w:tr>
      <w:tr w14:paraId="57550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329" w:type="dxa"/>
            <w:gridSpan w:val="2"/>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244A9D6">
            <w:pPr>
              <w:keepNext w:val="0"/>
              <w:keepLines w:val="0"/>
              <w:pageBreakBefore w:val="0"/>
              <w:kinsoku/>
              <w:wordWrap/>
              <w:overflowPunct/>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p>
        </w:tc>
        <w:tc>
          <w:tcPr>
            <w:tcW w:w="126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59CF272">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2033"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06E1C7D">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759F571">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12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21BB49B">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68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F4CDB8C">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22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2A71D5E">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857" w:type="dxa"/>
            <w:tcBorders>
              <w:top w:val="single" w:color="auto" w:sz="4" w:space="0"/>
              <w:left w:val="single" w:color="auto" w:sz="4" w:space="0"/>
              <w:bottom w:val="single" w:color="auto" w:sz="4" w:space="0"/>
            </w:tcBorders>
            <w:shd w:val="clear" w:color="000000" w:fill="FFFFFF"/>
            <w:noWrap w:val="0"/>
            <w:vAlign w:val="center"/>
          </w:tcPr>
          <w:p w14:paraId="341D0E0F">
            <w:pPr>
              <w:keepNext w:val="0"/>
              <w:keepLines w:val="0"/>
              <w:pageBreakBefore w:val="0"/>
              <w:kinsoku/>
              <w:wordWrap/>
              <w:overflowPunct/>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r>
      <w:tr w14:paraId="1A08D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6" w:type="dxa"/>
            <w:tcBorders>
              <w:top w:val="single" w:color="auto" w:sz="4" w:space="0"/>
              <w:left w:val="single" w:color="auto" w:sz="4" w:space="0"/>
              <w:bottom w:val="single" w:color="auto" w:sz="4" w:space="0"/>
            </w:tcBorders>
            <w:shd w:val="clear" w:color="000000" w:fill="FFFFFF"/>
            <w:noWrap w:val="0"/>
            <w:vAlign w:val="top"/>
          </w:tcPr>
          <w:p w14:paraId="78D004D3">
            <w:pPr>
              <w:keepNext w:val="0"/>
              <w:keepLines w:val="0"/>
              <w:pageBreakBefore w:val="0"/>
              <w:kinsoku/>
              <w:wordWrap/>
              <w:overflowPunct/>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p>
        </w:tc>
        <w:tc>
          <w:tcPr>
            <w:tcW w:w="9407" w:type="dxa"/>
            <w:gridSpan w:val="8"/>
            <w:tcBorders>
              <w:top w:val="single" w:color="auto" w:sz="4" w:space="0"/>
              <w:left w:val="single" w:color="auto" w:sz="4" w:space="0"/>
              <w:bottom w:val="single" w:color="auto" w:sz="4" w:space="0"/>
            </w:tcBorders>
            <w:shd w:val="clear" w:color="000000" w:fill="FFFFFF"/>
            <w:noWrap w:val="0"/>
            <w:vAlign w:val="center"/>
          </w:tcPr>
          <w:p w14:paraId="59C63522">
            <w:pPr>
              <w:keepNext w:val="0"/>
              <w:keepLines w:val="0"/>
              <w:pageBreakBefore w:val="0"/>
              <w:kinsoku/>
              <w:wordWrap/>
              <w:overflowPunct/>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备注：耗材价格不包含在总报价里，此价格为最高限价</w:t>
            </w:r>
          </w:p>
        </w:tc>
      </w:tr>
    </w:tbl>
    <w:p w14:paraId="49384E1B">
      <w:pPr>
        <w:keepNext w:val="0"/>
        <w:keepLines w:val="0"/>
        <w:pageBreakBefore w:val="0"/>
        <w:kinsoku/>
        <w:wordWrap/>
        <w:overflowPunct/>
        <w:topLinePunct w:val="0"/>
        <w:bidi w:val="0"/>
        <w:snapToGrid/>
        <w:spacing w:after="0" w:line="280" w:lineRule="exact"/>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二、合同总价</w:t>
      </w:r>
    </w:p>
    <w:p w14:paraId="2F9A807E">
      <w:pPr>
        <w:pStyle w:val="3"/>
        <w:keepNext w:val="0"/>
        <w:keepLines w:val="0"/>
        <w:pageBreakBefore w:val="0"/>
        <w:kinsoku/>
        <w:wordWrap/>
        <w:overflowPunct/>
        <w:topLinePunct w:val="0"/>
        <w:bidi w:val="0"/>
        <w:snapToGrid/>
        <w:spacing w:before="0" w:after="0" w:line="280" w:lineRule="exact"/>
        <w:ind w:left="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合同总价为人民币大写：</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，即RMB¥</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元；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59033A8B">
      <w:pPr>
        <w:pStyle w:val="3"/>
        <w:keepNext w:val="0"/>
        <w:keepLines w:val="0"/>
        <w:pageBreakBefore w:val="0"/>
        <w:numPr>
          <w:ilvl w:val="0"/>
          <w:numId w:val="0"/>
        </w:numPr>
        <w:kinsoku/>
        <w:wordWrap/>
        <w:overflowPunct/>
        <w:topLinePunct w:val="0"/>
        <w:bidi w:val="0"/>
        <w:snapToGrid/>
        <w:spacing w:before="0" w:after="0" w:line="280" w:lineRule="exact"/>
        <w:ind w:leftChars="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三、</w:t>
      </w:r>
      <w:r>
        <w:rPr>
          <w:rFonts w:hint="eastAsia" w:ascii="宋体" w:hAnsi="宋体" w:eastAsia="宋体" w:cs="宋体"/>
          <w:b w:val="0"/>
          <w:bCs/>
          <w:color w:val="000000" w:themeColor="text1"/>
          <w:sz w:val="22"/>
          <w:szCs w:val="22"/>
          <w14:textFill>
            <w14:solidFill>
              <w14:schemeClr w14:val="tx1"/>
            </w14:solidFill>
          </w14:textFill>
        </w:rPr>
        <w:t>交货地点：西安市第一医院（甲方指定地点）</w:t>
      </w:r>
    </w:p>
    <w:p w14:paraId="4EFF56A3">
      <w:pPr>
        <w:pStyle w:val="3"/>
        <w:keepNext w:val="0"/>
        <w:keepLines w:val="0"/>
        <w:pageBreakBefore w:val="0"/>
        <w:kinsoku/>
        <w:wordWrap/>
        <w:overflowPunct/>
        <w:topLinePunct w:val="0"/>
        <w:bidi w:val="0"/>
        <w:snapToGrid/>
        <w:spacing w:before="0"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注意：包装箱及拆箱、安装和调试产生的垃圾请带出院外自行处理。</w:t>
      </w:r>
    </w:p>
    <w:p w14:paraId="3ACB8089">
      <w:pPr>
        <w:pStyle w:val="3"/>
        <w:keepNext w:val="0"/>
        <w:keepLines w:val="0"/>
        <w:pageBreakBefore w:val="0"/>
        <w:kinsoku/>
        <w:wordWrap/>
        <w:overflowPunct/>
        <w:topLinePunct w:val="0"/>
        <w:bidi w:val="0"/>
        <w:snapToGrid/>
        <w:spacing w:before="0" w:after="0" w:line="280" w:lineRule="exact"/>
        <w:ind w:left="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四、质量要求</w:t>
      </w:r>
    </w:p>
    <w:p w14:paraId="07E778A5">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1、乙方须提供全新的货物（含零部件、配件等），表面无划伤、无碰撞痕迹，且权属清楚，不得侵害他人的知识产权。</w:t>
      </w:r>
    </w:p>
    <w:p w14:paraId="45DCB880">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2、货物必须符合国家</w:t>
      </w:r>
      <w:r>
        <w:rPr>
          <w:rFonts w:hint="eastAsia" w:ascii="宋体" w:hAnsi="宋体" w:eastAsia="宋体" w:cs="宋体"/>
          <w:b w:val="0"/>
          <w:bCs/>
          <w:color w:val="000000" w:themeColor="text1"/>
          <w:sz w:val="22"/>
          <w:szCs w:val="22"/>
          <w:lang w:eastAsia="zh-CN"/>
          <w14:textFill>
            <w14:solidFill>
              <w14:schemeClr w14:val="tx1"/>
            </w14:solidFill>
          </w14:textFill>
        </w:rPr>
        <w:t>或</w:t>
      </w:r>
      <w:r>
        <w:rPr>
          <w:rFonts w:hint="eastAsia" w:ascii="宋体" w:hAnsi="宋体" w:eastAsia="宋体" w:cs="宋体"/>
          <w:b w:val="0"/>
          <w:bCs/>
          <w:color w:val="000000" w:themeColor="text1"/>
          <w:sz w:val="22"/>
          <w:szCs w:val="22"/>
          <w14:textFill>
            <w14:solidFill>
              <w14:schemeClr w14:val="tx1"/>
            </w14:solidFill>
          </w14:textFill>
        </w:rPr>
        <w:t>行业标准，以及本项目招标文件的质量要求和技术指标与出厂标准。</w:t>
      </w:r>
    </w:p>
    <w:p w14:paraId="3C321C5D">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3、货物质量出现问题，乙方应在三日内负责包换或包退，产生的费用由乙方负担，甲方有权监督质询乙方提供的货物质量和生产、运输进度。</w:t>
      </w:r>
    </w:p>
    <w:p w14:paraId="4FFB301B">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4、货到现场后由于甲方保管不当影响货物质量或被损坏，乙方应负责维修或更换被损坏的部件，因此产生的费用由甲方负担。</w:t>
      </w:r>
    </w:p>
    <w:p w14:paraId="40A3B5CB">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5、因乙方所供设备质量问题引发的一切纠纷及损失由乙方承担责任，给甲方造成损失的乙方应当承担赔偿责任。</w:t>
      </w:r>
    </w:p>
    <w:p w14:paraId="19E48BA9">
      <w:pPr>
        <w:keepNext w:val="0"/>
        <w:keepLines w:val="0"/>
        <w:pageBreakBefore w:val="0"/>
        <w:kinsoku/>
        <w:wordWrap/>
        <w:overflowPunct/>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五、交货及验收</w:t>
      </w:r>
    </w:p>
    <w:p w14:paraId="63DEB33E">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交货期限为合同签订生效后的XX日内，在合同签订生效之日起XX天内交货到甲方指定地点，乙方应在3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63B024AA">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2、验收由甲方组织，乙方配合进行：</w:t>
      </w:r>
    </w:p>
    <w:p w14:paraId="5DE871BC">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 货物在乙方通知安装调试完毕后3日内初步验收。初步验收合格后，进入15日试用期；试用期间发生重大质量问题，按照合同条款第四项之第3条处理，试用期相应顺延；试用期结束后3日内完成最终验收；</w:t>
      </w:r>
    </w:p>
    <w:p w14:paraId="483A525C">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568EDFB9">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 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65C9B7AA">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(4) 如质量验收合格，双方签署质量验收报告，作为双方最终结算的依据。  </w:t>
      </w:r>
    </w:p>
    <w:p w14:paraId="5A7851E8">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3、货物安装完成后3日内，甲方无故不进行验收工作并已使用货物的，视同已安装调试完成并初步验收合格。</w:t>
      </w:r>
    </w:p>
    <w:p w14:paraId="1F461E7D">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65A88837">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5、如货物质量有问题，经甲方同意乙方2次维修仍不能达到合同约定的质量标准，甲方有权退货，并视作乙方不能交付货物而须支付违约赔偿金给甲方，甲方还可依法追究乙方的违约责任。 </w:t>
      </w:r>
    </w:p>
    <w:p w14:paraId="200EEE5B">
      <w:pPr>
        <w:keepNext w:val="0"/>
        <w:keepLines w:val="0"/>
        <w:pageBreakBefore w:val="0"/>
        <w:kinsoku/>
        <w:wordWrap/>
        <w:overflowPunct/>
        <w:topLinePunct w:val="0"/>
        <w:bidi w:val="0"/>
        <w:snapToGrid/>
        <w:spacing w:after="0" w:line="280" w:lineRule="exact"/>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六、培训和保养</w:t>
      </w:r>
    </w:p>
    <w:p w14:paraId="298CDF03">
      <w:pPr>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乙方以多种方式负责向甲方培训设备的使用操作和维护保养工作，直到熟练掌握为止。甲方负责考核培训结果以决定是否需要再培训。乙方接到甲方培训通知后3日内安排再培训。</w:t>
      </w:r>
    </w:p>
    <w:p w14:paraId="70A9E604">
      <w:pPr>
        <w:keepNext w:val="0"/>
        <w:keepLines w:val="0"/>
        <w:pageBreakBefore w:val="0"/>
        <w:kinsoku/>
        <w:wordWrap/>
        <w:overflowPunct/>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七、付款方式     </w:t>
      </w:r>
    </w:p>
    <w:p w14:paraId="56EB4E55">
      <w:pPr>
        <w:keepNext w:val="0"/>
        <w:keepLines w:val="0"/>
        <w:pageBreakBefore w:val="0"/>
        <w:kinsoku/>
        <w:wordWrap/>
        <w:overflowPunct/>
        <w:topLinePunct w:val="0"/>
        <w:bidi w:val="0"/>
        <w:snapToGrid/>
        <w:spacing w:after="0" w:line="280" w:lineRule="exact"/>
        <w:ind w:left="0" w:right="0" w:rightChars="0" w:firstLine="440" w:firstLineChars="200"/>
        <w:rPr>
          <w:rFonts w:hint="eastAsia" w:ascii="宋体" w:hAnsi="宋体" w:eastAsia="宋体" w:cs="宋体"/>
          <w:b w:val="0"/>
          <w:bCs/>
          <w:color w:val="000000" w:themeColor="text1"/>
          <w:sz w:val="22"/>
          <w:szCs w:val="22"/>
          <w:highlight w:val="none"/>
          <w14:textFill>
            <w14:solidFill>
              <w14:schemeClr w14:val="tx1"/>
            </w14:solidFill>
          </w14:textFill>
        </w:rPr>
      </w:pPr>
      <w:r>
        <w:rPr>
          <w:rFonts w:hint="eastAsia" w:ascii="宋体" w:hAnsi="宋体" w:eastAsia="宋体" w:cs="宋体"/>
          <w:b w:val="0"/>
          <w:bCs/>
          <w:color w:val="000000" w:themeColor="text1"/>
          <w:sz w:val="22"/>
          <w:szCs w:val="22"/>
          <w:highlight w:val="none"/>
          <w14:textFill>
            <w14:solidFill>
              <w14:schemeClr w14:val="tx1"/>
            </w14:solidFill>
          </w14:textFill>
        </w:rPr>
        <w:t>1.验收合格并经15天试用期满,符合合同约定的质量标准要求，经产品最终验收合格后，一个月内全额支付合同总金额人民币（大写）：</w:t>
      </w:r>
      <w:r>
        <w:rPr>
          <w:rFonts w:hint="eastAsia" w:ascii="宋体" w:hAnsi="宋体" w:eastAsia="宋体" w:cs="宋体"/>
          <w:b w:val="0"/>
          <w:bCs/>
          <w:color w:val="000000" w:themeColor="text1"/>
          <w:sz w:val="22"/>
          <w:szCs w:val="22"/>
          <w:highlight w:val="none"/>
          <w:u w:val="single"/>
          <w:lang w:val="en-US" w:eastAsia="zh-CN"/>
          <w14:textFill>
            <w14:solidFill>
              <w14:schemeClr w14:val="tx1"/>
            </w14:solidFill>
          </w14:textFill>
        </w:rPr>
        <w:t>xxx</w:t>
      </w:r>
      <w:r>
        <w:rPr>
          <w:rFonts w:hint="eastAsia" w:ascii="宋体" w:hAnsi="宋体" w:eastAsia="宋体" w:cs="宋体"/>
          <w:b w:val="0"/>
          <w:bCs/>
          <w:color w:val="000000" w:themeColor="text1"/>
          <w:sz w:val="22"/>
          <w:szCs w:val="22"/>
          <w:highlight w:val="none"/>
          <w:u w:val="single"/>
          <w14:textFill>
            <w14:solidFill>
              <w14:schemeClr w14:val="tx1"/>
            </w14:solidFill>
          </w14:textFill>
        </w:rPr>
        <w:t>元整（¥***.00）</w:t>
      </w:r>
      <w:r>
        <w:rPr>
          <w:rFonts w:hint="eastAsia" w:ascii="宋体" w:hAnsi="宋体" w:eastAsia="宋体" w:cs="宋体"/>
          <w:b w:val="0"/>
          <w:bCs/>
          <w:color w:val="000000" w:themeColor="text1"/>
          <w:sz w:val="22"/>
          <w:szCs w:val="22"/>
          <w:highlight w:val="none"/>
          <w:u w:val="single"/>
          <w:lang w:eastAsia="zh-CN"/>
          <w14:textFill>
            <w14:solidFill>
              <w14:schemeClr w14:val="tx1"/>
            </w14:solidFill>
          </w14:textFill>
        </w:rPr>
        <w:t>。</w:t>
      </w:r>
      <w:r>
        <w:rPr>
          <w:rFonts w:hint="eastAsia" w:ascii="宋体" w:hAnsi="宋体" w:eastAsia="宋体" w:cs="宋体"/>
          <w:b w:val="0"/>
          <w:bCs/>
          <w:color w:val="000000" w:themeColor="text1"/>
          <w:sz w:val="22"/>
          <w:szCs w:val="22"/>
          <w:highlight w:val="none"/>
          <w14:textFill>
            <w14:solidFill>
              <w14:schemeClr w14:val="tx1"/>
            </w14:solidFill>
          </w14:textFill>
        </w:rPr>
        <w:t>计划支付日期约为202</w:t>
      </w:r>
      <w:r>
        <w:rPr>
          <w:rFonts w:hint="eastAsia" w:ascii="宋体" w:hAnsi="宋体" w:eastAsia="宋体" w:cs="宋体"/>
          <w:b w:val="0"/>
          <w:bCs/>
          <w:color w:val="000000" w:themeColor="text1"/>
          <w:sz w:val="22"/>
          <w:szCs w:val="22"/>
          <w:highlight w:val="none"/>
          <w:lang w:val="en-US" w:eastAsia="zh-CN"/>
          <w14:textFill>
            <w14:solidFill>
              <w14:schemeClr w14:val="tx1"/>
            </w14:solidFill>
          </w14:textFill>
        </w:rPr>
        <w:t>5</w:t>
      </w:r>
      <w:r>
        <w:rPr>
          <w:rFonts w:hint="eastAsia" w:ascii="宋体" w:hAnsi="宋体" w:eastAsia="宋体" w:cs="宋体"/>
          <w:b w:val="0"/>
          <w:bCs/>
          <w:color w:val="000000" w:themeColor="text1"/>
          <w:sz w:val="22"/>
          <w:szCs w:val="22"/>
          <w:highlight w:val="none"/>
          <w14:textFill>
            <w14:solidFill>
              <w14:schemeClr w14:val="tx1"/>
            </w14:solidFill>
          </w14:textFill>
        </w:rPr>
        <w:t>年  月  日（可视具体情况向后顺延）。</w:t>
      </w:r>
    </w:p>
    <w:p w14:paraId="743CFCCF">
      <w:pPr>
        <w:pStyle w:val="8"/>
        <w:spacing w:line="240" w:lineRule="auto"/>
        <w:ind w:firstLine="440" w:firstLineChars="200"/>
        <w:rPr>
          <w:ins w:id="0" w:author="懒汉ing" w:date="2025-06-13T15:40:39Z"/>
          <w:rFonts w:hint="eastAsia" w:ascii="宋体" w:hAnsi="宋体" w:eastAsia="宋体" w:cs="宋体"/>
          <w:b w:val="0"/>
          <w:bCs/>
          <w:color w:val="000000" w:themeColor="text1"/>
          <w:sz w:val="22"/>
          <w:szCs w:val="22"/>
          <w:highlight w:val="none"/>
          <w14:textFill>
            <w14:solidFill>
              <w14:schemeClr w14:val="tx1"/>
            </w14:solidFill>
          </w14:textFill>
        </w:rPr>
      </w:pPr>
      <w:r>
        <w:rPr>
          <w:rFonts w:hint="eastAsia" w:ascii="宋体" w:hAnsi="宋体" w:eastAsia="宋体" w:cs="宋体"/>
          <w:b w:val="0"/>
          <w:bCs/>
          <w:color w:val="000000" w:themeColor="text1"/>
          <w:sz w:val="22"/>
          <w:szCs w:val="22"/>
          <w:highlight w:val="none"/>
          <w:lang w:val="en-US" w:eastAsia="zh-CN"/>
          <w14:textFill>
            <w14:solidFill>
              <w14:schemeClr w14:val="tx1"/>
            </w14:solidFill>
          </w14:textFill>
        </w:rPr>
        <w:t>2</w:t>
      </w:r>
      <w:r>
        <w:rPr>
          <w:rFonts w:hint="eastAsia" w:ascii="宋体" w:hAnsi="宋体" w:eastAsia="宋体" w:cs="宋体"/>
          <w:b w:val="0"/>
          <w:bCs/>
          <w:color w:val="000000" w:themeColor="text1"/>
          <w:sz w:val="22"/>
          <w:szCs w:val="22"/>
          <w:highlight w:val="none"/>
          <w14:textFill>
            <w14:solidFill>
              <w14:schemeClr w14:val="tx1"/>
            </w14:solidFill>
          </w14:textFill>
        </w:rPr>
        <w:t>、乙方应当在甲方付款前向甲方出具正式增值税普通发票。乙方未按照约定提供发票的，甲方有权拒付相关款项，由此造成的损失由乙方负责。</w:t>
      </w:r>
    </w:p>
    <w:p w14:paraId="7916972B">
      <w:pPr>
        <w:pStyle w:val="8"/>
        <w:spacing w:line="240" w:lineRule="auto"/>
        <w:ind w:firstLine="440" w:firstLineChars="200"/>
        <w:rPr>
          <w:rFonts w:hint="eastAsia" w:ascii="宋体" w:hAnsi="宋体" w:eastAsia="宋体" w:cs="宋体"/>
          <w:sz w:val="21"/>
          <w:szCs w:val="21"/>
          <w:lang w:val="en-US" w:eastAsia="zh-CN"/>
        </w:rPr>
      </w:pPr>
      <w:r>
        <w:rPr>
          <w:rFonts w:hint="eastAsia" w:ascii="宋体" w:hAnsi="宋体" w:eastAsia="宋体" w:cs="宋体"/>
          <w:b w:val="0"/>
          <w:bCs/>
          <w:color w:val="000000" w:themeColor="text1"/>
          <w:sz w:val="22"/>
          <w:szCs w:val="22"/>
          <w14:textFill>
            <w14:solidFill>
              <w14:schemeClr w14:val="tx1"/>
            </w14:solidFill>
          </w14:textFill>
        </w:rPr>
        <w:t>八、</w:t>
      </w:r>
      <w:r>
        <w:rPr>
          <w:rFonts w:hint="eastAsia" w:ascii="宋体" w:hAnsi="宋体" w:eastAsia="宋体" w:cs="宋体"/>
          <w:sz w:val="21"/>
          <w:szCs w:val="21"/>
          <w:lang w:val="en-US" w:eastAsia="zh-CN"/>
        </w:rPr>
        <w:t>履约保证金的交付和退还：</w:t>
      </w:r>
    </w:p>
    <w:p w14:paraId="7A6F3E30">
      <w:pPr>
        <w:pStyle w:val="8"/>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（1）合同签订后，投标人应当按照中标合同总金额的5%作为履约保证金交付给采购人。</w:t>
      </w:r>
    </w:p>
    <w:p w14:paraId="551861D7">
      <w:pPr>
        <w:pStyle w:val="8"/>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（2）保证期为中标（成交）通知书到达中标投标人之日起至项目质保期结束日。</w:t>
      </w:r>
    </w:p>
    <w:p w14:paraId="257D4E19">
      <w:pPr>
        <w:pStyle w:val="8"/>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（3）保证期满投标人如约履行合同的，采购人在合同服务期结束之日起30日内退还履约保证金（无息）。</w:t>
      </w:r>
    </w:p>
    <w:p w14:paraId="618060F4">
      <w:pPr>
        <w:keepNext w:val="0"/>
        <w:keepLines w:val="0"/>
        <w:pageBreakBefore w:val="0"/>
        <w:kinsoku/>
        <w:wordWrap/>
        <w:overflowPunct/>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eastAsia="zh-CN"/>
          <w14:textFill>
            <w14:solidFill>
              <w14:schemeClr w14:val="tx1"/>
            </w14:solidFill>
          </w14:textFill>
        </w:rPr>
        <w:t>九、</w:t>
      </w:r>
      <w:r>
        <w:rPr>
          <w:rFonts w:hint="eastAsia" w:ascii="宋体" w:hAnsi="宋体" w:eastAsia="宋体" w:cs="宋体"/>
          <w:b w:val="0"/>
          <w:bCs/>
          <w:color w:val="000000" w:themeColor="text1"/>
          <w:sz w:val="22"/>
          <w:szCs w:val="22"/>
          <w14:textFill>
            <w14:solidFill>
              <w14:schemeClr w14:val="tx1"/>
            </w14:solidFill>
          </w14:textFill>
        </w:rPr>
        <w:t>售后服务</w:t>
      </w:r>
    </w:p>
    <w:p w14:paraId="1606D981">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1、依据投标文件的响应，设备质保期为验收合格后</w:t>
      </w:r>
      <w:r>
        <w:rPr>
          <w:rFonts w:hint="eastAsia" w:ascii="宋体" w:hAnsi="宋体" w:eastAsia="宋体" w:cs="宋体"/>
          <w:b w:val="0"/>
          <w:bCs/>
          <w:color w:val="000000" w:themeColor="text1"/>
          <w:sz w:val="22"/>
          <w:szCs w:val="22"/>
          <w:lang w:val="en-US" w:eastAsia="zh-CN"/>
          <w14:textFill>
            <w14:solidFill>
              <w14:schemeClr w14:val="tx1"/>
            </w14:solidFill>
          </w14:textFill>
        </w:rPr>
        <w:t>3</w:t>
      </w:r>
      <w:r>
        <w:rPr>
          <w:rFonts w:hint="eastAsia" w:ascii="宋体" w:hAnsi="宋体" w:eastAsia="宋体" w:cs="宋体"/>
          <w:b w:val="0"/>
          <w:bCs/>
          <w:color w:val="000000" w:themeColor="text1"/>
          <w:sz w:val="22"/>
          <w:szCs w:val="22"/>
          <w14:textFill>
            <w14:solidFill>
              <w14:schemeClr w14:val="tx1"/>
            </w14:solidFill>
          </w14:textFill>
        </w:rPr>
        <w:t>年（出具厂家提供的</w:t>
      </w:r>
      <w:r>
        <w:rPr>
          <w:rFonts w:hint="eastAsia" w:ascii="宋体" w:hAnsi="宋体" w:eastAsia="宋体" w:cs="宋体"/>
          <w:b w:val="0"/>
          <w:bCs/>
          <w:color w:val="000000" w:themeColor="text1"/>
          <w:sz w:val="22"/>
          <w:szCs w:val="22"/>
          <w:lang w:val="en-US" w:eastAsia="zh-CN"/>
          <w14:textFill>
            <w14:solidFill>
              <w14:schemeClr w14:val="tx1"/>
            </w14:solidFill>
          </w14:textFill>
        </w:rPr>
        <w:t>三</w:t>
      </w:r>
      <w:r>
        <w:rPr>
          <w:rFonts w:hint="eastAsia" w:ascii="宋体" w:hAnsi="宋体" w:eastAsia="宋体" w:cs="宋体"/>
          <w:b w:val="0"/>
          <w:bCs/>
          <w:color w:val="000000" w:themeColor="text1"/>
          <w:sz w:val="22"/>
          <w:szCs w:val="22"/>
          <w14:textFill>
            <w14:solidFill>
              <w14:schemeClr w14:val="tx1"/>
            </w14:solidFill>
          </w14:textFill>
        </w:rPr>
        <w:t>年质保证明和维保内容，保修期外维修免工时费），质保期内出现质量问题，乙方在接到甲方通知后2小时内响应，8小时内到达现场明确解决方案，48小时无法排除故障者需提供备用机，并承担修理调换的费用；质保期第一年内货物经乙方</w:t>
      </w:r>
      <w:r>
        <w:rPr>
          <w:rFonts w:hint="eastAsia" w:ascii="宋体" w:hAnsi="宋体" w:eastAsia="宋体" w:cs="宋体"/>
          <w:b w:val="0"/>
          <w:bCs/>
          <w:color w:val="000000" w:themeColor="text1"/>
          <w:sz w:val="22"/>
          <w:szCs w:val="22"/>
          <w:lang w:val="en-US" w:eastAsia="zh-CN"/>
          <w14:textFill>
            <w14:solidFill>
              <w14:schemeClr w14:val="tx1"/>
            </w14:solidFill>
          </w14:textFill>
        </w:rPr>
        <w:t>2</w:t>
      </w:r>
      <w:r>
        <w:rPr>
          <w:rFonts w:hint="eastAsia" w:ascii="宋体" w:hAnsi="宋体" w:eastAsia="宋体" w:cs="宋体"/>
          <w:b w:val="0"/>
          <w:bCs/>
          <w:color w:val="000000" w:themeColor="text1"/>
          <w:sz w:val="22"/>
          <w:szCs w:val="22"/>
          <w14:textFill>
            <w14:solidFill>
              <w14:schemeClr w14:val="tx1"/>
            </w14:solidFill>
          </w14:textFill>
        </w:rPr>
        <w:t>次维修仍达不到合同约定的质量标准时，视作乙方货物质量不符合合同约定，甲方有权退货并追究乙方违约责任。货到现场后由于甲方保管不当造成的问题，乙方亦应负责修复，但费用由甲方负担。</w:t>
      </w:r>
    </w:p>
    <w:p w14:paraId="517FDD11">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2、乙方应依据货物《招标文件》的《商务要求》中技术保障和服务保障，执行乙方《投标文件》的“响应”内容；</w:t>
      </w:r>
    </w:p>
    <w:p w14:paraId="5DD58B05">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3、乙方须指派专人负责与甲方联系售后服务事宜。 </w:t>
      </w:r>
    </w:p>
    <w:p w14:paraId="5CFC6F79">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甲方联系人及电话：</w:t>
      </w:r>
    </w:p>
    <w:p w14:paraId="518980C7">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乙方法人及负责人姓名及联系电话：</w:t>
      </w:r>
    </w:p>
    <w:p w14:paraId="7ACEF1C5">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法  人：                     负责人： </w:t>
      </w:r>
    </w:p>
    <w:p w14:paraId="295D5EFB">
      <w:pPr>
        <w:keepNext w:val="0"/>
        <w:keepLines w:val="0"/>
        <w:pageBreakBefore w:val="0"/>
        <w:kinsoku/>
        <w:wordWrap/>
        <w:overflowPunct/>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eastAsia="zh-CN"/>
          <w14:textFill>
            <w14:solidFill>
              <w14:schemeClr w14:val="tx1"/>
            </w14:solidFill>
          </w14:textFill>
        </w:rPr>
        <w:t>十</w:t>
      </w:r>
      <w:r>
        <w:rPr>
          <w:rFonts w:hint="eastAsia" w:ascii="宋体" w:hAnsi="宋体" w:eastAsia="宋体" w:cs="宋体"/>
          <w:b w:val="0"/>
          <w:bCs/>
          <w:color w:val="000000" w:themeColor="text1"/>
          <w:sz w:val="22"/>
          <w:szCs w:val="22"/>
          <w14:textFill>
            <w14:solidFill>
              <w14:schemeClr w14:val="tx1"/>
            </w14:solidFill>
          </w14:textFill>
        </w:rPr>
        <w:t>、违约责任</w:t>
      </w:r>
    </w:p>
    <w:p w14:paraId="5C7A9D10">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1、甲方违约责任</w:t>
      </w:r>
    </w:p>
    <w:p w14:paraId="6E5363E7">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（1）甲方无正当理由拒收货物的，甲方应偿付合同总价百分之五的违约金；</w:t>
      </w:r>
    </w:p>
    <w:p w14:paraId="0D0F0462">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（2）甲方逾期支付货款的，除应及时付足货款外，应按照银行同期贷款利率承担利息。逾期付款超过15天的，乙方有权终止合同；</w:t>
      </w:r>
    </w:p>
    <w:p w14:paraId="19A3EC1F">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2、乙方违约责任</w:t>
      </w:r>
    </w:p>
    <w:p w14:paraId="37B0A5B4">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交付的货物质量不符合合同规定的，乙方应向甲方支付合同总价百分之五的违约金，并须在合同规定的交货时间内更换合格的货物给甲方，否则，视作乙方不能交付货物而违约，按本条本款下述第“（2）”项规定由乙方偿付违约赔偿金给甲方。</w:t>
      </w:r>
    </w:p>
    <w:p w14:paraId="416EAF1F">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不能交付货物或逾期交付货物而违约的，除应及时交足货物外，还应向甲方偿付逾期交货部分货款总额万分之五/天的违约金；逾期交货超过7天，甲方有权终止合同，乙方则应按合同总价百分之五的款额向甲方偿付赔偿金，并须在三日内全额退还甲方已经付给乙方的货款及其利息，同时甲方有权将乙方违约事宜上报至财政监督管理部门备案。</w:t>
      </w:r>
    </w:p>
    <w:p w14:paraId="1E06DEA1">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乙方货物经甲方送交具有法定资格条件的质量技术监督机构检测后，如检测结果认定货物质量不符合本合同规定标准的，则视为乙方没有按时交货而违约，乙方须在7天内无条件更换合格的货物，如逾期不能更换合格的货物，甲方有权终止本合同，乙方应另付合同总价的百分之一的赔偿金给甲方。</w:t>
      </w:r>
    </w:p>
    <w:p w14:paraId="3E48698C">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一向甲方支付违约金并赔偿因此给甲方造成的一切损失。</w:t>
      </w:r>
    </w:p>
    <w:p w14:paraId="35B95F9D">
      <w:pPr>
        <w:keepNext w:val="0"/>
        <w:keepLines w:val="0"/>
        <w:pageBreakBefore w:val="0"/>
        <w:kinsoku/>
        <w:wordWrap/>
        <w:overflowPunct/>
        <w:topLinePunct w:val="0"/>
        <w:bidi w:val="0"/>
        <w:snapToGrid/>
        <w:spacing w:after="0" w:line="280" w:lineRule="exact"/>
        <w:ind w:left="0" w:right="0" w:rightChars="0" w:firstLine="330" w:firstLineChars="15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（5）乙方在不能按照本合同第九条的约定时间提供售后服务，每逾期一次，按照合同总价款的</w:t>
      </w:r>
      <w:r>
        <w:rPr>
          <w:rFonts w:hint="eastAsia" w:ascii="宋体" w:hAnsi="宋体" w:eastAsia="宋体" w:cs="宋体"/>
          <w:b w:val="0"/>
          <w:bCs/>
          <w:color w:val="000000" w:themeColor="text1"/>
          <w:sz w:val="22"/>
          <w:szCs w:val="22"/>
          <w:u w:val="single"/>
          <w14:textFill>
            <w14:solidFill>
              <w14:schemeClr w14:val="tx1"/>
            </w14:solidFill>
          </w14:textFill>
        </w:rPr>
        <w:t xml:space="preserve">  1%  </w:t>
      </w:r>
      <w:r>
        <w:rPr>
          <w:rFonts w:hint="eastAsia" w:ascii="宋体" w:hAnsi="宋体" w:eastAsia="宋体" w:cs="宋体"/>
          <w:b w:val="0"/>
          <w:bCs/>
          <w:color w:val="000000" w:themeColor="text1"/>
          <w:sz w:val="22"/>
          <w:szCs w:val="22"/>
          <w14:textFill>
            <w14:solidFill>
              <w14:schemeClr w14:val="tx1"/>
            </w14:solidFill>
          </w14:textFill>
        </w:rPr>
        <w:t>向甲方支付违约金。</w:t>
      </w:r>
    </w:p>
    <w:p w14:paraId="35C7F557">
      <w:pPr>
        <w:keepNext w:val="0"/>
        <w:keepLines w:val="0"/>
        <w:pageBreakBefore w:val="0"/>
        <w:kinsoku/>
        <w:wordWrap/>
        <w:overflowPunct/>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十</w:t>
      </w:r>
      <w:r>
        <w:rPr>
          <w:rFonts w:hint="eastAsia" w:ascii="宋体" w:hAnsi="宋体" w:eastAsia="宋体" w:cs="宋体"/>
          <w:b w:val="0"/>
          <w:bCs/>
          <w:color w:val="000000" w:themeColor="text1"/>
          <w:sz w:val="22"/>
          <w:szCs w:val="22"/>
          <w:lang w:eastAsia="zh-CN"/>
          <w14:textFill>
            <w14:solidFill>
              <w14:schemeClr w14:val="tx1"/>
            </w14:solidFill>
          </w14:textFill>
        </w:rPr>
        <w:t>一</w:t>
      </w:r>
      <w:r>
        <w:rPr>
          <w:rFonts w:hint="eastAsia" w:ascii="宋体" w:hAnsi="宋体" w:eastAsia="宋体" w:cs="宋体"/>
          <w:b w:val="0"/>
          <w:bCs/>
          <w:color w:val="000000" w:themeColor="text1"/>
          <w:sz w:val="22"/>
          <w:szCs w:val="22"/>
          <w14:textFill>
            <w14:solidFill>
              <w14:schemeClr w14:val="tx1"/>
            </w14:solidFill>
          </w14:textFill>
        </w:rPr>
        <w:t>、争议解决办法</w:t>
      </w:r>
    </w:p>
    <w:p w14:paraId="093467A4">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1、因货物的质量问题发生争议，可委托质量技术监督部门或其指定的质量鉴定机构进行质量鉴定。货物符合标准的，鉴定费由甲方承担；货物不符合质量标准的，鉴定费由乙方承担。</w:t>
      </w:r>
    </w:p>
    <w:p w14:paraId="20B2BD88">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2、合同履行期间,若双方发生争议，可协商或由有关部门调解解决，协商或调解不成的，提交西安市第一医院所在地人民法院诉讼解决。</w:t>
      </w:r>
    </w:p>
    <w:p w14:paraId="790B6DF6">
      <w:pPr>
        <w:pStyle w:val="9"/>
        <w:keepNext w:val="0"/>
        <w:keepLines w:val="0"/>
        <w:pageBreakBefore w:val="0"/>
        <w:kinsoku/>
        <w:wordWrap/>
        <w:overflowPunct/>
        <w:topLinePunct w:val="0"/>
        <w:bidi w:val="0"/>
        <w:snapToGrid/>
        <w:spacing w:before="0" w:after="0" w:line="280" w:lineRule="exact"/>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十</w:t>
      </w:r>
      <w:r>
        <w:rPr>
          <w:rFonts w:hint="eastAsia" w:ascii="宋体" w:hAnsi="宋体" w:eastAsia="宋体" w:cs="宋体"/>
          <w:b w:val="0"/>
          <w:bCs/>
          <w:color w:val="000000" w:themeColor="text1"/>
          <w:sz w:val="22"/>
          <w:szCs w:val="22"/>
          <w:lang w:eastAsia="zh-CN"/>
          <w14:textFill>
            <w14:solidFill>
              <w14:schemeClr w14:val="tx1"/>
            </w14:solidFill>
          </w14:textFill>
        </w:rPr>
        <w:t>二</w:t>
      </w:r>
      <w:r>
        <w:rPr>
          <w:rFonts w:hint="eastAsia" w:ascii="宋体" w:hAnsi="宋体" w:eastAsia="宋体" w:cs="宋体"/>
          <w:b w:val="0"/>
          <w:bCs/>
          <w:color w:val="000000" w:themeColor="text1"/>
          <w:sz w:val="22"/>
          <w:szCs w:val="22"/>
          <w14:textFill>
            <w14:solidFill>
              <w14:schemeClr w14:val="tx1"/>
            </w14:solidFill>
          </w14:textFill>
        </w:rPr>
        <w:t>、其他</w:t>
      </w:r>
    </w:p>
    <w:p w14:paraId="006833C3">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1、如有未尽事宜，由双方依法订立补充合同，补充合同与本合同具有同等法律效力。</w:t>
      </w:r>
    </w:p>
    <w:p w14:paraId="62BC0F6B">
      <w:pPr>
        <w:pStyle w:val="9"/>
        <w:keepNext w:val="0"/>
        <w:keepLines w:val="0"/>
        <w:pageBreakBefore w:val="0"/>
        <w:kinsoku/>
        <w:wordWrap/>
        <w:overflowPunct/>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2、本合同一式七份，甲方五份，乙方一份，采购代理机构一份，效力相同，自双方签章盖章之日起生效。</w:t>
      </w:r>
    </w:p>
    <w:p w14:paraId="337B16BA">
      <w:pPr>
        <w:keepNext w:val="0"/>
        <w:keepLines w:val="0"/>
        <w:pageBreakBefore w:val="0"/>
        <w:kinsoku/>
        <w:wordWrap/>
        <w:overflowPunct/>
        <w:topLinePunct w:val="0"/>
        <w:bidi w:val="0"/>
        <w:snapToGrid/>
        <w:spacing w:after="0" w:line="280" w:lineRule="exact"/>
        <w:ind w:left="0" w:right="0" w:rightChars="0" w:firstLine="431" w:firstLineChars="196"/>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3、货物交付前的风险由乙方承担。</w:t>
      </w:r>
    </w:p>
    <w:p w14:paraId="5D356255">
      <w:pPr>
        <w:keepNext w:val="0"/>
        <w:keepLines w:val="0"/>
        <w:pageBreakBefore w:val="0"/>
        <w:kinsoku/>
        <w:wordWrap/>
        <w:overflowPunct/>
        <w:topLinePunct w:val="0"/>
        <w:bidi w:val="0"/>
        <w:snapToGrid/>
        <w:spacing w:after="0" w:line="280" w:lineRule="exact"/>
        <w:ind w:left="0" w:right="0" w:rightChars="0" w:firstLine="431" w:firstLineChars="196"/>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4、本合同项下地址为有效的通讯地址，一方变更应当书面通知相对方，未通知视为未变更，一方所发的文件通知等寄出或在《西安晚报》上公示即视为送达，产生相应的法律后果。</w:t>
      </w:r>
    </w:p>
    <w:p w14:paraId="008BE8BF">
      <w:pPr>
        <w:keepNext w:val="0"/>
        <w:keepLines w:val="0"/>
        <w:pageBreakBefore w:val="0"/>
        <w:kinsoku/>
        <w:wordWrap/>
        <w:overflowPunct/>
        <w:topLinePunct w:val="0"/>
        <w:autoSpaceDE w:val="0"/>
        <w:autoSpaceDN w:val="0"/>
        <w:bidi w:val="0"/>
        <w:adjustRightInd w:val="0"/>
        <w:snapToGrid/>
        <w:spacing w:after="0" w:line="280" w:lineRule="exact"/>
        <w:ind w:left="0" w:right="0" w:rightChars="0"/>
        <w:jc w:val="left"/>
        <w:rPr>
          <w:rFonts w:hint="eastAsia" w:ascii="宋体" w:hAnsi="宋体" w:eastAsia="宋体" w:cs="宋体"/>
          <w:b w:val="0"/>
          <w:bCs/>
          <w:color w:val="000000" w:themeColor="text1"/>
          <w:w w:val="110"/>
          <w:sz w:val="22"/>
          <w:szCs w:val="22"/>
          <w14:textFill>
            <w14:solidFill>
              <w14:schemeClr w14:val="tx1"/>
            </w14:solidFill>
          </w14:textFill>
        </w:rPr>
      </w:pPr>
      <w:r>
        <w:rPr>
          <w:rFonts w:hint="eastAsia" w:ascii="宋体" w:hAnsi="宋体" w:eastAsia="宋体" w:cs="宋体"/>
          <w:b w:val="0"/>
          <w:bCs/>
          <w:color w:val="000000" w:themeColor="text1"/>
          <w:w w:val="110"/>
          <w:sz w:val="22"/>
          <w:szCs w:val="22"/>
          <w14:textFill>
            <w14:solidFill>
              <w14:schemeClr w14:val="tx1"/>
            </w14:solidFill>
          </w14:textFill>
        </w:rPr>
        <w:t>（以下无正文）</w:t>
      </w:r>
    </w:p>
    <w:p w14:paraId="06C43FE8">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甲方：西安市第一医院（盖章）         乙方：             （盖章）</w:t>
      </w:r>
    </w:p>
    <w:p w14:paraId="25BDA714">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开户行：</w:t>
      </w:r>
      <w:r>
        <w:rPr>
          <w:rFonts w:hint="eastAsia" w:ascii="宋体" w:hAnsi="宋体" w:eastAsia="宋体" w:cs="宋体"/>
          <w:b w:val="0"/>
          <w:bCs/>
          <w:color w:val="000000" w:themeColor="text1"/>
          <w:sz w:val="22"/>
          <w:szCs w:val="22"/>
          <w14:textFill>
            <w14:solidFill>
              <w14:schemeClr w14:val="tx1"/>
            </w14:solidFill>
          </w14:textFill>
        </w:rPr>
        <w:t>中国工商银行西安南大街支行</w:t>
      </w:r>
      <w:r>
        <w:rPr>
          <w:rFonts w:hint="eastAsia" w:ascii="宋体" w:hAnsi="宋体" w:eastAsia="宋体" w:cs="宋体"/>
          <w:b w:val="0"/>
          <w:bCs/>
          <w:color w:val="000000" w:themeColor="text1"/>
          <w:sz w:val="22"/>
          <w:szCs w:val="22"/>
          <w:lang w:bidi="en-US"/>
          <w14:textFill>
            <w14:solidFill>
              <w14:schemeClr w14:val="tx1"/>
            </w14:solidFill>
          </w14:textFill>
        </w:rPr>
        <w:t xml:space="preserve">   开户行： </w:t>
      </w:r>
    </w:p>
    <w:p w14:paraId="53C47FE5">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账号：3700020409089344018            银行账号： </w:t>
      </w:r>
    </w:p>
    <w:p w14:paraId="3FAA45AA">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地址：西安市南大街粉巷30号          地址：</w:t>
      </w:r>
    </w:p>
    <w:p w14:paraId="661235AA">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邮政编码：710002                     邮政编码： </w:t>
      </w:r>
    </w:p>
    <w:p w14:paraId="5F185E69">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电话：029-87630929                   电话：</w:t>
      </w:r>
    </w:p>
    <w:p w14:paraId="5EE952AD">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法定代表人（授权代表）：             法定代表人（授权代表）：</w:t>
      </w:r>
    </w:p>
    <w:p w14:paraId="49609990">
      <w:pPr>
        <w:keepNext w:val="0"/>
        <w:keepLines w:val="0"/>
        <w:pageBreakBefore w:val="0"/>
        <w:widowControl/>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签订日期：  年  月   日          </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签订日期：   年  月   日</w:t>
      </w:r>
    </w:p>
    <w:p w14:paraId="65EB3EC8">
      <w:pPr>
        <w:keepNext w:val="0"/>
        <w:keepLines w:val="0"/>
        <w:pageBreakBefore w:val="0"/>
        <w:widowControl/>
        <w:kinsoku/>
        <w:wordWrap/>
        <w:overflowPunct/>
        <w:topLinePunct w:val="0"/>
        <w:autoSpaceDE w:val="0"/>
        <w:autoSpaceDN w:val="0"/>
        <w:bidi w:val="0"/>
        <w:snapToGrid/>
        <w:spacing w:after="0" w:line="280" w:lineRule="exact"/>
        <w:ind w:left="0" w:right="0" w:rightChars="0" w:firstLine="0"/>
        <w:textAlignment w:val="bottom"/>
        <w:rPr>
          <w:rFonts w:hint="eastAsia" w:ascii="宋体" w:hAnsi="宋体" w:eastAsia="宋体" w:cs="宋体"/>
          <w:b w:val="0"/>
          <w:bCs/>
          <w:color w:val="000000" w:themeColor="text1"/>
          <w:sz w:val="22"/>
          <w:szCs w:val="22"/>
          <w14:textFill>
            <w14:solidFill>
              <w14:schemeClr w14:val="tx1"/>
            </w14:solidFill>
          </w14:textFill>
        </w:rPr>
      </w:pPr>
    </w:p>
    <w:p w14:paraId="465DDAAC">
      <w:pPr>
        <w:keepNext w:val="0"/>
        <w:keepLines w:val="0"/>
        <w:pageBreakBefore w:val="0"/>
        <w:widowControl/>
        <w:kinsoku/>
        <w:wordWrap/>
        <w:overflowPunct/>
        <w:topLinePunct w:val="0"/>
        <w:autoSpaceDE w:val="0"/>
        <w:autoSpaceDN w:val="0"/>
        <w:bidi w:val="0"/>
        <w:snapToGrid/>
        <w:spacing w:after="0" w:line="280" w:lineRule="exact"/>
        <w:ind w:left="0" w:right="0" w:rightChars="0" w:firstLine="0"/>
        <w:textAlignment w:val="bottom"/>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鉴证方（业务专用章）：</w:t>
      </w:r>
    </w:p>
    <w:p w14:paraId="153D834C">
      <w:pPr>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单位名称：    </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 xml:space="preserve">  地址： </w:t>
      </w:r>
    </w:p>
    <w:p w14:paraId="3DAC7001">
      <w:pPr>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代理人（签字）：</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 xml:space="preserve">联系电话： </w:t>
      </w:r>
    </w:p>
    <w:p w14:paraId="6180D132">
      <w:pPr>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lang w:eastAsia="zh-CN"/>
          <w14:textFill>
            <w14:solidFill>
              <w14:schemeClr w14:val="tx1"/>
            </w14:solidFill>
          </w14:textFill>
        </w:rPr>
        <w:t>合同</w:t>
      </w:r>
      <w:r>
        <w:rPr>
          <w:rFonts w:hint="eastAsia" w:ascii="宋体" w:hAnsi="宋体" w:eastAsia="宋体" w:cs="宋体"/>
          <w:b w:val="0"/>
          <w:bCs/>
          <w:color w:val="000000" w:themeColor="text1"/>
          <w:kern w:val="2"/>
          <w:sz w:val="22"/>
          <w:szCs w:val="22"/>
          <w14:textFill>
            <w14:solidFill>
              <w14:schemeClr w14:val="tx1"/>
            </w14:solidFill>
          </w14:textFill>
        </w:rPr>
        <w:t xml:space="preserve">附件一：配置清单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869"/>
        <w:gridCol w:w="1869"/>
        <w:gridCol w:w="1869"/>
        <w:gridCol w:w="1812"/>
      </w:tblGrid>
      <w:tr w14:paraId="46E3E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2CB55F51">
            <w:pPr>
              <w:pStyle w:val="4"/>
              <w:keepNext w:val="0"/>
              <w:keepLines w:val="0"/>
              <w:pageBreakBefore w:val="0"/>
              <w:kinsoku/>
              <w:wordWrap/>
              <w:overflowPunct/>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序号</w:t>
            </w:r>
          </w:p>
        </w:tc>
        <w:tc>
          <w:tcPr>
            <w:tcW w:w="1869" w:type="dxa"/>
            <w:noWrap w:val="0"/>
            <w:vAlign w:val="top"/>
          </w:tcPr>
          <w:p w14:paraId="00847D7D">
            <w:pPr>
              <w:pStyle w:val="4"/>
              <w:keepNext w:val="0"/>
              <w:keepLines w:val="0"/>
              <w:pageBreakBefore w:val="0"/>
              <w:kinsoku/>
              <w:wordWrap/>
              <w:overflowPunct/>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产品名称</w:t>
            </w:r>
          </w:p>
        </w:tc>
        <w:tc>
          <w:tcPr>
            <w:tcW w:w="1869" w:type="dxa"/>
            <w:noWrap w:val="0"/>
            <w:vAlign w:val="top"/>
          </w:tcPr>
          <w:p w14:paraId="545BA2C2">
            <w:pPr>
              <w:pStyle w:val="4"/>
              <w:keepNext w:val="0"/>
              <w:keepLines w:val="0"/>
              <w:pageBreakBefore w:val="0"/>
              <w:kinsoku/>
              <w:wordWrap/>
              <w:overflowPunct/>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型号</w:t>
            </w:r>
          </w:p>
        </w:tc>
        <w:tc>
          <w:tcPr>
            <w:tcW w:w="1869" w:type="dxa"/>
            <w:noWrap w:val="0"/>
            <w:vAlign w:val="top"/>
          </w:tcPr>
          <w:p w14:paraId="35E61A96">
            <w:pPr>
              <w:pStyle w:val="4"/>
              <w:keepNext w:val="0"/>
              <w:keepLines w:val="0"/>
              <w:pageBreakBefore w:val="0"/>
              <w:kinsoku/>
              <w:wordWrap/>
              <w:overflowPunct/>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数量</w:t>
            </w:r>
          </w:p>
        </w:tc>
        <w:tc>
          <w:tcPr>
            <w:tcW w:w="1812" w:type="dxa"/>
            <w:noWrap w:val="0"/>
            <w:vAlign w:val="top"/>
          </w:tcPr>
          <w:p w14:paraId="75BA4B42">
            <w:pPr>
              <w:pStyle w:val="4"/>
              <w:keepNext w:val="0"/>
              <w:keepLines w:val="0"/>
              <w:pageBreakBefore w:val="0"/>
              <w:kinsoku/>
              <w:wordWrap/>
              <w:overflowPunct/>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单位</w:t>
            </w:r>
          </w:p>
        </w:tc>
      </w:tr>
      <w:tr w14:paraId="3AE69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239F9FE1">
            <w:pPr>
              <w:pStyle w:val="4"/>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2C846309">
            <w:pPr>
              <w:pStyle w:val="4"/>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78AB088B">
            <w:pPr>
              <w:pStyle w:val="4"/>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2E0D76F1">
            <w:pPr>
              <w:pStyle w:val="4"/>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12" w:type="dxa"/>
            <w:noWrap w:val="0"/>
            <w:vAlign w:val="top"/>
          </w:tcPr>
          <w:p w14:paraId="19C44BFC">
            <w:pPr>
              <w:pStyle w:val="4"/>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r>
    </w:tbl>
    <w:p w14:paraId="4B26FEB8">
      <w:pPr>
        <w:keepNext w:val="0"/>
        <w:keepLines w:val="0"/>
        <w:pageBreakBefore w:val="0"/>
        <w:kinsoku/>
        <w:wordWrap/>
        <w:overflowPunct/>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附件二：营业执照、法人授权委托书、受托人/法人身份证复印件</w:t>
      </w:r>
    </w:p>
    <w:p w14:paraId="671830C6">
      <w:pPr>
        <w:keepNext w:val="0"/>
        <w:keepLines w:val="0"/>
        <w:pageBreakBefore w:val="0"/>
        <w:kinsoku/>
        <w:wordWrap/>
        <w:overflowPunct/>
        <w:topLinePunct w:val="0"/>
        <w:bidi w:val="0"/>
        <w:snapToGrid/>
        <w:spacing w:after="0" w:line="280" w:lineRule="exact"/>
        <w:ind w:left="0" w:leftChars="0" w:right="0" w:rightChars="0" w:firstLine="0" w:firstLineChars="0"/>
      </w:pPr>
      <w:r>
        <w:rPr>
          <w:rFonts w:hint="eastAsia" w:ascii="宋体" w:hAnsi="宋体" w:eastAsia="宋体" w:cs="宋体"/>
          <w:b w:val="0"/>
          <w:bCs/>
          <w:color w:val="000000" w:themeColor="text1"/>
          <w:kern w:val="2"/>
          <w:sz w:val="22"/>
          <w:szCs w:val="22"/>
          <w14:textFill>
            <w14:solidFill>
              <w14:schemeClr w14:val="tx1"/>
            </w14:solidFill>
          </w14:textFill>
        </w:rPr>
        <w:t>附件三：厂家提供的</w:t>
      </w:r>
      <w:r>
        <w:rPr>
          <w:rFonts w:hint="eastAsia" w:ascii="宋体" w:hAnsi="宋体" w:eastAsia="宋体" w:cs="宋体"/>
          <w:b w:val="0"/>
          <w:bCs/>
          <w:color w:val="000000" w:themeColor="text1"/>
          <w:kern w:val="2"/>
          <w:sz w:val="22"/>
          <w:szCs w:val="22"/>
          <w:lang w:val="en-US" w:eastAsia="zh-CN"/>
          <w14:textFill>
            <w14:solidFill>
              <w14:schemeClr w14:val="tx1"/>
            </w14:solidFill>
          </w14:textFill>
        </w:rPr>
        <w:t>3</w:t>
      </w:r>
      <w:r>
        <w:rPr>
          <w:rFonts w:hint="eastAsia" w:ascii="宋体" w:hAnsi="宋体" w:eastAsia="宋体" w:cs="宋体"/>
          <w:b w:val="0"/>
          <w:bCs/>
          <w:color w:val="000000" w:themeColor="text1"/>
          <w:kern w:val="2"/>
          <w:sz w:val="22"/>
          <w:szCs w:val="22"/>
          <w14:textFill>
            <w14:solidFill>
              <w14:schemeClr w14:val="tx1"/>
            </w14:solidFill>
          </w14:textFill>
        </w:rPr>
        <w:t>年质保证明和维保内容</w:t>
      </w:r>
      <w:bookmarkStart w:id="0" w:name="_GoBack"/>
      <w:bookmarkEnd w:id="0"/>
    </w:p>
    <w:sectPr>
      <w:footerReference r:id="rId5" w:type="default"/>
      <w:pgSz w:w="11900" w:h="16843"/>
      <w:pgMar w:top="1247" w:right="1247" w:bottom="1247" w:left="1247" w:header="0" w:footer="510" w:gutter="0"/>
      <w:pgNumType w:fmt="decimal"/>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F2107">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87CF5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87CF5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懒汉ing">
    <w15:presenceInfo w15:providerId="WPS Office" w15:userId="1348753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DF"/>
    <w:rsid w:val="00C13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before="60" w:line="360" w:lineRule="auto"/>
      <w:ind w:firstLine="420"/>
    </w:pPr>
    <w:rPr>
      <w:rFonts w:ascii="Times New Roman" w:hAnsi="Times New Roman"/>
      <w:color w:val="auto"/>
      <w:spacing w:val="6"/>
      <w:kern w:val="2"/>
    </w:rPr>
  </w:style>
  <w:style w:type="paragraph" w:styleId="4">
    <w:name w:val="Body Text"/>
    <w:basedOn w:val="1"/>
    <w:next w:val="1"/>
    <w:qFormat/>
    <w:uiPriority w:val="0"/>
    <w:rPr>
      <w:sz w:val="24"/>
    </w:rPr>
  </w:style>
  <w:style w:type="paragraph" w:styleId="5">
    <w:name w:val="footer"/>
    <w:basedOn w:val="1"/>
    <w:qFormat/>
    <w:uiPriority w:val="0"/>
    <w:pPr>
      <w:suppressLineNumbers/>
      <w:tabs>
        <w:tab w:val="center" w:pos="4818"/>
        <w:tab w:val="right" w:pos="9637"/>
      </w:tabs>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 首行缩进:  2 字符"/>
    <w:basedOn w:val="1"/>
    <w:qFormat/>
    <w:uiPriority w:val="0"/>
    <w:pPr>
      <w:spacing w:before="0" w:after="0" w:line="400" w:lineRule="exact"/>
      <w:ind w:firstLine="200" w:firstLineChars="200"/>
    </w:pPr>
    <w:rPr>
      <w:rFonts w:ascii="Times New Roman" w:hAnsi="Times New Roman" w:cs="宋体"/>
      <w:color w:val="auto"/>
      <w:kern w:val="2"/>
      <w:szCs w:val="24"/>
    </w:rPr>
  </w:style>
  <w:style w:type="paragraph" w:customStyle="1" w:styleId="10">
    <w:name w:val="正文首行缩进两字符"/>
    <w:basedOn w:val="1"/>
    <w:qFormat/>
    <w:uiPriority w:val="0"/>
    <w:pPr>
      <w:spacing w:line="360" w:lineRule="auto"/>
      <w:ind w:firstLine="200" w:firstLineChars="200"/>
    </w:pPr>
    <w:rPr>
      <w:lang w:eastAsia="zh-CN"/>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2025-06-17T02:49:00Z</dcterms:created>
  <dc:creator>刘兴华</dc:creator>
  <cp:lastModifiedBy>刘兴华</cp:lastModifiedBy>
  <dcterms:modified xsi:type="dcterms:W3CDTF">2025-06-17T02:50:13Z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B56DAA49FB1D461C86177D9FF08A5DEF_11</vt:lpwstr>
  </property>
  <property fmtid="{D5CDD505-2E9C-101B-9397-08002B2CF9AE}" pid="4" name="KSOTemplateDocerSaveRecord">
    <vt:lpwstr>eyJoZGlkIjoiMWRhYWQ5YWYxMWFjODU4Yzc0Yjk3YTg5NDZmNzM5MTkiLCJ1c2VySWQiOiIyODc2OTQ0In0=</vt:lpwstr>
  </property>
</Properties>
</file>