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FD360">
      <w:pPr>
        <w:widowControl/>
        <w:snapToGrid w:val="0"/>
        <w:jc w:val="center"/>
        <w:textAlignment w:val="baseline"/>
        <w:rPr>
          <w:rFonts w:hint="eastAsia" w:ascii="宋体" w:hAnsi="宋体" w:eastAsia="宋体" w:cs="宋体"/>
          <w:b/>
          <w:bCs/>
          <w:sz w:val="52"/>
          <w:szCs w:val="52"/>
        </w:rPr>
      </w:pPr>
      <w:r>
        <w:rPr>
          <w:rFonts w:hint="eastAsia" w:ascii="宋体" w:hAnsi="宋体" w:eastAsia="宋体" w:cs="宋体"/>
          <w:b/>
          <w:bCs/>
          <w:sz w:val="52"/>
          <w:szCs w:val="52"/>
        </w:rPr>
        <w:t>医保网络安全检查</w:t>
      </w:r>
    </w:p>
    <w:p w14:paraId="7EFF68F8">
      <w:pPr>
        <w:widowControl/>
        <w:snapToGrid w:val="0"/>
        <w:jc w:val="center"/>
        <w:textAlignment w:val="baseline"/>
        <w:rPr>
          <w:rFonts w:hint="eastAsia" w:ascii="宋体" w:hAnsi="宋体" w:eastAsia="宋体" w:cs="宋体"/>
          <w:b/>
          <w:bCs/>
          <w:sz w:val="52"/>
          <w:szCs w:val="52"/>
        </w:rPr>
      </w:pPr>
    </w:p>
    <w:p w14:paraId="0C35A065">
      <w:pPr>
        <w:widowControl/>
        <w:snapToGrid w:val="0"/>
        <w:jc w:val="center"/>
        <w:textAlignment w:val="baseline"/>
        <w:rPr>
          <w:rFonts w:hint="eastAsia" w:ascii="宋体" w:hAnsi="宋体" w:eastAsia="宋体" w:cs="宋体"/>
          <w:b/>
          <w:bCs/>
          <w:sz w:val="52"/>
          <w:szCs w:val="52"/>
        </w:rPr>
      </w:pPr>
    </w:p>
    <w:p w14:paraId="1B1CC137">
      <w:pPr>
        <w:widowControl/>
        <w:snapToGrid w:val="0"/>
        <w:jc w:val="center"/>
        <w:textAlignment w:val="baseline"/>
        <w:rPr>
          <w:rFonts w:hint="eastAsia" w:ascii="宋体" w:hAnsi="宋体" w:eastAsia="宋体" w:cs="宋体"/>
          <w:b/>
          <w:bCs/>
          <w:sz w:val="52"/>
          <w:szCs w:val="52"/>
        </w:rPr>
      </w:pPr>
    </w:p>
    <w:p w14:paraId="65FE789B">
      <w:pPr>
        <w:widowControl/>
        <w:snapToGrid w:val="0"/>
        <w:jc w:val="center"/>
        <w:textAlignment w:val="baseline"/>
        <w:rPr>
          <w:rFonts w:hint="eastAsia" w:ascii="宋体" w:hAnsi="宋体" w:eastAsia="宋体" w:cs="宋体"/>
          <w:b/>
          <w:bCs/>
          <w:sz w:val="52"/>
          <w:szCs w:val="52"/>
        </w:rPr>
      </w:pPr>
      <w:r>
        <w:rPr>
          <w:rFonts w:hint="eastAsia" w:ascii="宋体" w:hAnsi="宋体" w:eastAsia="宋体" w:cs="宋体"/>
          <w:b/>
          <w:bCs/>
          <w:sz w:val="52"/>
          <w:szCs w:val="52"/>
          <w:lang w:val="en-US" w:eastAsia="zh-CN"/>
        </w:rPr>
        <w:t>政府采购</w:t>
      </w:r>
      <w:r>
        <w:rPr>
          <w:rFonts w:hint="eastAsia" w:ascii="宋体" w:hAnsi="宋体" w:eastAsia="宋体" w:cs="宋体"/>
          <w:b/>
          <w:bCs/>
          <w:sz w:val="52"/>
          <w:szCs w:val="52"/>
        </w:rPr>
        <w:t>采购合同</w:t>
      </w:r>
    </w:p>
    <w:p w14:paraId="0CE95B49">
      <w:pPr>
        <w:widowControl/>
        <w:snapToGrid w:val="0"/>
        <w:jc w:val="center"/>
        <w:textAlignment w:val="baseline"/>
        <w:rPr>
          <w:rFonts w:hint="eastAsia" w:ascii="宋体" w:hAnsi="宋体" w:eastAsia="宋体" w:cs="宋体"/>
          <w:b/>
          <w:bCs/>
          <w:sz w:val="52"/>
          <w:szCs w:val="52"/>
        </w:rPr>
      </w:pPr>
    </w:p>
    <w:p w14:paraId="228919DA">
      <w:pPr>
        <w:widowControl/>
        <w:snapToGrid w:val="0"/>
        <w:jc w:val="center"/>
        <w:textAlignment w:val="baseline"/>
        <w:rPr>
          <w:rFonts w:hint="eastAsia" w:ascii="宋体" w:hAnsi="宋体" w:eastAsia="宋体" w:cs="宋体"/>
          <w:b/>
          <w:bCs/>
          <w:sz w:val="52"/>
          <w:szCs w:val="52"/>
        </w:rPr>
      </w:pPr>
    </w:p>
    <w:p w14:paraId="01DF31E0">
      <w:pPr>
        <w:widowControl/>
        <w:snapToGrid w:val="0"/>
        <w:jc w:val="center"/>
        <w:textAlignment w:val="baseline"/>
        <w:rPr>
          <w:rFonts w:hint="eastAsia" w:ascii="宋体" w:hAnsi="宋体" w:eastAsia="宋体" w:cs="宋体"/>
          <w:b/>
          <w:bCs/>
          <w:sz w:val="52"/>
          <w:szCs w:val="52"/>
        </w:rPr>
      </w:pPr>
    </w:p>
    <w:p w14:paraId="42CBD32F">
      <w:pPr>
        <w:widowControl/>
        <w:snapToGrid w:val="0"/>
        <w:textAlignment w:val="baseline"/>
        <w:rPr>
          <w:rFonts w:hint="eastAsia" w:ascii="宋体" w:hAnsi="宋体" w:eastAsia="宋体" w:cs="宋体"/>
          <w:szCs w:val="20"/>
        </w:rPr>
      </w:pPr>
    </w:p>
    <w:p w14:paraId="17373A46">
      <w:pPr>
        <w:spacing w:after="120"/>
        <w:jc w:val="both"/>
        <w:textAlignment w:val="baseline"/>
        <w:rPr>
          <w:rFonts w:hint="eastAsia" w:ascii="宋体" w:hAnsi="宋体" w:eastAsia="宋体" w:cs="宋体"/>
          <w:kern w:val="2"/>
          <w:sz w:val="21"/>
          <w:lang w:val="en-US" w:eastAsia="zh-CN" w:bidi="ar-SA"/>
        </w:rPr>
      </w:pPr>
    </w:p>
    <w:p w14:paraId="4D4D1C29">
      <w:pPr>
        <w:widowControl/>
        <w:textAlignment w:val="baseline"/>
        <w:rPr>
          <w:rFonts w:hint="eastAsia" w:ascii="宋体" w:hAnsi="宋体" w:eastAsia="宋体" w:cs="宋体"/>
          <w:szCs w:val="20"/>
        </w:rPr>
      </w:pPr>
    </w:p>
    <w:p w14:paraId="696C397C">
      <w:pPr>
        <w:widowControl/>
        <w:snapToGrid w:val="0"/>
        <w:textAlignment w:val="baseline"/>
        <w:rPr>
          <w:rFonts w:hint="eastAsia" w:ascii="宋体" w:hAnsi="宋体" w:eastAsia="宋体" w:cs="宋体"/>
          <w:szCs w:val="20"/>
        </w:rPr>
      </w:pPr>
    </w:p>
    <w:p w14:paraId="57C47940">
      <w:pPr>
        <w:widowControl/>
        <w:snapToGrid w:val="0"/>
        <w:textAlignment w:val="baseline"/>
        <w:rPr>
          <w:rFonts w:hint="eastAsia" w:ascii="宋体" w:hAnsi="宋体" w:eastAsia="宋体" w:cs="宋体"/>
          <w:szCs w:val="20"/>
        </w:rPr>
      </w:pPr>
    </w:p>
    <w:p w14:paraId="4487FD54">
      <w:pPr>
        <w:widowControl/>
        <w:snapToGrid w:val="0"/>
        <w:textAlignment w:val="baseline"/>
        <w:rPr>
          <w:rFonts w:hint="eastAsia" w:ascii="宋体" w:hAnsi="宋体" w:eastAsia="宋体" w:cs="宋体"/>
          <w:szCs w:val="20"/>
        </w:rPr>
      </w:pPr>
    </w:p>
    <w:p w14:paraId="6A3FBF52">
      <w:pPr>
        <w:widowControl/>
        <w:snapToGrid w:val="0"/>
        <w:textAlignment w:val="baseline"/>
        <w:rPr>
          <w:rFonts w:hint="eastAsia" w:ascii="宋体" w:hAnsi="宋体" w:eastAsia="宋体" w:cs="宋体"/>
          <w:szCs w:val="20"/>
        </w:rPr>
      </w:pPr>
    </w:p>
    <w:p w14:paraId="456DDC0F">
      <w:pPr>
        <w:widowControl/>
        <w:snapToGrid w:val="0"/>
        <w:textAlignment w:val="baseline"/>
        <w:rPr>
          <w:rFonts w:hint="eastAsia" w:ascii="宋体" w:hAnsi="宋体" w:eastAsia="宋体" w:cs="宋体"/>
          <w:szCs w:val="20"/>
        </w:rPr>
      </w:pPr>
    </w:p>
    <w:p w14:paraId="7F3C8AEA">
      <w:pPr>
        <w:widowControl/>
        <w:snapToGrid w:val="0"/>
        <w:textAlignment w:val="baseline"/>
        <w:rPr>
          <w:rFonts w:hint="eastAsia" w:ascii="宋体" w:hAnsi="宋体" w:eastAsia="宋体" w:cs="宋体"/>
          <w:szCs w:val="20"/>
        </w:rPr>
      </w:pPr>
    </w:p>
    <w:p w14:paraId="2D8A4EE7">
      <w:pPr>
        <w:widowControl/>
        <w:snapToGrid w:val="0"/>
        <w:textAlignment w:val="baseline"/>
        <w:rPr>
          <w:rFonts w:hint="eastAsia" w:ascii="宋体" w:hAnsi="宋体" w:eastAsia="宋体" w:cs="宋体"/>
          <w:szCs w:val="20"/>
        </w:rPr>
      </w:pPr>
    </w:p>
    <w:p w14:paraId="18C67903">
      <w:pPr>
        <w:widowControl/>
        <w:snapToGrid w:val="0"/>
        <w:textAlignment w:val="baseline"/>
        <w:rPr>
          <w:rFonts w:hint="eastAsia" w:ascii="宋体" w:hAnsi="宋体" w:eastAsia="宋体" w:cs="宋体"/>
          <w:szCs w:val="20"/>
        </w:rPr>
      </w:pPr>
    </w:p>
    <w:p w14:paraId="402266B5">
      <w:pPr>
        <w:widowControl/>
        <w:snapToGrid w:val="0"/>
        <w:textAlignment w:val="baseline"/>
        <w:rPr>
          <w:rFonts w:hint="eastAsia" w:ascii="宋体" w:hAnsi="宋体" w:eastAsia="宋体" w:cs="宋体"/>
          <w:szCs w:val="20"/>
        </w:rPr>
      </w:pPr>
    </w:p>
    <w:p w14:paraId="44772D40">
      <w:pPr>
        <w:widowControl/>
        <w:snapToGrid w:val="0"/>
        <w:textAlignment w:val="baseline"/>
        <w:rPr>
          <w:rFonts w:hint="eastAsia" w:ascii="宋体" w:hAnsi="宋体" w:eastAsia="宋体" w:cs="宋体"/>
          <w:sz w:val="28"/>
          <w:szCs w:val="28"/>
        </w:rPr>
      </w:pPr>
    </w:p>
    <w:p w14:paraId="0DC27F96">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甲方：</w:t>
      </w:r>
      <w:r>
        <w:rPr>
          <w:rFonts w:hint="eastAsia" w:ascii="宋体" w:hAnsi="宋体" w:eastAsia="宋体" w:cs="宋体"/>
          <w:sz w:val="28"/>
          <w:szCs w:val="28"/>
          <w:u w:val="single" w:color="000000"/>
        </w:rPr>
        <w:t xml:space="preserve">                                  </w:t>
      </w:r>
    </w:p>
    <w:p w14:paraId="60330B8B">
      <w:pPr>
        <w:widowControl/>
        <w:snapToGrid w:val="0"/>
        <w:spacing w:line="360" w:lineRule="auto"/>
        <w:textAlignment w:val="baseline"/>
        <w:rPr>
          <w:rFonts w:hint="eastAsia" w:ascii="宋体" w:hAnsi="宋体" w:eastAsia="宋体" w:cs="宋体"/>
          <w:sz w:val="28"/>
          <w:szCs w:val="28"/>
        </w:rPr>
      </w:pPr>
    </w:p>
    <w:p w14:paraId="1D3D2068">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乙方：</w:t>
      </w:r>
      <w:r>
        <w:rPr>
          <w:rFonts w:hint="eastAsia" w:ascii="宋体" w:hAnsi="宋体" w:eastAsia="宋体" w:cs="宋体"/>
          <w:sz w:val="28"/>
          <w:szCs w:val="28"/>
          <w:u w:val="single" w:color="000000"/>
        </w:rPr>
        <w:t xml:space="preserve">                                  </w:t>
      </w:r>
    </w:p>
    <w:p w14:paraId="230B3C0C">
      <w:pPr>
        <w:widowControl/>
        <w:snapToGrid w:val="0"/>
        <w:spacing w:line="360" w:lineRule="auto"/>
        <w:textAlignment w:val="baseline"/>
        <w:rPr>
          <w:rFonts w:hint="eastAsia" w:ascii="宋体" w:hAnsi="宋体" w:eastAsia="宋体" w:cs="宋体"/>
          <w:sz w:val="28"/>
          <w:szCs w:val="28"/>
          <w:u w:val="single"/>
        </w:rPr>
      </w:pPr>
    </w:p>
    <w:p w14:paraId="6471C095">
      <w:pPr>
        <w:widowControl/>
        <w:snapToGrid w:val="0"/>
        <w:jc w:val="center"/>
        <w:textAlignment w:val="baseline"/>
        <w:rPr>
          <w:rFonts w:hint="eastAsia" w:ascii="宋体" w:hAnsi="宋体" w:eastAsia="宋体" w:cs="宋体"/>
          <w:sz w:val="28"/>
          <w:szCs w:val="28"/>
          <w:u w:val="single"/>
        </w:rPr>
      </w:pPr>
    </w:p>
    <w:p w14:paraId="1DE0C9F1">
      <w:pPr>
        <w:widowControl/>
        <w:snapToGrid w:val="0"/>
        <w:jc w:val="center"/>
        <w:textAlignment w:val="baseline"/>
        <w:rPr>
          <w:rFonts w:hint="eastAsia" w:ascii="宋体" w:hAnsi="宋体" w:eastAsia="宋体" w:cs="宋体"/>
          <w:sz w:val="28"/>
          <w:szCs w:val="28"/>
        </w:rPr>
      </w:pPr>
      <w:r>
        <w:rPr>
          <w:rFonts w:hint="eastAsia" w:ascii="宋体" w:hAnsi="宋体" w:eastAsia="宋体" w:cs="宋体"/>
          <w:sz w:val="28"/>
          <w:szCs w:val="28"/>
          <w:u w:val="single" w:color="000000"/>
        </w:rPr>
        <w:t xml:space="preserve">      </w:t>
      </w:r>
      <w:r>
        <w:rPr>
          <w:rFonts w:hint="eastAsia" w:ascii="宋体" w:hAnsi="宋体" w:eastAsia="宋体" w:cs="宋体"/>
          <w:sz w:val="28"/>
          <w:szCs w:val="28"/>
        </w:rPr>
        <w:t>年</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月</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日</w:t>
      </w:r>
    </w:p>
    <w:p w14:paraId="653C0789">
      <w:pPr>
        <w:widowControl/>
        <w:textAlignment w:val="baseline"/>
        <w:rPr>
          <w:rFonts w:hint="eastAsia" w:ascii="宋体" w:hAnsi="宋体" w:eastAsia="宋体" w:cs="宋体"/>
          <w:szCs w:val="20"/>
        </w:rPr>
      </w:pPr>
    </w:p>
    <w:p w14:paraId="09B907A5">
      <w:pPr>
        <w:rPr>
          <w:rFonts w:hint="eastAsia" w:ascii="宋体" w:hAnsi="宋体" w:eastAsia="宋体" w:cs="宋体"/>
          <w:bCs/>
          <w:sz w:val="24"/>
          <w:szCs w:val="24"/>
        </w:rPr>
      </w:pPr>
      <w:r>
        <w:rPr>
          <w:rFonts w:hint="eastAsia" w:ascii="宋体" w:hAnsi="宋体" w:eastAsia="宋体" w:cs="宋体"/>
          <w:bCs/>
          <w:sz w:val="24"/>
          <w:szCs w:val="24"/>
        </w:rPr>
        <w:br w:type="page"/>
      </w:r>
    </w:p>
    <w:p w14:paraId="0A98A5B5">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甲方（采购人）： </w:t>
      </w:r>
    </w:p>
    <w:p w14:paraId="5A801764">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乙方（中标人）： </w:t>
      </w:r>
    </w:p>
    <w:p w14:paraId="3134117C">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u w:val="single"/>
        </w:rPr>
        <w:t>医保网络安全检查</w:t>
      </w:r>
      <w:r>
        <w:rPr>
          <w:rFonts w:hint="eastAsia" w:ascii="宋体" w:hAnsi="宋体" w:cs="宋体"/>
          <w:bCs/>
          <w:sz w:val="24"/>
          <w:szCs w:val="24"/>
          <w:u w:val="single"/>
          <w:lang w:eastAsia="zh-CN"/>
        </w:rPr>
        <w:t>（</w:t>
      </w:r>
      <w:r>
        <w:rPr>
          <w:rFonts w:hint="eastAsia" w:ascii="宋体" w:hAnsi="宋体" w:cs="宋体"/>
          <w:bCs/>
          <w:sz w:val="24"/>
          <w:szCs w:val="24"/>
          <w:u w:val="single"/>
          <w:lang w:val="en-US" w:eastAsia="zh-CN"/>
        </w:rPr>
        <w:t xml:space="preserve">包号：      </w:t>
      </w:r>
      <w:r>
        <w:rPr>
          <w:rFonts w:hint="eastAsia" w:ascii="宋体" w:hAnsi="宋体" w:cs="宋体"/>
          <w:bCs/>
          <w:sz w:val="24"/>
          <w:szCs w:val="24"/>
          <w:u w:val="single"/>
          <w:lang w:eastAsia="zh-CN"/>
        </w:rPr>
        <w:t>）</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亿诚建设项目管理有限公司</w:t>
      </w:r>
      <w:r>
        <w:rPr>
          <w:rFonts w:hint="eastAsia" w:ascii="宋体" w:hAnsi="宋体" w:eastAsia="宋体" w:cs="宋体"/>
          <w:bCs/>
          <w:sz w:val="24"/>
          <w:szCs w:val="24"/>
        </w:rPr>
        <w:t>组织</w:t>
      </w:r>
      <w:r>
        <w:rPr>
          <w:rFonts w:hint="eastAsia" w:ascii="宋体" w:hAnsi="宋体" w:eastAsia="宋体" w:cs="宋体"/>
          <w:bCs/>
          <w:sz w:val="24"/>
          <w:szCs w:val="24"/>
          <w:lang w:val="en-US" w:eastAsia="zh-CN"/>
        </w:rPr>
        <w:t>竞争性磋商</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（以下简称“乙方”）为该项目的中标人。</w:t>
      </w:r>
    </w:p>
    <w:p w14:paraId="6A810562">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依据《中华人民共和国</w:t>
      </w:r>
      <w:r>
        <w:rPr>
          <w:rFonts w:hint="eastAsia" w:ascii="宋体" w:hAnsi="宋体" w:eastAsia="宋体" w:cs="宋体"/>
          <w:bCs/>
          <w:sz w:val="24"/>
          <w:szCs w:val="24"/>
          <w:lang w:eastAsia="zh-CN"/>
        </w:rPr>
        <w:t>民法典</w:t>
      </w:r>
      <w:r>
        <w:rPr>
          <w:rFonts w:hint="eastAsia" w:ascii="宋体" w:hAnsi="宋体" w:eastAsia="宋体" w:cs="宋体"/>
          <w:bCs/>
          <w:sz w:val="24"/>
          <w:szCs w:val="24"/>
        </w:rPr>
        <w:t>》和《中华人民共和国政府采购法》之规定，经双方在平等、自愿、互利的基础上，签订本合同，共同信守。</w:t>
      </w:r>
    </w:p>
    <w:p w14:paraId="54335E7B">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一、合同价款</w:t>
      </w:r>
    </w:p>
    <w:p w14:paraId="427BB255">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（一）合同总价款为人民币（大写）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4EBF9493">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（二）合同总价包括但不限于</w:t>
      </w:r>
      <w:r>
        <w:rPr>
          <w:rFonts w:hint="eastAsia" w:ascii="宋体" w:hAnsi="宋体" w:eastAsia="宋体" w:cs="宋体"/>
          <w:sz w:val="24"/>
          <w:szCs w:val="24"/>
        </w:rPr>
        <w:t>人员工资、</w:t>
      </w:r>
      <w:r>
        <w:rPr>
          <w:rFonts w:hint="eastAsia" w:ascii="宋体" w:hAnsi="宋体" w:eastAsia="宋体" w:cs="宋体"/>
          <w:bCs/>
          <w:sz w:val="24"/>
          <w:szCs w:val="24"/>
        </w:rPr>
        <w:t>交通费、误餐补助、运输费、管理费、税金等一切相关费用。</w:t>
      </w:r>
    </w:p>
    <w:p w14:paraId="471F1ACA">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（三）合同总价一次性包死，不受市场价格变化因素的影响。</w:t>
      </w:r>
    </w:p>
    <w:p w14:paraId="732911DB">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二、款项结算</w:t>
      </w:r>
    </w:p>
    <w:p w14:paraId="5B297BBB">
      <w:pPr>
        <w:widowControl/>
        <w:autoSpaceDE w:val="0"/>
        <w:autoSpaceDN w:val="0"/>
        <w:adjustRightInd w:val="0"/>
        <w:spacing w:line="360" w:lineRule="auto"/>
        <w:ind w:firstLine="480" w:firstLineChars="200"/>
        <w:textAlignment w:val="baseline"/>
        <w:rPr>
          <w:rFonts w:hint="eastAsia" w:ascii="宋体" w:hAnsi="宋体" w:eastAsia="宋体" w:cs="宋体"/>
          <w:bCs/>
          <w:kern w:val="2"/>
          <w:sz w:val="24"/>
          <w:szCs w:val="24"/>
          <w:lang w:val="en-US" w:eastAsia="zh-CN" w:bidi="ar-SA"/>
        </w:rPr>
      </w:pPr>
      <w:r>
        <w:rPr>
          <w:rFonts w:hint="eastAsia" w:ascii="宋体" w:hAnsi="宋体" w:eastAsia="宋体" w:cs="宋体"/>
          <w:bCs/>
          <w:sz w:val="24"/>
          <w:szCs w:val="24"/>
        </w:rPr>
        <w:t>（一）合同</w:t>
      </w:r>
      <w:r>
        <w:rPr>
          <w:rFonts w:hint="eastAsia" w:ascii="宋体" w:hAnsi="宋体" w:eastAsia="宋体" w:cs="宋体"/>
          <w:bCs/>
          <w:kern w:val="2"/>
          <w:sz w:val="24"/>
          <w:szCs w:val="24"/>
          <w:lang w:val="en-US" w:eastAsia="zh-CN" w:bidi="ar-SA"/>
        </w:rPr>
        <w:t>款的支付：在合同签订后10日内，支付合同总额的50%；网络安全检查服务验收完成后，支付合同金额的50%。</w:t>
      </w:r>
    </w:p>
    <w:p w14:paraId="5C062A0F">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（二）结算方式：银行转账。</w:t>
      </w:r>
    </w:p>
    <w:p w14:paraId="390D87AD">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（三）支付方式：</w:t>
      </w:r>
      <w:r>
        <w:rPr>
          <w:rFonts w:hint="eastAsia" w:ascii="宋体" w:hAnsi="宋体" w:eastAsia="宋体" w:cs="宋体"/>
          <w:sz w:val="24"/>
          <w:szCs w:val="24"/>
          <w:lang w:val="zh-CN"/>
        </w:rPr>
        <w:t>由</w:t>
      </w:r>
      <w:r>
        <w:rPr>
          <w:rFonts w:hint="eastAsia" w:ascii="宋体" w:hAnsi="宋体" w:eastAsia="宋体" w:cs="宋体"/>
          <w:sz w:val="24"/>
          <w:szCs w:val="24"/>
        </w:rPr>
        <w:t>甲方</w:t>
      </w:r>
      <w:r>
        <w:rPr>
          <w:rFonts w:hint="eastAsia" w:ascii="宋体" w:hAnsi="宋体" w:eastAsia="宋体" w:cs="宋体"/>
          <w:sz w:val="24"/>
          <w:szCs w:val="24"/>
          <w:lang w:val="zh-CN"/>
        </w:rPr>
        <w:t>负责结算，合同签订后，乙方在接受付款前，开具全额发票给甲方。</w:t>
      </w:r>
    </w:p>
    <w:p w14:paraId="36DEC24D">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三、服务地点及服务期</w:t>
      </w:r>
    </w:p>
    <w:p w14:paraId="16B42450">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w:t>
      </w:r>
      <w:r>
        <w:rPr>
          <w:rFonts w:hint="eastAsia" w:ascii="宋体" w:hAnsi="宋体" w:eastAsia="宋体" w:cs="宋体"/>
          <w:bCs/>
          <w:sz w:val="24"/>
          <w:szCs w:val="24"/>
          <w:lang w:val="en-US" w:eastAsia="zh-CN"/>
        </w:rPr>
        <w:t>服务地点：西安市医疗保险基金管理中心</w:t>
      </w:r>
      <w:r>
        <w:rPr>
          <w:rFonts w:hint="eastAsia" w:ascii="宋体" w:hAnsi="宋体" w:eastAsia="宋体" w:cs="宋体"/>
          <w:bCs/>
          <w:sz w:val="24"/>
          <w:szCs w:val="24"/>
        </w:rPr>
        <w:t>。</w:t>
      </w:r>
    </w:p>
    <w:p w14:paraId="1F04E7CE">
      <w:pPr>
        <w:tabs>
          <w:tab w:val="center" w:pos="4153"/>
          <w:tab w:val="right" w:pos="8306"/>
        </w:tabs>
        <w:snapToGrid w:val="0"/>
        <w:spacing w:line="360" w:lineRule="auto"/>
        <w:ind w:firstLine="480" w:firstLineChars="200"/>
        <w:jc w:val="left"/>
        <w:textAlignment w:val="baseline"/>
        <w:rPr>
          <w:rFonts w:hint="eastAsia" w:ascii="宋体" w:hAnsi="宋体" w:eastAsia="宋体" w:cs="宋体"/>
          <w:b/>
          <w:bCs/>
          <w:kern w:val="2"/>
          <w:sz w:val="24"/>
          <w:szCs w:val="24"/>
          <w:highlight w:val="red"/>
          <w:lang w:val="en-US" w:eastAsia="zh-CN" w:bidi="ar-SA"/>
        </w:rPr>
      </w:pPr>
      <w:r>
        <w:rPr>
          <w:rFonts w:hint="eastAsia" w:ascii="宋体" w:hAnsi="宋体" w:eastAsia="宋体" w:cs="宋体"/>
          <w:bCs/>
          <w:kern w:val="2"/>
          <w:sz w:val="24"/>
          <w:szCs w:val="24"/>
          <w:lang w:val="en-US" w:eastAsia="zh-CN" w:bidi="ar-SA"/>
        </w:rPr>
        <w:t>（二）服务期限：合同签订，接采购人通知后90天内完成所有检查任务，并提交相关报告。</w:t>
      </w:r>
      <w:r>
        <w:rPr>
          <w:rFonts w:hint="eastAsia" w:ascii="宋体" w:hAnsi="宋体" w:eastAsia="宋体" w:cs="宋体"/>
          <w:color w:val="000000"/>
          <w:kern w:val="15"/>
          <w:sz w:val="24"/>
          <w:szCs w:val="24"/>
          <w:highlight w:val="none"/>
          <w:lang w:val="en-US" w:eastAsia="zh-CN" w:bidi="ar-SA"/>
        </w:rPr>
        <w:t xml:space="preserve"> </w:t>
      </w:r>
    </w:p>
    <w:p w14:paraId="44E90A33">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四、服务承诺</w:t>
      </w:r>
    </w:p>
    <w:p w14:paraId="35E162BF">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（一）服务期内，乙方需派项目经理，直接与甲方沟通，项目经理接收甲方提出的问题与要求，并及时向公司申请调动资源，解决甲方在</w:t>
      </w:r>
      <w:r>
        <w:rPr>
          <w:rFonts w:hint="eastAsia" w:ascii="宋体" w:hAnsi="宋体" w:eastAsia="宋体" w:cs="宋体"/>
          <w:bCs/>
          <w:sz w:val="24"/>
          <w:szCs w:val="24"/>
          <w:lang w:eastAsia="zh-CN"/>
        </w:rPr>
        <w:t>呼叫外包</w:t>
      </w:r>
      <w:r>
        <w:rPr>
          <w:rFonts w:hint="eastAsia" w:ascii="宋体" w:hAnsi="宋体" w:eastAsia="宋体" w:cs="宋体"/>
          <w:bCs/>
          <w:sz w:val="24"/>
          <w:szCs w:val="24"/>
        </w:rPr>
        <w:t>中遇到的问题。</w:t>
      </w:r>
    </w:p>
    <w:p w14:paraId="2E3D5629">
      <w:pPr>
        <w:widowControl/>
        <w:autoSpaceDE w:val="0"/>
        <w:autoSpaceDN w:val="0"/>
        <w:adjustRightInd w:val="0"/>
        <w:snapToGrid w:val="0"/>
        <w:spacing w:line="360" w:lineRule="auto"/>
        <w:ind w:firstLine="630"/>
        <w:textAlignment w:val="baseline"/>
        <w:rPr>
          <w:rFonts w:hint="eastAsia" w:ascii="宋体" w:hAnsi="宋体" w:eastAsia="宋体" w:cs="宋体"/>
          <w:bCs/>
          <w:color w:val="FF0000"/>
          <w:sz w:val="24"/>
          <w:szCs w:val="24"/>
        </w:rPr>
      </w:pPr>
      <w:r>
        <w:rPr>
          <w:rFonts w:hint="eastAsia" w:ascii="宋体" w:hAnsi="宋体" w:eastAsia="宋体" w:cs="宋体"/>
          <w:bCs/>
          <w:sz w:val="24"/>
          <w:szCs w:val="24"/>
        </w:rPr>
        <w:t>（二）服务过程中会出现不可预料的需求变更，乙方需积极配合甲方的需求变更，并按照变更后的需求执行。</w:t>
      </w:r>
    </w:p>
    <w:p w14:paraId="5227CFE0">
      <w:pPr>
        <w:spacing w:line="360" w:lineRule="auto"/>
        <w:ind w:firstLine="480" w:firstLineChars="200"/>
        <w:jc w:val="both"/>
        <w:textAlignment w:val="baseline"/>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（三）乙方需设有详细的技术资料档案和服务档案，将保存项目的详细资料以便于更好地提供服务。</w:t>
      </w:r>
    </w:p>
    <w:p w14:paraId="33239CCA">
      <w:pPr>
        <w:widowControl/>
        <w:snapToGrid w:val="0"/>
        <w:spacing w:line="360" w:lineRule="auto"/>
        <w:ind w:firstLine="482" w:firstLineChars="200"/>
        <w:textAlignment w:val="baseline"/>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五</w:t>
      </w:r>
      <w:r>
        <w:rPr>
          <w:rFonts w:hint="eastAsia" w:ascii="宋体" w:hAnsi="宋体" w:eastAsia="宋体" w:cs="宋体"/>
          <w:b/>
          <w:sz w:val="24"/>
          <w:szCs w:val="24"/>
        </w:rPr>
        <w:t>、</w:t>
      </w:r>
      <w:r>
        <w:rPr>
          <w:rFonts w:hint="eastAsia" w:ascii="宋体" w:hAnsi="宋体" w:eastAsia="宋体" w:cs="宋体"/>
          <w:b/>
          <w:sz w:val="24"/>
          <w:szCs w:val="24"/>
          <w:lang w:val="en-US" w:eastAsia="zh-CN"/>
        </w:rPr>
        <w:t>服务内容</w:t>
      </w:r>
    </w:p>
    <w:p w14:paraId="34E1BBB3">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一包：医保网络安全检查服务</w:t>
      </w:r>
    </w:p>
    <w:p w14:paraId="1E3ED7D9">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对全市20家医保经办机构、市医疗保险基金管理中心进行医保网络安全合规检查，检查内容包括但不限于：网络基本情况、网络安全管理机构情况、网络安全工作责任制、网络安全管理制度及运行情况、网络安全管理措施情况、安全物理环境情况、网络安全技术防护措施情况、网络安全应急管理情况、数据安全和个人信息保护法规落实情况、网络安全风险评估情况、漏洞风险管理情况、医保数据检查、数字证书检查，要求对每家被检测机构出具专项网络安全检查报告和整改建议书，能针对检查数据进行有效分析（包括往年数据对比分析），形成行业主管单位网络安全管理工作建议；提供网络安全运维服务，包括但不限于：网络安全管理规范建设服务、网络安全培训服务、网络安全巡检服务、设备数据备份及恢复演练服务、应急预案及演练服务、网络安全应急响应服务、网络安全风险评估服务、漏洞管理服务、系统加固服务、配合检查服务、资料输出服务等；提供网络安全综合治理服务，建立并完善全市医保网络安全管理体系，提高西安市医保网络的安全防护水平。</w:t>
      </w:r>
    </w:p>
    <w:p w14:paraId="6FA3562E">
      <w:pPr>
        <w:widowControl/>
        <w:snapToGrid w:val="0"/>
        <w:spacing w:line="360" w:lineRule="auto"/>
        <w:ind w:firstLine="482" w:firstLineChars="200"/>
        <w:textAlignment w:val="baselin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w:t>
      </w:r>
      <w:r>
        <w:rPr>
          <w:rFonts w:hint="eastAsia" w:ascii="宋体" w:hAnsi="宋体" w:eastAsia="宋体" w:cs="宋体"/>
          <w:b/>
          <w:sz w:val="24"/>
          <w:szCs w:val="24"/>
          <w:lang w:val="en-US" w:eastAsia="zh-CN"/>
        </w:rPr>
        <w:t>保密条款</w:t>
      </w:r>
    </w:p>
    <w:p w14:paraId="520249EE">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合同双方中的任何一方在合作过程中了解或接触到的对方的商业秘密及其他秘密资料和信息（简称“保密信息”） 均应保守秘密；未经对方书面同意，任何一方不得向媒介公开或向第三方透露、给予或转让保密信息。泄密的一方将对另一方因此而受到的损失负完全赔偿责任并承担相应的法律责任。</w:t>
      </w:r>
    </w:p>
    <w:p w14:paraId="04790FD9">
      <w:pPr>
        <w:widowControl/>
        <w:snapToGrid w:val="0"/>
        <w:spacing w:line="360" w:lineRule="auto"/>
        <w:ind w:firstLine="482" w:firstLineChars="200"/>
        <w:textAlignment w:val="baselin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七、验收</w:t>
      </w:r>
    </w:p>
    <w:p w14:paraId="0E0F4284">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项目完成后，供应商提出验收申请，采购人组织对供应商的服务及报告进行验收，验收合格出具验收合格单。</w:t>
      </w:r>
    </w:p>
    <w:p w14:paraId="5C47AC31">
      <w:pPr>
        <w:widowControl/>
        <w:snapToGrid w:val="0"/>
        <w:spacing w:line="360" w:lineRule="auto"/>
        <w:ind w:firstLine="480" w:firstLineChars="200"/>
        <w:textAlignment w:val="baseline"/>
        <w:rPr>
          <w:rFonts w:hint="default"/>
          <w:lang w:val="en-US" w:eastAsia="zh-CN"/>
        </w:rPr>
      </w:pPr>
      <w:r>
        <w:rPr>
          <w:rFonts w:hint="eastAsia" w:ascii="宋体" w:hAnsi="宋体" w:eastAsia="宋体" w:cs="宋体"/>
          <w:b w:val="0"/>
          <w:bCs/>
          <w:sz w:val="24"/>
          <w:szCs w:val="24"/>
          <w:lang w:val="en-US" w:eastAsia="zh-CN"/>
        </w:rPr>
        <w:t>验收依据：1.采购文件；2.响应文件；3.相关法规、规范。</w:t>
      </w:r>
    </w:p>
    <w:p w14:paraId="5615ABBE">
      <w:pPr>
        <w:widowControl/>
        <w:snapToGrid w:val="0"/>
        <w:spacing w:line="360" w:lineRule="auto"/>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八、</w:t>
      </w:r>
      <w:r>
        <w:rPr>
          <w:rFonts w:hint="eastAsia" w:ascii="宋体" w:hAnsi="宋体" w:eastAsia="宋体" w:cs="宋体"/>
          <w:b/>
          <w:sz w:val="24"/>
          <w:szCs w:val="24"/>
        </w:rPr>
        <w:t>其它事项</w:t>
      </w:r>
    </w:p>
    <w:p w14:paraId="75817B82">
      <w:pPr>
        <w:widowControl/>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（一）乙方不得将项目转让、分包给其它单位或个人。</w:t>
      </w:r>
    </w:p>
    <w:p w14:paraId="49EB13E8">
      <w:pPr>
        <w:widowControl/>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（二）乙方的</w:t>
      </w:r>
      <w:r>
        <w:rPr>
          <w:rFonts w:hint="eastAsia" w:ascii="宋体" w:hAnsi="宋体" w:eastAsia="宋体" w:cs="宋体"/>
          <w:sz w:val="24"/>
          <w:szCs w:val="24"/>
          <w:lang w:eastAsia="zh-CN"/>
        </w:rPr>
        <w:t>投标</w:t>
      </w:r>
      <w:r>
        <w:rPr>
          <w:rFonts w:hint="eastAsia" w:ascii="宋体" w:hAnsi="宋体" w:eastAsia="宋体" w:cs="宋体"/>
          <w:sz w:val="24"/>
          <w:szCs w:val="24"/>
        </w:rPr>
        <w:t>文件和承诺等内容将列入合同。</w:t>
      </w:r>
    </w:p>
    <w:p w14:paraId="7934C618">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、违约责任</w:t>
      </w:r>
    </w:p>
    <w:p w14:paraId="3EC962E1">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（一）按《</w:t>
      </w:r>
      <w:r>
        <w:rPr>
          <w:rFonts w:hint="eastAsia" w:ascii="宋体" w:hAnsi="宋体" w:eastAsia="宋体" w:cs="宋体"/>
          <w:bCs/>
          <w:sz w:val="24"/>
          <w:szCs w:val="24"/>
          <w:lang w:eastAsia="zh-CN"/>
        </w:rPr>
        <w:t>民法典</w:t>
      </w:r>
      <w:r>
        <w:rPr>
          <w:rFonts w:hint="eastAsia" w:ascii="宋体" w:hAnsi="宋体" w:eastAsia="宋体" w:cs="宋体"/>
          <w:bCs/>
          <w:sz w:val="24"/>
          <w:szCs w:val="24"/>
        </w:rPr>
        <w:t>》中的相关条款执行。</w:t>
      </w:r>
    </w:p>
    <w:p w14:paraId="0E92B792">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（二）按合同要求提供服务或服务质量不能满足采购</w:t>
      </w:r>
      <w:r>
        <w:rPr>
          <w:rFonts w:hint="eastAsia" w:ascii="宋体" w:hAnsi="宋体" w:eastAsia="宋体" w:cs="宋体"/>
          <w:bCs/>
          <w:sz w:val="24"/>
          <w:szCs w:val="24"/>
          <w:lang w:val="en-US" w:eastAsia="zh-CN"/>
        </w:rPr>
        <w:t>方</w:t>
      </w:r>
      <w:r>
        <w:rPr>
          <w:rFonts w:hint="eastAsia" w:ascii="宋体" w:hAnsi="宋体" w:eastAsia="宋体" w:cs="宋体"/>
          <w:bCs/>
          <w:sz w:val="24"/>
          <w:szCs w:val="24"/>
        </w:rPr>
        <w:t>要求，乙方必须无条件提高技术，完善服务质量，否则，甲方会同监督机构、采购代理机构有权终止合同并对乙方违约行为进行追究，同时按政府采购投标人管理办法进行相应的处罚。</w:t>
      </w:r>
    </w:p>
    <w:p w14:paraId="602B4039">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（三）任何一方因不可抗力原因不能履行协议时，应尽快通知对方，双方均设法补偿。如仍无法履约协议，可协商延缓或撤销协议，双方责任免除。</w:t>
      </w:r>
    </w:p>
    <w:p w14:paraId="2F3DE55D">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、合同争议解决的方式</w:t>
      </w:r>
    </w:p>
    <w:p w14:paraId="0D362203">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rPr>
        <w:t>（二）</w:t>
      </w:r>
      <w:r>
        <w:rPr>
          <w:rFonts w:hint="eastAsia" w:ascii="宋体" w:hAnsi="宋体" w:eastAsia="宋体" w:cs="宋体"/>
          <w:bCs/>
          <w:sz w:val="24"/>
          <w:szCs w:val="24"/>
        </w:rPr>
        <w:t>种方式解决：</w:t>
      </w:r>
    </w:p>
    <w:p w14:paraId="6177EE19">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14:paraId="4E7F82A5">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14:paraId="74D8AFB8">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、合同生效</w:t>
      </w:r>
    </w:p>
    <w:p w14:paraId="416507AB">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（一）本合同经双方签字盖章后生效。</w:t>
      </w:r>
    </w:p>
    <w:p w14:paraId="6327ACCA">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（二）本合同须经甲、乙双方的法定代表人（授权代理人）在合同书上签字并加盖本单位公章后正式生效。</w:t>
      </w:r>
    </w:p>
    <w:p w14:paraId="56F06470">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（三）合同生效后，甲、乙双方须严格执行本合同条款的规定，全面履行合同，违者按《中华人民共和国</w:t>
      </w:r>
      <w:r>
        <w:rPr>
          <w:rFonts w:hint="eastAsia" w:ascii="宋体" w:hAnsi="宋体" w:eastAsia="宋体" w:cs="宋体"/>
          <w:bCs/>
          <w:sz w:val="24"/>
          <w:szCs w:val="24"/>
          <w:lang w:eastAsia="zh-CN"/>
        </w:rPr>
        <w:t>民法典</w:t>
      </w:r>
      <w:r>
        <w:rPr>
          <w:rFonts w:hint="eastAsia" w:ascii="宋体" w:hAnsi="宋体" w:eastAsia="宋体" w:cs="宋体"/>
          <w:bCs/>
          <w:sz w:val="24"/>
          <w:szCs w:val="24"/>
        </w:rPr>
        <w:t>》的有关规定承担相应责任。</w:t>
      </w:r>
    </w:p>
    <w:p w14:paraId="5B5B3D82">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（四）本合同一式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3B7969FC">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（五）本合同如有未尽事宜，甲、乙双方协商解决。</w:t>
      </w:r>
    </w:p>
    <w:p w14:paraId="77F66CF8">
      <w:pPr>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br w:type="page"/>
      </w:r>
    </w:p>
    <w:p w14:paraId="029771E3">
      <w:pPr>
        <w:pStyle w:val="2"/>
        <w:rPr>
          <w:rFonts w:hint="eastAsia"/>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17DFEEB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A92F5E3">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14:paraId="67F58E38">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14:paraId="2705751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0" w:hRule="exact"/>
          <w:jc w:val="center"/>
        </w:trPr>
        <w:tc>
          <w:tcPr>
            <w:tcW w:w="4201" w:type="dxa"/>
            <w:noWrap w:val="0"/>
            <w:vAlign w:val="center"/>
          </w:tcPr>
          <w:p w14:paraId="52797CA8">
            <w:pPr>
              <w:widowControl/>
              <w:autoSpaceDE w:val="0"/>
              <w:autoSpaceDN w:val="0"/>
              <w:adjustRightInd w:val="0"/>
              <w:spacing w:line="360" w:lineRule="auto"/>
              <w:ind w:firstLine="700" w:firstLineChars="350"/>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14:paraId="0BA6B47E">
            <w:pPr>
              <w:widowControl/>
              <w:autoSpaceDE w:val="0"/>
              <w:autoSpaceDN w:val="0"/>
              <w:adjustRightInd w:val="0"/>
              <w:spacing w:line="360" w:lineRule="auto"/>
              <w:ind w:firstLine="800" w:firstLineChars="400"/>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14:paraId="0952B79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19" w:hRule="exact"/>
          <w:jc w:val="center"/>
        </w:trPr>
        <w:tc>
          <w:tcPr>
            <w:tcW w:w="4201" w:type="dxa"/>
            <w:noWrap w:val="0"/>
            <w:vAlign w:val="center"/>
          </w:tcPr>
          <w:p w14:paraId="0940CF1B">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14:paraId="3BCB1EAF">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14:paraId="4DDF798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PrEx>
        <w:trPr>
          <w:trHeight w:val="785" w:hRule="exact"/>
          <w:jc w:val="center"/>
        </w:trPr>
        <w:tc>
          <w:tcPr>
            <w:tcW w:w="4201" w:type="dxa"/>
            <w:noWrap w:val="0"/>
            <w:vAlign w:val="center"/>
          </w:tcPr>
          <w:p w14:paraId="0F248887">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c>
          <w:tcPr>
            <w:tcW w:w="4202" w:type="dxa"/>
            <w:noWrap w:val="0"/>
            <w:vAlign w:val="center"/>
          </w:tcPr>
          <w:p w14:paraId="653CC82C">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r>
    </w:tbl>
    <w:p w14:paraId="2182A278">
      <w:pPr>
        <w:widowControl/>
        <w:textAlignment w:val="baseline"/>
        <w:rPr>
          <w:rFonts w:ascii="Times New Roman" w:hAnsi="Times New Roman" w:eastAsia="宋体" w:cs="Times New Roman"/>
          <w:szCs w:val="20"/>
        </w:rPr>
      </w:pPr>
    </w:p>
    <w:p w14:paraId="0F121B4A">
      <w:pPr>
        <w:pStyle w:val="5"/>
        <w:rPr>
          <w:rFonts w:hint="eastAsia" w:ascii="宋体" w:hAnsi="宋体" w:eastAsia="宋体" w:cs="宋体"/>
          <w:lang w:val="en-US" w:eastAsia="zh-Hans"/>
        </w:rPr>
      </w:pPr>
    </w:p>
    <w:p w14:paraId="22269BE1"/>
    <w:p w14:paraId="79AE2C19">
      <w:r>
        <w:br w:type="page"/>
      </w:r>
    </w:p>
    <w:p w14:paraId="77D509BB">
      <w:pPr>
        <w:widowControl/>
        <w:snapToGrid w:val="0"/>
        <w:jc w:val="center"/>
        <w:textAlignment w:val="baseline"/>
        <w:rPr>
          <w:rFonts w:hint="eastAsia" w:ascii="宋体" w:hAnsi="宋体" w:eastAsia="宋体" w:cs="宋体"/>
          <w:b/>
          <w:bCs/>
          <w:sz w:val="52"/>
          <w:szCs w:val="52"/>
        </w:rPr>
      </w:pPr>
      <w:r>
        <w:rPr>
          <w:rFonts w:hint="eastAsia" w:ascii="宋体" w:hAnsi="宋体" w:eastAsia="宋体" w:cs="宋体"/>
          <w:b/>
          <w:bCs/>
          <w:sz w:val="52"/>
          <w:szCs w:val="52"/>
        </w:rPr>
        <w:t>医保网络安全检查</w:t>
      </w:r>
    </w:p>
    <w:p w14:paraId="744D581E">
      <w:pPr>
        <w:widowControl/>
        <w:snapToGrid w:val="0"/>
        <w:jc w:val="center"/>
        <w:textAlignment w:val="baseline"/>
        <w:rPr>
          <w:rFonts w:hint="eastAsia" w:ascii="宋体" w:hAnsi="宋体" w:eastAsia="宋体" w:cs="宋体"/>
          <w:b/>
          <w:bCs/>
          <w:sz w:val="52"/>
          <w:szCs w:val="52"/>
        </w:rPr>
      </w:pPr>
    </w:p>
    <w:p w14:paraId="02D9DDC5">
      <w:pPr>
        <w:widowControl/>
        <w:snapToGrid w:val="0"/>
        <w:jc w:val="center"/>
        <w:textAlignment w:val="baseline"/>
        <w:rPr>
          <w:rFonts w:hint="eastAsia" w:ascii="宋体" w:hAnsi="宋体" w:eastAsia="宋体" w:cs="宋体"/>
          <w:b/>
          <w:bCs/>
          <w:sz w:val="52"/>
          <w:szCs w:val="52"/>
        </w:rPr>
      </w:pPr>
    </w:p>
    <w:p w14:paraId="2CAF7012">
      <w:pPr>
        <w:widowControl/>
        <w:snapToGrid w:val="0"/>
        <w:jc w:val="center"/>
        <w:textAlignment w:val="baseline"/>
        <w:rPr>
          <w:rFonts w:hint="eastAsia" w:ascii="宋体" w:hAnsi="宋体" w:eastAsia="宋体" w:cs="宋体"/>
          <w:b/>
          <w:bCs/>
          <w:sz w:val="52"/>
          <w:szCs w:val="52"/>
        </w:rPr>
      </w:pPr>
    </w:p>
    <w:p w14:paraId="1B2ED679">
      <w:pPr>
        <w:widowControl/>
        <w:snapToGrid w:val="0"/>
        <w:jc w:val="center"/>
        <w:textAlignment w:val="baseline"/>
        <w:rPr>
          <w:rFonts w:hint="eastAsia" w:ascii="宋体" w:hAnsi="宋体" w:eastAsia="宋体" w:cs="宋体"/>
          <w:b/>
          <w:bCs/>
          <w:sz w:val="52"/>
          <w:szCs w:val="52"/>
        </w:rPr>
      </w:pPr>
      <w:r>
        <w:rPr>
          <w:rFonts w:hint="eastAsia" w:ascii="宋体" w:hAnsi="宋体" w:eastAsia="宋体" w:cs="宋体"/>
          <w:b/>
          <w:bCs/>
          <w:sz w:val="52"/>
          <w:szCs w:val="52"/>
          <w:lang w:val="en-US" w:eastAsia="zh-CN"/>
        </w:rPr>
        <w:t>政府采购</w:t>
      </w:r>
      <w:r>
        <w:rPr>
          <w:rFonts w:hint="eastAsia" w:ascii="宋体" w:hAnsi="宋体" w:eastAsia="宋体" w:cs="宋体"/>
          <w:b/>
          <w:bCs/>
          <w:sz w:val="52"/>
          <w:szCs w:val="52"/>
        </w:rPr>
        <w:t>采购合同</w:t>
      </w:r>
    </w:p>
    <w:p w14:paraId="7E22BCB9">
      <w:pPr>
        <w:widowControl/>
        <w:snapToGrid w:val="0"/>
        <w:jc w:val="center"/>
        <w:textAlignment w:val="baseline"/>
        <w:rPr>
          <w:rFonts w:hint="eastAsia" w:ascii="宋体" w:hAnsi="宋体" w:eastAsia="宋体" w:cs="宋体"/>
          <w:b/>
          <w:bCs/>
          <w:sz w:val="52"/>
          <w:szCs w:val="52"/>
        </w:rPr>
      </w:pPr>
    </w:p>
    <w:p w14:paraId="5628E682">
      <w:pPr>
        <w:widowControl/>
        <w:snapToGrid w:val="0"/>
        <w:jc w:val="center"/>
        <w:textAlignment w:val="baseline"/>
        <w:rPr>
          <w:rFonts w:hint="eastAsia" w:ascii="宋体" w:hAnsi="宋体" w:eastAsia="宋体" w:cs="宋体"/>
          <w:b/>
          <w:bCs/>
          <w:sz w:val="52"/>
          <w:szCs w:val="52"/>
        </w:rPr>
      </w:pPr>
    </w:p>
    <w:p w14:paraId="3DA61536">
      <w:pPr>
        <w:widowControl/>
        <w:snapToGrid w:val="0"/>
        <w:jc w:val="center"/>
        <w:textAlignment w:val="baseline"/>
        <w:rPr>
          <w:rFonts w:hint="eastAsia" w:ascii="宋体" w:hAnsi="宋体" w:eastAsia="宋体" w:cs="宋体"/>
          <w:b/>
          <w:bCs/>
          <w:sz w:val="52"/>
          <w:szCs w:val="52"/>
        </w:rPr>
      </w:pPr>
    </w:p>
    <w:p w14:paraId="615E4F82">
      <w:pPr>
        <w:widowControl/>
        <w:snapToGrid w:val="0"/>
        <w:textAlignment w:val="baseline"/>
        <w:rPr>
          <w:rFonts w:hint="eastAsia" w:ascii="宋体" w:hAnsi="宋体" w:eastAsia="宋体" w:cs="宋体"/>
          <w:szCs w:val="20"/>
        </w:rPr>
      </w:pPr>
    </w:p>
    <w:p w14:paraId="407F6477">
      <w:pPr>
        <w:spacing w:after="120"/>
        <w:jc w:val="both"/>
        <w:textAlignment w:val="baseline"/>
        <w:rPr>
          <w:rFonts w:hint="eastAsia" w:ascii="宋体" w:hAnsi="宋体" w:eastAsia="宋体" w:cs="宋体"/>
          <w:kern w:val="2"/>
          <w:sz w:val="21"/>
          <w:lang w:val="en-US" w:eastAsia="zh-CN" w:bidi="ar-SA"/>
        </w:rPr>
      </w:pPr>
    </w:p>
    <w:p w14:paraId="21419D86">
      <w:pPr>
        <w:widowControl/>
        <w:textAlignment w:val="baseline"/>
        <w:rPr>
          <w:rFonts w:hint="eastAsia" w:ascii="宋体" w:hAnsi="宋体" w:eastAsia="宋体" w:cs="宋体"/>
          <w:szCs w:val="20"/>
        </w:rPr>
      </w:pPr>
    </w:p>
    <w:p w14:paraId="1DB7CC7E">
      <w:pPr>
        <w:widowControl/>
        <w:snapToGrid w:val="0"/>
        <w:textAlignment w:val="baseline"/>
        <w:rPr>
          <w:rFonts w:hint="eastAsia" w:ascii="宋体" w:hAnsi="宋体" w:eastAsia="宋体" w:cs="宋体"/>
          <w:szCs w:val="20"/>
        </w:rPr>
      </w:pPr>
    </w:p>
    <w:p w14:paraId="15995139">
      <w:pPr>
        <w:widowControl/>
        <w:snapToGrid w:val="0"/>
        <w:textAlignment w:val="baseline"/>
        <w:rPr>
          <w:rFonts w:hint="eastAsia" w:ascii="宋体" w:hAnsi="宋体" w:eastAsia="宋体" w:cs="宋体"/>
          <w:szCs w:val="20"/>
        </w:rPr>
      </w:pPr>
    </w:p>
    <w:p w14:paraId="4E53030A">
      <w:pPr>
        <w:widowControl/>
        <w:snapToGrid w:val="0"/>
        <w:textAlignment w:val="baseline"/>
        <w:rPr>
          <w:rFonts w:hint="eastAsia" w:ascii="宋体" w:hAnsi="宋体" w:eastAsia="宋体" w:cs="宋体"/>
          <w:szCs w:val="20"/>
        </w:rPr>
      </w:pPr>
    </w:p>
    <w:p w14:paraId="37B17EA6">
      <w:pPr>
        <w:widowControl/>
        <w:snapToGrid w:val="0"/>
        <w:textAlignment w:val="baseline"/>
        <w:rPr>
          <w:rFonts w:hint="eastAsia" w:ascii="宋体" w:hAnsi="宋体" w:eastAsia="宋体" w:cs="宋体"/>
          <w:szCs w:val="20"/>
        </w:rPr>
      </w:pPr>
    </w:p>
    <w:p w14:paraId="28C93051">
      <w:pPr>
        <w:widowControl/>
        <w:snapToGrid w:val="0"/>
        <w:textAlignment w:val="baseline"/>
        <w:rPr>
          <w:rFonts w:hint="eastAsia" w:ascii="宋体" w:hAnsi="宋体" w:eastAsia="宋体" w:cs="宋体"/>
          <w:szCs w:val="20"/>
        </w:rPr>
      </w:pPr>
    </w:p>
    <w:p w14:paraId="6EDA8123">
      <w:pPr>
        <w:widowControl/>
        <w:snapToGrid w:val="0"/>
        <w:textAlignment w:val="baseline"/>
        <w:rPr>
          <w:rFonts w:hint="eastAsia" w:ascii="宋体" w:hAnsi="宋体" w:eastAsia="宋体" w:cs="宋体"/>
          <w:szCs w:val="20"/>
        </w:rPr>
      </w:pPr>
    </w:p>
    <w:p w14:paraId="696A3418">
      <w:pPr>
        <w:widowControl/>
        <w:snapToGrid w:val="0"/>
        <w:textAlignment w:val="baseline"/>
        <w:rPr>
          <w:rFonts w:hint="eastAsia" w:ascii="宋体" w:hAnsi="宋体" w:eastAsia="宋体" w:cs="宋体"/>
          <w:szCs w:val="20"/>
        </w:rPr>
      </w:pPr>
    </w:p>
    <w:p w14:paraId="6B441308">
      <w:pPr>
        <w:widowControl/>
        <w:snapToGrid w:val="0"/>
        <w:textAlignment w:val="baseline"/>
        <w:rPr>
          <w:rFonts w:hint="eastAsia" w:ascii="宋体" w:hAnsi="宋体" w:eastAsia="宋体" w:cs="宋体"/>
          <w:szCs w:val="20"/>
        </w:rPr>
      </w:pPr>
    </w:p>
    <w:p w14:paraId="29F5BE9F">
      <w:pPr>
        <w:widowControl/>
        <w:snapToGrid w:val="0"/>
        <w:textAlignment w:val="baseline"/>
        <w:rPr>
          <w:rFonts w:hint="eastAsia" w:ascii="宋体" w:hAnsi="宋体" w:eastAsia="宋体" w:cs="宋体"/>
          <w:szCs w:val="20"/>
        </w:rPr>
      </w:pPr>
    </w:p>
    <w:p w14:paraId="45329370">
      <w:pPr>
        <w:widowControl/>
        <w:snapToGrid w:val="0"/>
        <w:textAlignment w:val="baseline"/>
        <w:rPr>
          <w:rFonts w:hint="eastAsia" w:ascii="宋体" w:hAnsi="宋体" w:eastAsia="宋体" w:cs="宋体"/>
          <w:sz w:val="28"/>
          <w:szCs w:val="28"/>
        </w:rPr>
      </w:pPr>
    </w:p>
    <w:p w14:paraId="3C1DFDDA">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甲方：</w:t>
      </w:r>
      <w:r>
        <w:rPr>
          <w:rFonts w:hint="eastAsia" w:ascii="宋体" w:hAnsi="宋体" w:eastAsia="宋体" w:cs="宋体"/>
          <w:sz w:val="28"/>
          <w:szCs w:val="28"/>
          <w:u w:val="single" w:color="000000"/>
        </w:rPr>
        <w:t xml:space="preserve">                                  </w:t>
      </w:r>
    </w:p>
    <w:p w14:paraId="2A90F94E">
      <w:pPr>
        <w:widowControl/>
        <w:snapToGrid w:val="0"/>
        <w:spacing w:line="360" w:lineRule="auto"/>
        <w:textAlignment w:val="baseline"/>
        <w:rPr>
          <w:rFonts w:hint="eastAsia" w:ascii="宋体" w:hAnsi="宋体" w:eastAsia="宋体" w:cs="宋体"/>
          <w:sz w:val="28"/>
          <w:szCs w:val="28"/>
        </w:rPr>
      </w:pPr>
    </w:p>
    <w:p w14:paraId="42332DEB">
      <w:pPr>
        <w:widowControl/>
        <w:snapToGrid w:val="0"/>
        <w:spacing w:line="360" w:lineRule="auto"/>
        <w:textAlignment w:val="baseline"/>
        <w:rPr>
          <w:rFonts w:hint="eastAsia" w:ascii="宋体" w:hAnsi="宋体" w:eastAsia="宋体" w:cs="宋体"/>
          <w:sz w:val="28"/>
          <w:szCs w:val="28"/>
          <w:u w:val="single"/>
        </w:rPr>
      </w:pPr>
      <w:r>
        <w:rPr>
          <w:rFonts w:hint="eastAsia" w:ascii="宋体" w:hAnsi="宋体" w:eastAsia="宋体" w:cs="宋体"/>
          <w:sz w:val="28"/>
          <w:szCs w:val="28"/>
        </w:rPr>
        <w:t xml:space="preserve">          乙方：</w:t>
      </w:r>
      <w:r>
        <w:rPr>
          <w:rFonts w:hint="eastAsia" w:ascii="宋体" w:hAnsi="宋体" w:eastAsia="宋体" w:cs="宋体"/>
          <w:sz w:val="28"/>
          <w:szCs w:val="28"/>
          <w:u w:val="single" w:color="000000"/>
        </w:rPr>
        <w:t xml:space="preserve">                                  </w:t>
      </w:r>
    </w:p>
    <w:p w14:paraId="4EED8550">
      <w:pPr>
        <w:widowControl/>
        <w:snapToGrid w:val="0"/>
        <w:spacing w:line="360" w:lineRule="auto"/>
        <w:textAlignment w:val="baseline"/>
        <w:rPr>
          <w:rFonts w:hint="eastAsia" w:ascii="宋体" w:hAnsi="宋体" w:eastAsia="宋体" w:cs="宋体"/>
          <w:sz w:val="28"/>
          <w:szCs w:val="28"/>
          <w:u w:val="single"/>
        </w:rPr>
      </w:pPr>
    </w:p>
    <w:p w14:paraId="7E146AD0">
      <w:pPr>
        <w:widowControl/>
        <w:snapToGrid w:val="0"/>
        <w:jc w:val="center"/>
        <w:textAlignment w:val="baseline"/>
        <w:rPr>
          <w:rFonts w:hint="eastAsia" w:ascii="宋体" w:hAnsi="宋体" w:eastAsia="宋体" w:cs="宋体"/>
          <w:sz w:val="28"/>
          <w:szCs w:val="28"/>
          <w:u w:val="single"/>
        </w:rPr>
      </w:pPr>
    </w:p>
    <w:p w14:paraId="7047E87A">
      <w:pPr>
        <w:widowControl/>
        <w:snapToGrid w:val="0"/>
        <w:jc w:val="center"/>
        <w:textAlignment w:val="baseline"/>
        <w:rPr>
          <w:rFonts w:hint="eastAsia" w:ascii="宋体" w:hAnsi="宋体" w:eastAsia="宋体" w:cs="宋体"/>
          <w:sz w:val="28"/>
          <w:szCs w:val="28"/>
        </w:rPr>
      </w:pPr>
      <w:r>
        <w:rPr>
          <w:rFonts w:hint="eastAsia" w:ascii="宋体" w:hAnsi="宋体" w:eastAsia="宋体" w:cs="宋体"/>
          <w:sz w:val="28"/>
          <w:szCs w:val="28"/>
          <w:u w:val="single" w:color="000000"/>
        </w:rPr>
        <w:t xml:space="preserve">      </w:t>
      </w:r>
      <w:r>
        <w:rPr>
          <w:rFonts w:hint="eastAsia" w:ascii="宋体" w:hAnsi="宋体" w:eastAsia="宋体" w:cs="宋体"/>
          <w:sz w:val="28"/>
          <w:szCs w:val="28"/>
        </w:rPr>
        <w:t>年</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月</w:t>
      </w:r>
      <w:r>
        <w:rPr>
          <w:rFonts w:hint="eastAsia" w:ascii="宋体" w:hAnsi="宋体" w:eastAsia="宋体" w:cs="宋体"/>
          <w:sz w:val="28"/>
          <w:szCs w:val="28"/>
          <w:u w:val="single" w:color="000000"/>
        </w:rPr>
        <w:t xml:space="preserve">   </w:t>
      </w:r>
      <w:r>
        <w:rPr>
          <w:rFonts w:hint="eastAsia" w:ascii="宋体" w:hAnsi="宋体" w:eastAsia="宋体" w:cs="宋体"/>
          <w:sz w:val="28"/>
          <w:szCs w:val="28"/>
        </w:rPr>
        <w:t>日</w:t>
      </w:r>
    </w:p>
    <w:p w14:paraId="59D9FAE8">
      <w:pPr>
        <w:widowControl/>
        <w:textAlignment w:val="baseline"/>
        <w:rPr>
          <w:rFonts w:hint="eastAsia" w:ascii="宋体" w:hAnsi="宋体" w:eastAsia="宋体" w:cs="宋体"/>
          <w:szCs w:val="20"/>
        </w:rPr>
      </w:pPr>
    </w:p>
    <w:p w14:paraId="7A85B5CF">
      <w:pPr>
        <w:rPr>
          <w:rFonts w:hint="eastAsia" w:ascii="宋体" w:hAnsi="宋体" w:eastAsia="宋体" w:cs="宋体"/>
          <w:bCs/>
          <w:sz w:val="24"/>
          <w:szCs w:val="24"/>
        </w:rPr>
      </w:pPr>
      <w:r>
        <w:rPr>
          <w:rFonts w:hint="eastAsia" w:ascii="宋体" w:hAnsi="宋体" w:eastAsia="宋体" w:cs="宋体"/>
          <w:bCs/>
          <w:sz w:val="24"/>
          <w:szCs w:val="24"/>
        </w:rPr>
        <w:br w:type="page"/>
      </w:r>
    </w:p>
    <w:p w14:paraId="46C02473">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甲方（采购人）： </w:t>
      </w:r>
    </w:p>
    <w:p w14:paraId="5B1569B2">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乙方（中标人）： </w:t>
      </w:r>
    </w:p>
    <w:p w14:paraId="407AA8EB">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u w:val="single"/>
        </w:rPr>
        <w:t>医保网络安全检查</w:t>
      </w:r>
      <w:r>
        <w:rPr>
          <w:rFonts w:hint="eastAsia" w:ascii="宋体" w:hAnsi="宋体" w:cs="宋体"/>
          <w:bCs/>
          <w:sz w:val="24"/>
          <w:szCs w:val="24"/>
          <w:u w:val="single"/>
          <w:lang w:eastAsia="zh-CN"/>
        </w:rPr>
        <w:t>（</w:t>
      </w:r>
      <w:r>
        <w:rPr>
          <w:rFonts w:hint="eastAsia" w:ascii="宋体" w:hAnsi="宋体" w:cs="宋体"/>
          <w:bCs/>
          <w:sz w:val="24"/>
          <w:szCs w:val="24"/>
          <w:u w:val="single"/>
          <w:lang w:val="en-US" w:eastAsia="zh-CN"/>
        </w:rPr>
        <w:t xml:space="preserve">包号：       </w:t>
      </w:r>
      <w:bookmarkStart w:id="0" w:name="_GoBack"/>
      <w:bookmarkEnd w:id="0"/>
      <w:r>
        <w:rPr>
          <w:rFonts w:hint="eastAsia" w:ascii="宋体" w:hAnsi="宋体" w:cs="宋体"/>
          <w:bCs/>
          <w:sz w:val="24"/>
          <w:szCs w:val="24"/>
          <w:u w:val="single"/>
          <w:lang w:eastAsia="zh-CN"/>
        </w:rPr>
        <w:t>）</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亿诚建设项目管理有限公司</w:t>
      </w:r>
      <w:r>
        <w:rPr>
          <w:rFonts w:hint="eastAsia" w:ascii="宋体" w:hAnsi="宋体" w:eastAsia="宋体" w:cs="宋体"/>
          <w:bCs/>
          <w:sz w:val="24"/>
          <w:szCs w:val="24"/>
        </w:rPr>
        <w:t>组织</w:t>
      </w:r>
      <w:r>
        <w:rPr>
          <w:rFonts w:hint="eastAsia" w:ascii="宋体" w:hAnsi="宋体" w:eastAsia="宋体" w:cs="宋体"/>
          <w:bCs/>
          <w:sz w:val="24"/>
          <w:szCs w:val="24"/>
          <w:lang w:val="en-US" w:eastAsia="zh-CN"/>
        </w:rPr>
        <w:t>竞争性磋商</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（以下简称“乙方”）为该项目的中标人。</w:t>
      </w:r>
    </w:p>
    <w:p w14:paraId="4BB303A7">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依据《中华人民共和国</w:t>
      </w:r>
      <w:r>
        <w:rPr>
          <w:rFonts w:hint="eastAsia" w:ascii="宋体" w:hAnsi="宋体" w:eastAsia="宋体" w:cs="宋体"/>
          <w:bCs/>
          <w:sz w:val="24"/>
          <w:szCs w:val="24"/>
          <w:lang w:eastAsia="zh-CN"/>
        </w:rPr>
        <w:t>民法典</w:t>
      </w:r>
      <w:r>
        <w:rPr>
          <w:rFonts w:hint="eastAsia" w:ascii="宋体" w:hAnsi="宋体" w:eastAsia="宋体" w:cs="宋体"/>
          <w:bCs/>
          <w:sz w:val="24"/>
          <w:szCs w:val="24"/>
        </w:rPr>
        <w:t>》和《中华人民共和国政府采购法》之规定，经双方在平等、自愿、互利的基础上，签订本合同，共同信守。</w:t>
      </w:r>
    </w:p>
    <w:p w14:paraId="07F7D9FD">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一、合同价款</w:t>
      </w:r>
    </w:p>
    <w:p w14:paraId="08A0B9D5">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（一）合同总价款为人民币（大写）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361844D4">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（二）合同总价包括但不限于</w:t>
      </w:r>
      <w:r>
        <w:rPr>
          <w:rFonts w:hint="eastAsia" w:ascii="宋体" w:hAnsi="宋体" w:eastAsia="宋体" w:cs="宋体"/>
          <w:sz w:val="24"/>
          <w:szCs w:val="24"/>
        </w:rPr>
        <w:t>人员工资、</w:t>
      </w:r>
      <w:r>
        <w:rPr>
          <w:rFonts w:hint="eastAsia" w:ascii="宋体" w:hAnsi="宋体" w:eastAsia="宋体" w:cs="宋体"/>
          <w:bCs/>
          <w:sz w:val="24"/>
          <w:szCs w:val="24"/>
        </w:rPr>
        <w:t>交通费、误餐补助、运输费、管理费、税金等一切相关费用。</w:t>
      </w:r>
    </w:p>
    <w:p w14:paraId="1186AE59">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（三）合同总价一次性包死，不受市场价格变化因素的影响。</w:t>
      </w:r>
    </w:p>
    <w:p w14:paraId="4C9541DF">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二、款项结算</w:t>
      </w:r>
    </w:p>
    <w:p w14:paraId="50228955">
      <w:pPr>
        <w:widowControl/>
        <w:autoSpaceDE w:val="0"/>
        <w:autoSpaceDN w:val="0"/>
        <w:adjustRightInd w:val="0"/>
        <w:spacing w:line="360" w:lineRule="auto"/>
        <w:ind w:firstLine="480" w:firstLineChars="200"/>
        <w:textAlignment w:val="baseline"/>
        <w:rPr>
          <w:rFonts w:hint="eastAsia" w:ascii="宋体" w:hAnsi="宋体" w:eastAsia="宋体" w:cs="宋体"/>
          <w:bCs/>
          <w:kern w:val="2"/>
          <w:sz w:val="24"/>
          <w:szCs w:val="24"/>
          <w:lang w:val="en-US" w:eastAsia="zh-CN" w:bidi="ar-SA"/>
        </w:rPr>
      </w:pPr>
      <w:r>
        <w:rPr>
          <w:rFonts w:hint="eastAsia" w:ascii="宋体" w:hAnsi="宋体" w:eastAsia="宋体" w:cs="宋体"/>
          <w:bCs/>
          <w:sz w:val="24"/>
          <w:szCs w:val="24"/>
        </w:rPr>
        <w:t>（一）合同</w:t>
      </w:r>
      <w:r>
        <w:rPr>
          <w:rFonts w:hint="eastAsia" w:ascii="宋体" w:hAnsi="宋体" w:eastAsia="宋体" w:cs="宋体"/>
          <w:bCs/>
          <w:kern w:val="2"/>
          <w:sz w:val="24"/>
          <w:szCs w:val="24"/>
          <w:lang w:val="en-US" w:eastAsia="zh-CN" w:bidi="ar-SA"/>
        </w:rPr>
        <w:t>款的支付：在合同签订后10日内，支付合同总额的50%；网络安全检查服务验收完成后，支付合同金额的50%。</w:t>
      </w:r>
    </w:p>
    <w:p w14:paraId="55CB9BF1">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（二）结算方式：银行转账。</w:t>
      </w:r>
    </w:p>
    <w:p w14:paraId="26871D71">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（三）支付方式：</w:t>
      </w:r>
      <w:r>
        <w:rPr>
          <w:rFonts w:hint="eastAsia" w:ascii="宋体" w:hAnsi="宋体" w:eastAsia="宋体" w:cs="宋体"/>
          <w:sz w:val="24"/>
          <w:szCs w:val="24"/>
          <w:lang w:val="zh-CN"/>
        </w:rPr>
        <w:t>由</w:t>
      </w:r>
      <w:r>
        <w:rPr>
          <w:rFonts w:hint="eastAsia" w:ascii="宋体" w:hAnsi="宋体" w:eastAsia="宋体" w:cs="宋体"/>
          <w:sz w:val="24"/>
          <w:szCs w:val="24"/>
        </w:rPr>
        <w:t>甲方</w:t>
      </w:r>
      <w:r>
        <w:rPr>
          <w:rFonts w:hint="eastAsia" w:ascii="宋体" w:hAnsi="宋体" w:eastAsia="宋体" w:cs="宋体"/>
          <w:sz w:val="24"/>
          <w:szCs w:val="24"/>
          <w:lang w:val="zh-CN"/>
        </w:rPr>
        <w:t>负责结算，合同签订后，乙方在接受付款前，开具全额发票给甲方。</w:t>
      </w:r>
    </w:p>
    <w:p w14:paraId="4A45AECC">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三、服务地点及服务期</w:t>
      </w:r>
    </w:p>
    <w:p w14:paraId="1D49B757">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w:t>
      </w:r>
      <w:r>
        <w:rPr>
          <w:rFonts w:hint="eastAsia" w:ascii="宋体" w:hAnsi="宋体" w:eastAsia="宋体" w:cs="宋体"/>
          <w:bCs/>
          <w:sz w:val="24"/>
          <w:szCs w:val="24"/>
          <w:lang w:val="en-US" w:eastAsia="zh-CN"/>
        </w:rPr>
        <w:t>服务地点：西安市医疗保险基金管理中心</w:t>
      </w:r>
      <w:r>
        <w:rPr>
          <w:rFonts w:hint="eastAsia" w:ascii="宋体" w:hAnsi="宋体" w:eastAsia="宋体" w:cs="宋体"/>
          <w:bCs/>
          <w:sz w:val="24"/>
          <w:szCs w:val="24"/>
        </w:rPr>
        <w:t>。</w:t>
      </w:r>
    </w:p>
    <w:p w14:paraId="4F235D06">
      <w:pPr>
        <w:tabs>
          <w:tab w:val="center" w:pos="4153"/>
          <w:tab w:val="right" w:pos="8306"/>
        </w:tabs>
        <w:snapToGrid w:val="0"/>
        <w:spacing w:line="360" w:lineRule="auto"/>
        <w:ind w:firstLine="480" w:firstLineChars="200"/>
        <w:jc w:val="left"/>
        <w:textAlignment w:val="baseline"/>
        <w:rPr>
          <w:rFonts w:hint="eastAsia" w:ascii="宋体" w:hAnsi="宋体" w:eastAsia="宋体" w:cs="宋体"/>
          <w:b/>
          <w:bCs/>
          <w:kern w:val="2"/>
          <w:sz w:val="24"/>
          <w:szCs w:val="24"/>
          <w:highlight w:val="red"/>
          <w:lang w:val="en-US" w:eastAsia="zh-CN" w:bidi="ar-SA"/>
        </w:rPr>
      </w:pPr>
      <w:r>
        <w:rPr>
          <w:rFonts w:hint="eastAsia" w:ascii="宋体" w:hAnsi="宋体" w:eastAsia="宋体" w:cs="宋体"/>
          <w:bCs/>
          <w:kern w:val="2"/>
          <w:sz w:val="24"/>
          <w:szCs w:val="24"/>
          <w:lang w:val="en-US" w:eastAsia="zh-CN" w:bidi="ar-SA"/>
        </w:rPr>
        <w:t>（二）服务期限：合同签订，接采购人通知后90天内完成所有检查任务，并提交相关报告。</w:t>
      </w:r>
      <w:r>
        <w:rPr>
          <w:rFonts w:hint="eastAsia" w:ascii="宋体" w:hAnsi="宋体" w:eastAsia="宋体" w:cs="宋体"/>
          <w:color w:val="000000"/>
          <w:kern w:val="15"/>
          <w:sz w:val="24"/>
          <w:szCs w:val="24"/>
          <w:highlight w:val="none"/>
          <w:lang w:val="en-US" w:eastAsia="zh-CN" w:bidi="ar-SA"/>
        </w:rPr>
        <w:t xml:space="preserve"> </w:t>
      </w:r>
    </w:p>
    <w:p w14:paraId="1A805BB9">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四、服务承诺</w:t>
      </w:r>
    </w:p>
    <w:p w14:paraId="0C53037E">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（一）服务期内，乙方需派项目经理，直接与甲方沟通，项目经理接收甲方提出的问题与要求，并及时向公司申请调动资源，解决甲方在</w:t>
      </w:r>
      <w:r>
        <w:rPr>
          <w:rFonts w:hint="eastAsia" w:ascii="宋体" w:hAnsi="宋体" w:eastAsia="宋体" w:cs="宋体"/>
          <w:bCs/>
          <w:sz w:val="24"/>
          <w:szCs w:val="24"/>
          <w:lang w:eastAsia="zh-CN"/>
        </w:rPr>
        <w:t>呼叫外包</w:t>
      </w:r>
      <w:r>
        <w:rPr>
          <w:rFonts w:hint="eastAsia" w:ascii="宋体" w:hAnsi="宋体" w:eastAsia="宋体" w:cs="宋体"/>
          <w:bCs/>
          <w:sz w:val="24"/>
          <w:szCs w:val="24"/>
        </w:rPr>
        <w:t>中遇到的问题。</w:t>
      </w:r>
    </w:p>
    <w:p w14:paraId="46A80F9C">
      <w:pPr>
        <w:widowControl/>
        <w:autoSpaceDE w:val="0"/>
        <w:autoSpaceDN w:val="0"/>
        <w:adjustRightInd w:val="0"/>
        <w:snapToGrid w:val="0"/>
        <w:spacing w:line="360" w:lineRule="auto"/>
        <w:ind w:firstLine="630"/>
        <w:textAlignment w:val="baseline"/>
        <w:rPr>
          <w:rFonts w:hint="eastAsia" w:ascii="宋体" w:hAnsi="宋体" w:eastAsia="宋体" w:cs="宋体"/>
          <w:bCs/>
          <w:color w:val="FF0000"/>
          <w:sz w:val="24"/>
          <w:szCs w:val="24"/>
        </w:rPr>
      </w:pPr>
      <w:r>
        <w:rPr>
          <w:rFonts w:hint="eastAsia" w:ascii="宋体" w:hAnsi="宋体" w:eastAsia="宋体" w:cs="宋体"/>
          <w:bCs/>
          <w:sz w:val="24"/>
          <w:szCs w:val="24"/>
        </w:rPr>
        <w:t>（二）服务过程中会出现不可预料的需求变更，乙方需积极配合甲方的需求变更，并按照变更后的需求执行。</w:t>
      </w:r>
    </w:p>
    <w:p w14:paraId="5245FC85">
      <w:pPr>
        <w:spacing w:line="360" w:lineRule="auto"/>
        <w:ind w:firstLine="480" w:firstLineChars="200"/>
        <w:jc w:val="both"/>
        <w:textAlignment w:val="baseline"/>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（三）乙方需设有详细的技术资料档案和服务档案，将保存项目的详细资料以便于更好地提供服务。</w:t>
      </w:r>
    </w:p>
    <w:p w14:paraId="318C5AF6">
      <w:pPr>
        <w:widowControl/>
        <w:snapToGrid w:val="0"/>
        <w:spacing w:line="360" w:lineRule="auto"/>
        <w:ind w:firstLine="482" w:firstLineChars="200"/>
        <w:textAlignment w:val="baseline"/>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五</w:t>
      </w:r>
      <w:r>
        <w:rPr>
          <w:rFonts w:hint="eastAsia" w:ascii="宋体" w:hAnsi="宋体" w:eastAsia="宋体" w:cs="宋体"/>
          <w:b/>
          <w:sz w:val="24"/>
          <w:szCs w:val="24"/>
        </w:rPr>
        <w:t>、</w:t>
      </w:r>
      <w:r>
        <w:rPr>
          <w:rFonts w:hint="eastAsia" w:ascii="宋体" w:hAnsi="宋体" w:eastAsia="宋体" w:cs="宋体"/>
          <w:b/>
          <w:sz w:val="24"/>
          <w:szCs w:val="24"/>
          <w:lang w:val="en-US" w:eastAsia="zh-CN"/>
        </w:rPr>
        <w:t>服务内容</w:t>
      </w:r>
    </w:p>
    <w:p w14:paraId="71C3D388">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二包：连锁药店总部医保网络安全检查服务</w:t>
      </w:r>
    </w:p>
    <w:p w14:paraId="1BD8F7A7">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对33家连锁药店进行医保网络安全管理检查，检查内容包括但不限于：网络基本情况、网络安全管理机构情况、网络安全工作责任制、网络安全管理制度及运行情况、网络安全管理措施情况、安全物理环境情况、网络安全技术防护措施情况、网络安全应急管理情况、网络安全风险评估情况、漏洞风险管理情况，要求对每家被检测药店出具专项网络安全检查报告和整改建议书，能针对检查数据进行有效分析。</w:t>
      </w:r>
    </w:p>
    <w:p w14:paraId="05A83677">
      <w:pPr>
        <w:widowControl/>
        <w:snapToGrid w:val="0"/>
        <w:spacing w:line="360" w:lineRule="auto"/>
        <w:ind w:firstLine="482" w:firstLineChars="200"/>
        <w:textAlignment w:val="baselin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w:t>
      </w:r>
      <w:r>
        <w:rPr>
          <w:rFonts w:hint="eastAsia" w:ascii="宋体" w:hAnsi="宋体" w:eastAsia="宋体" w:cs="宋体"/>
          <w:b/>
          <w:sz w:val="24"/>
          <w:szCs w:val="24"/>
          <w:lang w:val="en-US" w:eastAsia="zh-CN"/>
        </w:rPr>
        <w:t>保密条款</w:t>
      </w:r>
    </w:p>
    <w:p w14:paraId="296E1F82">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合同双方中的任何一方在合作过程中了解或接触到的对方的商业秘密及其他秘密资料和信息（简称“保密信息”） 均应保守秘密；未经对方书面同意，任何一方不得向媒介公开或向第三方透露、给予或转让保密信息。泄密的一方将对另一方因此而受到的损失负完全赔偿责任并承担相应的法律责任。</w:t>
      </w:r>
    </w:p>
    <w:p w14:paraId="40AFE250">
      <w:pPr>
        <w:widowControl/>
        <w:snapToGrid w:val="0"/>
        <w:spacing w:line="360" w:lineRule="auto"/>
        <w:ind w:firstLine="482" w:firstLineChars="200"/>
        <w:textAlignment w:val="baselin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七、验收</w:t>
      </w:r>
    </w:p>
    <w:p w14:paraId="749773CF">
      <w:pPr>
        <w:widowControl/>
        <w:snapToGrid w:val="0"/>
        <w:spacing w:line="360" w:lineRule="auto"/>
        <w:ind w:firstLine="480"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项目完成后，供应商提出验收申请，采购人组织对供应商的服务及报告进行验收，验收合格出具验收合格单。</w:t>
      </w:r>
    </w:p>
    <w:p w14:paraId="1B14F3C4">
      <w:pPr>
        <w:widowControl/>
        <w:snapToGrid w:val="0"/>
        <w:spacing w:line="360" w:lineRule="auto"/>
        <w:ind w:firstLine="480" w:firstLineChars="200"/>
        <w:textAlignment w:val="baseline"/>
        <w:rPr>
          <w:rFonts w:hint="default"/>
          <w:lang w:val="en-US" w:eastAsia="zh-CN"/>
        </w:rPr>
      </w:pPr>
      <w:r>
        <w:rPr>
          <w:rFonts w:hint="eastAsia" w:ascii="宋体" w:hAnsi="宋体" w:eastAsia="宋体" w:cs="宋体"/>
          <w:b w:val="0"/>
          <w:bCs/>
          <w:sz w:val="24"/>
          <w:szCs w:val="24"/>
          <w:lang w:val="en-US" w:eastAsia="zh-CN"/>
        </w:rPr>
        <w:t>验收依据：1.采购文件；2.响应文件；3.相关法规、规范。</w:t>
      </w:r>
    </w:p>
    <w:p w14:paraId="2A29EE50">
      <w:pPr>
        <w:widowControl/>
        <w:snapToGrid w:val="0"/>
        <w:spacing w:line="360" w:lineRule="auto"/>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八、</w:t>
      </w:r>
      <w:r>
        <w:rPr>
          <w:rFonts w:hint="eastAsia" w:ascii="宋体" w:hAnsi="宋体" w:eastAsia="宋体" w:cs="宋体"/>
          <w:b/>
          <w:sz w:val="24"/>
          <w:szCs w:val="24"/>
        </w:rPr>
        <w:t>其它事项</w:t>
      </w:r>
    </w:p>
    <w:p w14:paraId="4216ED07">
      <w:pPr>
        <w:widowControl/>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（一）乙方不得将项目转让、分包给其它单位或个人。</w:t>
      </w:r>
    </w:p>
    <w:p w14:paraId="14CD9418">
      <w:pPr>
        <w:widowControl/>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（二）乙方的</w:t>
      </w:r>
      <w:r>
        <w:rPr>
          <w:rFonts w:hint="eastAsia" w:ascii="宋体" w:hAnsi="宋体" w:eastAsia="宋体" w:cs="宋体"/>
          <w:sz w:val="24"/>
          <w:szCs w:val="24"/>
          <w:lang w:eastAsia="zh-CN"/>
        </w:rPr>
        <w:t>投标</w:t>
      </w:r>
      <w:r>
        <w:rPr>
          <w:rFonts w:hint="eastAsia" w:ascii="宋体" w:hAnsi="宋体" w:eastAsia="宋体" w:cs="宋体"/>
          <w:sz w:val="24"/>
          <w:szCs w:val="24"/>
        </w:rPr>
        <w:t>文件和承诺等内容将列入合同。</w:t>
      </w:r>
    </w:p>
    <w:p w14:paraId="1313CB56">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、违约责任</w:t>
      </w:r>
    </w:p>
    <w:p w14:paraId="0DF9B51C">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（一）按《</w:t>
      </w:r>
      <w:r>
        <w:rPr>
          <w:rFonts w:hint="eastAsia" w:ascii="宋体" w:hAnsi="宋体" w:eastAsia="宋体" w:cs="宋体"/>
          <w:bCs/>
          <w:sz w:val="24"/>
          <w:szCs w:val="24"/>
          <w:lang w:eastAsia="zh-CN"/>
        </w:rPr>
        <w:t>民法典</w:t>
      </w:r>
      <w:r>
        <w:rPr>
          <w:rFonts w:hint="eastAsia" w:ascii="宋体" w:hAnsi="宋体" w:eastAsia="宋体" w:cs="宋体"/>
          <w:bCs/>
          <w:sz w:val="24"/>
          <w:szCs w:val="24"/>
        </w:rPr>
        <w:t>》中的相关条款执行。</w:t>
      </w:r>
    </w:p>
    <w:p w14:paraId="1319AF51">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（二）按合同要求提供服务或服务质量不能满足采购</w:t>
      </w:r>
      <w:r>
        <w:rPr>
          <w:rFonts w:hint="eastAsia" w:ascii="宋体" w:hAnsi="宋体" w:eastAsia="宋体" w:cs="宋体"/>
          <w:bCs/>
          <w:sz w:val="24"/>
          <w:szCs w:val="24"/>
          <w:lang w:val="en-US" w:eastAsia="zh-CN"/>
        </w:rPr>
        <w:t>方</w:t>
      </w:r>
      <w:r>
        <w:rPr>
          <w:rFonts w:hint="eastAsia" w:ascii="宋体" w:hAnsi="宋体" w:eastAsia="宋体" w:cs="宋体"/>
          <w:bCs/>
          <w:sz w:val="24"/>
          <w:szCs w:val="24"/>
        </w:rPr>
        <w:t>要求，乙方必须无条件提高技术，完善服务质量，否则，甲方会同监督机构、采购代理机构有权终止合同并对乙方违约行为进行追究，同时按政府采购投标人管理办法进行相应的处罚。</w:t>
      </w:r>
    </w:p>
    <w:p w14:paraId="6DF682D2">
      <w:pPr>
        <w:widowControl/>
        <w:autoSpaceDE w:val="0"/>
        <w:autoSpaceDN w:val="0"/>
        <w:adjustRightInd w:val="0"/>
        <w:snapToGrid w:val="0"/>
        <w:spacing w:line="360" w:lineRule="auto"/>
        <w:ind w:firstLine="630"/>
        <w:textAlignment w:val="baseline"/>
        <w:rPr>
          <w:rFonts w:hint="eastAsia" w:ascii="宋体" w:hAnsi="宋体" w:eastAsia="宋体" w:cs="宋体"/>
          <w:bCs/>
          <w:sz w:val="24"/>
          <w:szCs w:val="24"/>
        </w:rPr>
      </w:pPr>
      <w:r>
        <w:rPr>
          <w:rFonts w:hint="eastAsia" w:ascii="宋体" w:hAnsi="宋体" w:eastAsia="宋体" w:cs="宋体"/>
          <w:bCs/>
          <w:sz w:val="24"/>
          <w:szCs w:val="24"/>
        </w:rPr>
        <w:t>（三）任何一方因不可抗力原因不能履行协议时，应尽快通知对方，双方均设法补偿。如仍无法履约协议，可协商延缓或撤销协议，双方责任免除。</w:t>
      </w:r>
    </w:p>
    <w:p w14:paraId="6C240DD2">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、合同争议解决的方式</w:t>
      </w:r>
    </w:p>
    <w:p w14:paraId="7DC1322D">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rPr>
        <w:t>（二）</w:t>
      </w:r>
      <w:r>
        <w:rPr>
          <w:rFonts w:hint="eastAsia" w:ascii="宋体" w:hAnsi="宋体" w:eastAsia="宋体" w:cs="宋体"/>
          <w:bCs/>
          <w:sz w:val="24"/>
          <w:szCs w:val="24"/>
        </w:rPr>
        <w:t>种方式解决：</w:t>
      </w:r>
    </w:p>
    <w:p w14:paraId="509A327B">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14:paraId="346389A1">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14:paraId="6EA2240F">
      <w:pPr>
        <w:widowControl/>
        <w:autoSpaceDE w:val="0"/>
        <w:autoSpaceDN w:val="0"/>
        <w:adjustRightIn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、合同生效</w:t>
      </w:r>
    </w:p>
    <w:p w14:paraId="213B189B">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（一）本合同经双方签字盖章后生效。</w:t>
      </w:r>
    </w:p>
    <w:p w14:paraId="1B739FA0">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（二）本合同须经甲、乙双方的法定代表人（授权代理人）在合同书上签字并加盖本单位公章后正式生效。</w:t>
      </w:r>
    </w:p>
    <w:p w14:paraId="36BB845D">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（三）合同生效后，甲、乙双方须严格执行本合同条款的规定，全面履行合同，违者按《中华人民共和国</w:t>
      </w:r>
      <w:r>
        <w:rPr>
          <w:rFonts w:hint="eastAsia" w:ascii="宋体" w:hAnsi="宋体" w:eastAsia="宋体" w:cs="宋体"/>
          <w:bCs/>
          <w:sz w:val="24"/>
          <w:szCs w:val="24"/>
          <w:lang w:eastAsia="zh-CN"/>
        </w:rPr>
        <w:t>民法典</w:t>
      </w:r>
      <w:r>
        <w:rPr>
          <w:rFonts w:hint="eastAsia" w:ascii="宋体" w:hAnsi="宋体" w:eastAsia="宋体" w:cs="宋体"/>
          <w:bCs/>
          <w:sz w:val="24"/>
          <w:szCs w:val="24"/>
        </w:rPr>
        <w:t>》的有关规定承担相应责任。</w:t>
      </w:r>
    </w:p>
    <w:p w14:paraId="6B2EED74">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（四）本合同一式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16B9B49D">
      <w:pPr>
        <w:widowControl/>
        <w:autoSpaceDE w:val="0"/>
        <w:autoSpaceDN w:val="0"/>
        <w:adjustRightInd w:val="0"/>
        <w:spacing w:line="360" w:lineRule="auto"/>
        <w:ind w:firstLine="480" w:firstLineChars="200"/>
        <w:textAlignment w:val="baseline"/>
        <w:rPr>
          <w:rFonts w:hint="eastAsia" w:ascii="宋体" w:hAnsi="宋体" w:eastAsia="宋体" w:cs="宋体"/>
          <w:bCs/>
          <w:sz w:val="24"/>
          <w:szCs w:val="24"/>
        </w:rPr>
      </w:pPr>
      <w:r>
        <w:rPr>
          <w:rFonts w:hint="eastAsia" w:ascii="宋体" w:hAnsi="宋体" w:eastAsia="宋体" w:cs="宋体"/>
          <w:bCs/>
          <w:sz w:val="24"/>
          <w:szCs w:val="24"/>
        </w:rPr>
        <w:t>（五）本合同如有未尽事宜，甲、乙双方协商解决。</w:t>
      </w:r>
    </w:p>
    <w:p w14:paraId="3ABB7975">
      <w:pPr>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br w:type="page"/>
      </w:r>
    </w:p>
    <w:p w14:paraId="7ABAB3E2">
      <w:pPr>
        <w:pStyle w:val="2"/>
        <w:rPr>
          <w:rFonts w:hint="eastAsia"/>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1C73D57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PrEx>
        <w:trPr>
          <w:trHeight w:val="567" w:hRule="exact"/>
          <w:jc w:val="center"/>
        </w:trPr>
        <w:tc>
          <w:tcPr>
            <w:tcW w:w="4201" w:type="dxa"/>
            <w:noWrap w:val="0"/>
            <w:vAlign w:val="center"/>
          </w:tcPr>
          <w:p w14:paraId="718B73B8">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14:paraId="772E671C">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14:paraId="031E26E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0" w:hRule="exact"/>
          <w:jc w:val="center"/>
        </w:trPr>
        <w:tc>
          <w:tcPr>
            <w:tcW w:w="4201" w:type="dxa"/>
            <w:noWrap w:val="0"/>
            <w:vAlign w:val="center"/>
          </w:tcPr>
          <w:p w14:paraId="69B6C304">
            <w:pPr>
              <w:widowControl/>
              <w:autoSpaceDE w:val="0"/>
              <w:autoSpaceDN w:val="0"/>
              <w:adjustRightInd w:val="0"/>
              <w:spacing w:line="360" w:lineRule="auto"/>
              <w:ind w:firstLine="700" w:firstLineChars="350"/>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14:paraId="12F7C1AE">
            <w:pPr>
              <w:widowControl/>
              <w:autoSpaceDE w:val="0"/>
              <w:autoSpaceDN w:val="0"/>
              <w:adjustRightInd w:val="0"/>
              <w:spacing w:line="360" w:lineRule="auto"/>
              <w:ind w:firstLine="800" w:firstLineChars="400"/>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14:paraId="5B48D72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19" w:hRule="exact"/>
          <w:jc w:val="center"/>
        </w:trPr>
        <w:tc>
          <w:tcPr>
            <w:tcW w:w="4201" w:type="dxa"/>
            <w:noWrap w:val="0"/>
            <w:vAlign w:val="center"/>
          </w:tcPr>
          <w:p w14:paraId="78453026">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14:paraId="40F05C8F">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14:paraId="7323294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PrEx>
        <w:trPr>
          <w:trHeight w:val="785" w:hRule="exact"/>
          <w:jc w:val="center"/>
        </w:trPr>
        <w:tc>
          <w:tcPr>
            <w:tcW w:w="4201" w:type="dxa"/>
            <w:noWrap w:val="0"/>
            <w:vAlign w:val="center"/>
          </w:tcPr>
          <w:p w14:paraId="40FE42AF">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c>
          <w:tcPr>
            <w:tcW w:w="4202" w:type="dxa"/>
            <w:noWrap w:val="0"/>
            <w:vAlign w:val="center"/>
          </w:tcPr>
          <w:p w14:paraId="2E74752F">
            <w:pPr>
              <w:widowControl/>
              <w:autoSpaceDE w:val="0"/>
              <w:autoSpaceDN w:val="0"/>
              <w:adjustRightInd w:val="0"/>
              <w:spacing w:line="360" w:lineRule="auto"/>
              <w:textAlignment w:val="baseline"/>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r>
    </w:tbl>
    <w:p w14:paraId="33B2C922">
      <w:pPr>
        <w:widowControl/>
        <w:textAlignment w:val="baseline"/>
        <w:rPr>
          <w:rFonts w:ascii="Times New Roman" w:hAnsi="Times New Roman" w:eastAsia="宋体" w:cs="Times New Roman"/>
          <w:szCs w:val="20"/>
        </w:rPr>
      </w:pPr>
    </w:p>
    <w:p w14:paraId="0BE5F0DB">
      <w:pPr>
        <w:pStyle w:val="5"/>
        <w:rPr>
          <w:rFonts w:hint="eastAsia" w:ascii="宋体" w:hAnsi="宋体" w:eastAsia="宋体" w:cs="宋体"/>
          <w:lang w:val="en-US" w:eastAsia="zh-Hans"/>
        </w:rPr>
      </w:pPr>
    </w:p>
    <w:p w14:paraId="5E0EE948"/>
    <w:p w14:paraId="66A13DAC"/>
    <w:p w14:paraId="38E48ECA">
      <w:pPr>
        <w:pStyle w:val="2"/>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Nzc1YWJjNWRiMGJlNWNmMzI0YjRmZjFhZmRjNDUifQ=="/>
  </w:docVars>
  <w:rsids>
    <w:rsidRoot w:val="00000000"/>
    <w:rsid w:val="001228CF"/>
    <w:rsid w:val="1109082F"/>
    <w:rsid w:val="48BE1805"/>
    <w:rsid w:val="578C3138"/>
    <w:rsid w:val="59592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rPr>
      <w:sz w:val="18"/>
      <w:szCs w:val="18"/>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1819</Words>
  <Characters>1829</Characters>
  <Lines>0</Lines>
  <Paragraphs>0</Paragraphs>
  <TotalTime>0</TotalTime>
  <ScaleCrop>false</ScaleCrop>
  <LinksUpToDate>false</LinksUpToDate>
  <CharactersWithSpaces>1984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2024-05-28T10:08:00Z</dcterms:created>
  <dc:creator>Administrator</dc:creator>
  <cp:lastModifiedBy>123</cp:lastModifiedBy>
  <dcterms:modified xsi:type="dcterms:W3CDTF">2025-06-17T02:03:06Z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AE184622CBB742E2B6ECF5FEB0DABD44_13</vt:lpwstr>
  </property>
  <property fmtid="{D5CDD505-2E9C-101B-9397-08002B2CF9AE}" pid="4" name="KSOTemplateDocerSaveRecord">
    <vt:lpwstr>eyJoZGlkIjoiYzhiNDJmNjY2YzNmZDQ1MGI4ZjVmM2VkMTgxMjBiOTgiLCJ1c2VySWQiOiI4MTc1Mjk4NTIifQ==</vt:lpwstr>
  </property>
</Properties>
</file>