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版本号：YC25527002(CGQ)20250616001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医保网络安全检查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YC25527002(CGQ)</w:t>
      </w:r>
      <w:r>
        <w:br/>
      </w:r>
      <w:r>
        <w:br/>
      </w:r>
      <w:r>
        <w:br/>
      </w:r>
    </w:p>
    <w:p>
      <w:pPr>
        <w:pStyle w:val="null3"/>
        <w:jc w:val="center"/>
        <w:outlineLvl w:val="2"/>
      </w:pPr>
      <w:r>
        <w:rPr>
          <w:rFonts w:ascii="仿宋_GB2312" w:hAnsi="仿宋_GB2312" w:cs="仿宋_GB2312" w:eastAsia="仿宋_GB2312"/>
          <w:sz w:val="28"/>
          <w:b/>
        </w:rPr>
        <w:t>西安市医疗保险基金管理中心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西安市医疗保险基金管理中心</w:t>
      </w:r>
      <w:r>
        <w:rPr>
          <w:rFonts w:ascii="仿宋_GB2312" w:hAnsi="仿宋_GB2312" w:cs="仿宋_GB2312" w:eastAsia="仿宋_GB2312"/>
        </w:rPr>
        <w:t>委托，拟对</w:t>
      </w:r>
      <w:r>
        <w:rPr>
          <w:rFonts w:ascii="仿宋_GB2312" w:hAnsi="仿宋_GB2312" w:cs="仿宋_GB2312" w:eastAsia="仿宋_GB2312"/>
        </w:rPr>
        <w:t>医保网络安全检查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YC25527002(CGQ)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医保网络安全检查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有效落实国家相关法律法规要求，履行网络安全工作管理职责，有效提升我市医保网络安全防护水平和应急响应能力，对全市20家医保经办机构、市医疗保险基金管理中心及33家连锁药店总部进行医保网络安全合规检查，有效摸清行业网络安全工作底数，提供行业主管单位网络安全管理工作建议，有效落实党委（党组）网络安全工作责任制工作。网络安全检查服务要结合系统性、专业性，通过管理和技术全方位的对医保网络安全进行评估和检测，为全市医保经办机构、部分连锁药店总部全面识别现有安全管理措施不足、评估网络安全风险隐患，并对排查中发现的问题提出整改意见，通过问题整改，进一步提高整体网络安全防护能力和管理水平。同时完善网络安全防护体系，及时发现、防范、化解网络安全风险隐患，提高人员网络安全意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采购包1（医保网络安全检查服务）：属于专门面向中小企业采购。</w:t>
      </w:r>
    </w:p>
    <w:p>
      <w:pPr>
        <w:pStyle w:val="null3"/>
      </w:pPr>
      <w:r>
        <w:rPr>
          <w:rFonts w:ascii="仿宋_GB2312" w:hAnsi="仿宋_GB2312" w:cs="仿宋_GB2312" w:eastAsia="仿宋_GB2312"/>
        </w:rPr>
        <w:t>采购包2（连锁药店总部医保网络安全检查服务）：属于专门面向中小企业采购。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1、信誉：供应商在磋商截止时间前不得为“信用中国”网站（www.creditchina.gov.cn ）（页面跳转至“中国执行信息网”http://zxgk.court.gov.cn/shixin）已列入失信被执行人和重大税收违法失信主体的供应商，不得为“中国政府采购网”（ww w.ccgp.gov.cn）已列入政府采购严重违法失信行为记录名单的供应商。</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2、法定代表人授权委托书：法定代表人授权委托书（附法定代表人、被授权人身份证复印件并加盖公章）。（法定代表人参加投标只须提供法定代表人身份证明书及法人身份证复印件）</w:t>
      </w:r>
    </w:p>
    <w:p>
      <w:pPr>
        <w:pStyle w:val="null3"/>
      </w:pPr>
      <w:r>
        <w:rPr>
          <w:rFonts w:ascii="仿宋_GB2312" w:hAnsi="仿宋_GB2312" w:cs="仿宋_GB2312" w:eastAsia="仿宋_GB2312"/>
        </w:rPr>
        <w:t>3、供应商关联关系声明：单位负责人为同一人或者存在直接控股、管理关系的不同供应商，不得参加同一合同项下的政府采购活动。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4、非联合体声明：本次项目不接受联合体。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1、信誉：供应商在磋商截止时间前不得为“信用中国”网站（www.creditchina.gov.cn ）（页面跳转至“中国执行信息网”http://zxgk.court.gov.cn/shixin）已列入失信被执行人和重大税收违法失信主体的供应商，不得为“中国政府采购网”（ww w.ccgp.gov.cn）已列入政府采购严重违法失信行为记录名单的供应商。</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2、法定代表人授权委托书：法定代表人授权委托书（附法定代表人、被授权人身份证复印件并加盖公章）。（法定代表人参加投标只须提供法定代表人身份证明书及法人身份证复印件）</w:t>
      </w:r>
    </w:p>
    <w:p>
      <w:pPr>
        <w:pStyle w:val="null3"/>
      </w:pPr>
      <w:r>
        <w:rPr>
          <w:rFonts w:ascii="仿宋_GB2312" w:hAnsi="仿宋_GB2312" w:cs="仿宋_GB2312" w:eastAsia="仿宋_GB2312"/>
        </w:rPr>
        <w:t>3、供应商关联关系声明：单位负责人为同一人或者存在直接控股、管理关系的不同供应商，不得参加同一合同项下的政府采购活动。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4、非联合体声明：本次项目不接受联合体。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西安市医疗保险基金管理中心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西安市未央区明光路166号凯瑞H座4层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029-87222552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罗欢欢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029-81628185/15991048518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p>
          <w:p>
            <w:pPr>
              <w:pStyle w:val="null3"/>
            </w:pPr>
            <w:r>
              <w:rPr>
                <w:rFonts w:ascii="仿宋_GB2312" w:hAnsi="仿宋_GB2312" w:cs="仿宋_GB2312" w:eastAsia="仿宋_GB2312"/>
              </w:rPr>
              <w:t>采购包2：120,000.00元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代理服务费收费标准：本项目各包招标代理服务费由中标单位支付, 按照国家计委颁布的《招标代理服务收费管理暂行办法》（计价格〔2002〕1980号）及发改办价格〔2003〕857号中规定的标准计取，成交单位在领取成交通知书前，须向采购代理机构一次性支付招标代理服务费。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西安市医疗保险基金管理中心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西安市医疗保险基金管理中心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西安市医疗保险基金管理中心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联系人：罗欢欢</w:t>
      </w:r>
    </w:p>
    <w:p>
      <w:pPr>
        <w:pStyle w:val="null3"/>
      </w:pPr>
      <w:r>
        <w:rPr>
          <w:rFonts w:ascii="仿宋_GB2312" w:hAnsi="仿宋_GB2312" w:cs="仿宋_GB2312" w:eastAsia="仿宋_GB2312"/>
        </w:rPr>
        <w:t>联系电话：029-81628185</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（一）项目背景</w:t>
      </w:r>
    </w:p>
    <w:p>
      <w:pPr>
        <w:pStyle w:val="null3"/>
        <w:ind w:firstLine="400"/>
      </w:pPr>
      <w:r>
        <w:rPr>
          <w:rFonts w:ascii="仿宋_GB2312" w:hAnsi="仿宋_GB2312" w:cs="仿宋_GB2312" w:eastAsia="仿宋_GB2312"/>
        </w:rPr>
        <w:t>根据《网络安全法》《数据安全法》《个人信息保护法》《国家医疗保障局关于印发加强网络安全和数据保护工作指导意见的通知》《国家医疗保障局关于进一步深化推进医保信息化标准化工作的通知》等相关法律法规与文件要求，为切实保障全市医保网络安全稳定运行，全面排查网络安全风险隐患，促进全行业安全防护能力和水平提升，预防和减少重大网络安全事件的发生，并为中心构建多层次、动态化的安全防护体系。同时通过完善、实施有效的网络安全管理和防范措施，实现网络安全从预防到响应的全流程覆盖。</w:t>
      </w:r>
    </w:p>
    <w:p>
      <w:pPr>
        <w:pStyle w:val="null3"/>
        <w:ind w:firstLine="400"/>
      </w:pPr>
      <w:r>
        <w:rPr>
          <w:rFonts w:ascii="仿宋_GB2312" w:hAnsi="仿宋_GB2312" w:cs="仿宋_GB2312" w:eastAsia="仿宋_GB2312"/>
        </w:rPr>
        <w:t>（二）</w:t>
      </w:r>
      <w:r>
        <w:rPr>
          <w:rFonts w:ascii="仿宋_GB2312" w:hAnsi="仿宋_GB2312" w:cs="仿宋_GB2312" w:eastAsia="仿宋_GB2312"/>
        </w:rPr>
        <w:t>工作</w:t>
      </w:r>
      <w:r>
        <w:rPr>
          <w:rFonts w:ascii="仿宋_GB2312" w:hAnsi="仿宋_GB2312" w:cs="仿宋_GB2312" w:eastAsia="仿宋_GB2312"/>
        </w:rPr>
        <w:t>目的</w:t>
      </w:r>
    </w:p>
    <w:p>
      <w:pPr>
        <w:pStyle w:val="null3"/>
        <w:jc w:val="both"/>
      </w:pPr>
      <w:r>
        <w:rPr>
          <w:rFonts w:ascii="仿宋_GB2312" w:hAnsi="仿宋_GB2312" w:cs="仿宋_GB2312" w:eastAsia="仿宋_GB2312"/>
        </w:rPr>
        <w:t>为有效落实国家相关法律法规要求，履行网络安全工作管理职责，有效提升我市医保网络安全防护水平和应急响应能力，对全市20家医保经办机构、市医疗保险基金管理中心及33家连锁药店总部进行医保网络安全合规检查，有效摸清行业网络安全工作底数，提供行业主管单位网络安全管理工作建议，有效落实党委（党组）网络安全工作责任制工作。网络安全检查服务要结合系统性、专业性，通过管理和技术全方位的对医保网络安全进行评估和检测，为全市医保经办机构、部分连锁药店总部全面识别现有安全管理措施不足、评估网络安全风险隐患，并对排查中发现的问题提出整改意见，通过问题整改，进一步提高整体网络安全防护能力和管理水平。同时完善网络安全防护体系，及时发现、防范、化解网络安全风险隐患，提高人员网络安全意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一、服务内容</w:t>
            </w:r>
          </w:p>
          <w:p>
            <w:pPr>
              <w:pStyle w:val="null3"/>
              <w:ind w:firstLine="400"/>
            </w:pPr>
            <w:r>
              <w:rPr>
                <w:rFonts w:ascii="仿宋_GB2312" w:hAnsi="仿宋_GB2312" w:cs="仿宋_GB2312" w:eastAsia="仿宋_GB2312"/>
                <w:sz w:val="20"/>
                <w:color w:val="000000"/>
              </w:rPr>
              <w:t>对全市</w:t>
            </w:r>
            <w:r>
              <w:rPr>
                <w:rFonts w:ascii="仿宋_GB2312" w:hAnsi="仿宋_GB2312" w:cs="仿宋_GB2312" w:eastAsia="仿宋_GB2312"/>
                <w:sz w:val="20"/>
                <w:color w:val="000000"/>
              </w:rPr>
              <w:t>20家医保经办机构、市医疗保险基金管理中心进行医保网络安全合规检查，检查内容包括但不限于：网络基本情况、网络安全管理机构情况、网络安全工作责任制、网络安全管理制度及运行情况、网络安全管理措施情况、安全物理环境情况、网络安全技术防护措施情况、网络安全应急管理情况、数据安全和个人信息保护法规落实情况、网络安全风险评估情况、漏洞风险管理情况、医保数据检查、数字证书检查，要求对每家被检测机构出具专项网络安全检查报告和整改建议书，能针对检查数据进行有效分析（包括往年数据对比分析），形成行业主管单位网络安全管理工作建议；提供网络安全运维服务，包括但不限于：网络安全管理规范建设服务、网络安全培训服务、网络安全巡检服务、设备数据备份及恢复演练服务、应急预案及演练服务、网络安全应急响应服务、网络安全风险评估服务、漏洞管理服务、系统加固服务、配合检查服务、资料输出服务等；提供网络安全综合治理服务，建立并完善全市医保网络安全管理体系，提高西安市医保网络的安全防护水平。</w:t>
            </w:r>
          </w:p>
          <w:p>
            <w:pPr>
              <w:pStyle w:val="null3"/>
            </w:pPr>
            <w:r>
              <w:rPr>
                <w:rFonts w:ascii="仿宋_GB2312" w:hAnsi="仿宋_GB2312" w:cs="仿宋_GB2312" w:eastAsia="仿宋_GB2312"/>
                <w:sz w:val="20"/>
                <w:color w:val="000000"/>
              </w:rPr>
              <w:t>二</w:t>
            </w:r>
            <w:r>
              <w:rPr>
                <w:rFonts w:ascii="仿宋_GB2312" w:hAnsi="仿宋_GB2312" w:cs="仿宋_GB2312" w:eastAsia="仿宋_GB2312"/>
                <w:sz w:val="20"/>
                <w:color w:val="000000"/>
              </w:rPr>
              <w:t>、人员配置与检测工具</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一</w:t>
            </w:r>
            <w:r>
              <w:rPr>
                <w:rFonts w:ascii="仿宋_GB2312" w:hAnsi="仿宋_GB2312" w:cs="仿宋_GB2312" w:eastAsia="仿宋_GB2312"/>
                <w:sz w:val="20"/>
                <w:color w:val="000000"/>
              </w:rPr>
              <w:t>）</w:t>
            </w:r>
            <w:r>
              <w:rPr>
                <w:rFonts w:ascii="仿宋_GB2312" w:hAnsi="仿宋_GB2312" w:cs="仿宋_GB2312" w:eastAsia="仿宋_GB2312"/>
                <w:sz w:val="20"/>
                <w:color w:val="000000"/>
              </w:rPr>
              <w:t>网络安全检查服务</w:t>
            </w:r>
          </w:p>
          <w:p>
            <w:pPr>
              <w:pStyle w:val="null3"/>
              <w:ind w:firstLine="400"/>
            </w:pPr>
            <w:r>
              <w:rPr>
                <w:rFonts w:ascii="仿宋_GB2312" w:hAnsi="仿宋_GB2312" w:cs="仿宋_GB2312" w:eastAsia="仿宋_GB2312"/>
                <w:sz w:val="20"/>
                <w:color w:val="000000"/>
              </w:rPr>
              <w:t>服务商应配备专业的硬件检测工具；检查完毕后提供被检查单位检查报告（每单位一份）及检查总结报告（应包括检查数据分析），交付物应包括纸质版</w:t>
            </w:r>
            <w:r>
              <w:rPr>
                <w:rFonts w:ascii="仿宋_GB2312" w:hAnsi="仿宋_GB2312" w:cs="仿宋_GB2312" w:eastAsia="仿宋_GB2312"/>
                <w:sz w:val="20"/>
                <w:color w:val="000000"/>
              </w:rPr>
              <w:t>2份、电子版1份；供应商根据统一安排，自行前往被检单位。</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二</w:t>
            </w:r>
            <w:r>
              <w:rPr>
                <w:rFonts w:ascii="仿宋_GB2312" w:hAnsi="仿宋_GB2312" w:cs="仿宋_GB2312" w:eastAsia="仿宋_GB2312"/>
                <w:sz w:val="20"/>
                <w:color w:val="000000"/>
              </w:rPr>
              <w:t>）网络安全运维服务</w:t>
            </w:r>
          </w:p>
          <w:p>
            <w:pPr>
              <w:pStyle w:val="null3"/>
              <w:ind w:firstLine="400"/>
            </w:pPr>
            <w:r>
              <w:rPr>
                <w:rFonts w:ascii="仿宋_GB2312" w:hAnsi="仿宋_GB2312" w:cs="仿宋_GB2312" w:eastAsia="仿宋_GB2312"/>
                <w:sz w:val="20"/>
                <w:color w:val="000000"/>
              </w:rPr>
              <w:t>服务商提供服务人员不得少于</w:t>
            </w:r>
            <w:r>
              <w:rPr>
                <w:rFonts w:ascii="仿宋_GB2312" w:hAnsi="仿宋_GB2312" w:cs="仿宋_GB2312" w:eastAsia="仿宋_GB2312"/>
                <w:sz w:val="20"/>
                <w:color w:val="000000"/>
              </w:rPr>
              <w:t>4人；提供网络安全运维服务，包括但不限于：网络安全管理规范建设服务、网络安全培训服务、网络安全巡检服务、设备数据备份及恢复演练服务、应急预案及演练服务、网络安全应急响应服务、网络安全风险评估服务、漏洞管理服务、系统加固服务、配合检查服务、资料输出服务等；提供网络安全综合治理服务，建立并完善全市医保网络安全管理体系，提高西安市医保网络的安全防护水平。服务整体不少于40人天/年；相关交付物在该项服务提供完毕后交付，应包括纸质版2份、电子版1份，所有服务交付完毕后，提供胶装版纸质资料2份。</w:t>
            </w:r>
          </w:p>
          <w:p>
            <w:pPr>
              <w:pStyle w:val="null3"/>
            </w:pPr>
            <w:r>
              <w:rPr>
                <w:rFonts w:ascii="仿宋_GB2312" w:hAnsi="仿宋_GB2312" w:cs="仿宋_GB2312" w:eastAsia="仿宋_GB2312"/>
                <w:sz w:val="20"/>
                <w:color w:val="000000"/>
              </w:rPr>
              <w:t>三</w:t>
            </w:r>
            <w:r>
              <w:rPr>
                <w:rFonts w:ascii="仿宋_GB2312" w:hAnsi="仿宋_GB2312" w:cs="仿宋_GB2312" w:eastAsia="仿宋_GB2312"/>
                <w:sz w:val="20"/>
                <w:color w:val="000000"/>
              </w:rPr>
              <w:t>、服务规范标准</w:t>
            </w:r>
          </w:p>
          <w:p>
            <w:pPr>
              <w:pStyle w:val="null3"/>
            </w:pPr>
            <w:r>
              <w:rPr>
                <w:rFonts w:ascii="仿宋_GB2312" w:hAnsi="仿宋_GB2312" w:cs="仿宋_GB2312" w:eastAsia="仿宋_GB2312"/>
                <w:sz w:val="20"/>
                <w:color w:val="000000"/>
              </w:rPr>
              <w:t>（一）法律法规</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《中华人民共和国网络安全法》</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《中华人民共和国数据安全法》</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《中华人民共和国个人信息保护法》</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《网络数据安全管理条例》</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《关键信息基础设施安全保护条例》</w:t>
            </w:r>
          </w:p>
          <w:p>
            <w:pPr>
              <w:pStyle w:val="null3"/>
            </w:pPr>
            <w:r>
              <w:rPr>
                <w:rFonts w:ascii="仿宋_GB2312" w:hAnsi="仿宋_GB2312" w:cs="仿宋_GB2312" w:eastAsia="仿宋_GB2312"/>
                <w:sz w:val="20"/>
                <w:color w:val="000000"/>
              </w:rPr>
              <w:t>（二）参照标准</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《信息安全技术信息安全风险评估方法》（</w:t>
            </w:r>
            <w:r>
              <w:rPr>
                <w:rFonts w:ascii="仿宋_GB2312" w:hAnsi="仿宋_GB2312" w:cs="仿宋_GB2312" w:eastAsia="仿宋_GB2312"/>
                <w:sz w:val="20"/>
                <w:color w:val="000000"/>
              </w:rPr>
              <w:t>GB/T20984-2022）</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《信息技术安全技术信息安全管理监视、测量、分析和评价》（</w:t>
            </w:r>
            <w:r>
              <w:rPr>
                <w:rFonts w:ascii="仿宋_GB2312" w:hAnsi="仿宋_GB2312" w:cs="仿宋_GB2312" w:eastAsia="仿宋_GB2312"/>
                <w:sz w:val="20"/>
                <w:color w:val="000000"/>
              </w:rPr>
              <w:t>GB/T31497-2024）</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《信息安全技术安全漏洞分类》（</w:t>
            </w:r>
            <w:r>
              <w:rPr>
                <w:rFonts w:ascii="仿宋_GB2312" w:hAnsi="仿宋_GB2312" w:cs="仿宋_GB2312" w:eastAsia="仿宋_GB2312"/>
                <w:sz w:val="20"/>
                <w:color w:val="000000"/>
              </w:rPr>
              <w:t>GB/T33561-2017）</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《信息安全技术网络安全漏洞管理规范》（</w:t>
            </w:r>
            <w:r>
              <w:rPr>
                <w:rFonts w:ascii="仿宋_GB2312" w:hAnsi="仿宋_GB2312" w:cs="仿宋_GB2312" w:eastAsia="仿宋_GB2312"/>
                <w:sz w:val="20"/>
                <w:color w:val="000000"/>
              </w:rPr>
              <w:t>GB/T30276-2020）</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《信息安全技术网络攻击定义及描述规范》（</w:t>
            </w:r>
            <w:r>
              <w:rPr>
                <w:rFonts w:ascii="仿宋_GB2312" w:hAnsi="仿宋_GB2312" w:cs="仿宋_GB2312" w:eastAsia="仿宋_GB2312"/>
                <w:sz w:val="20"/>
                <w:color w:val="000000"/>
              </w:rPr>
              <w:t>GB/T37027-2018）</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《信息安全技术网络安全漏洞分类分级指南》（</w:t>
            </w:r>
            <w:r>
              <w:rPr>
                <w:rFonts w:ascii="仿宋_GB2312" w:hAnsi="仿宋_GB2312" w:cs="仿宋_GB2312" w:eastAsia="仿宋_GB2312"/>
                <w:sz w:val="20"/>
                <w:color w:val="000000"/>
              </w:rPr>
              <w:t>GB/T302711-2020）</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《信息安全技术网络安全漏洞标识与描述规范》（</w:t>
            </w:r>
            <w:r>
              <w:rPr>
                <w:rFonts w:ascii="仿宋_GB2312" w:hAnsi="仿宋_GB2312" w:cs="仿宋_GB2312" w:eastAsia="仿宋_GB2312"/>
                <w:sz w:val="20"/>
                <w:color w:val="000000"/>
              </w:rPr>
              <w:t>GB/T28458-2020）</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《信息安全技术个人信息安全规范》（</w:t>
            </w:r>
            <w:r>
              <w:rPr>
                <w:rFonts w:ascii="仿宋_GB2312" w:hAnsi="仿宋_GB2312" w:cs="仿宋_GB2312" w:eastAsia="仿宋_GB2312"/>
                <w:sz w:val="20"/>
                <w:color w:val="000000"/>
              </w:rPr>
              <w:t>GB/T35273-2020）</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《信息安全技术办公设备安全测试方法》（</w:t>
            </w:r>
            <w:r>
              <w:rPr>
                <w:rFonts w:ascii="仿宋_GB2312" w:hAnsi="仿宋_GB2312" w:cs="仿宋_GB2312" w:eastAsia="仿宋_GB2312"/>
                <w:sz w:val="20"/>
                <w:color w:val="000000"/>
              </w:rPr>
              <w:t>GB/T38558-2020）</w:t>
            </w:r>
          </w:p>
          <w:p>
            <w:pPr>
              <w:pStyle w:val="null3"/>
            </w:pPr>
            <w:r>
              <w:rPr>
                <w:rFonts w:ascii="仿宋_GB2312" w:hAnsi="仿宋_GB2312" w:cs="仿宋_GB2312" w:eastAsia="仿宋_GB2312"/>
                <w:sz w:val="21"/>
                <w:color w:val="000000"/>
              </w:rPr>
              <w:t>Ø</w:t>
            </w:r>
            <w:r>
              <w:rPr>
                <w:rFonts w:ascii="仿宋_GB2312" w:hAnsi="仿宋_GB2312" w:cs="仿宋_GB2312" w:eastAsia="仿宋_GB2312"/>
                <w:sz w:val="20"/>
                <w:color w:val="000000"/>
              </w:rPr>
              <w:t>《信息安全技术信息安全应急响应计划规范》（</w:t>
            </w:r>
            <w:r>
              <w:rPr>
                <w:rFonts w:ascii="仿宋_GB2312" w:hAnsi="仿宋_GB2312" w:cs="仿宋_GB2312" w:eastAsia="仿宋_GB2312"/>
                <w:sz w:val="20"/>
                <w:color w:val="000000"/>
              </w:rPr>
              <w:t>GB/T24363-2009）</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一、服务内容</w:t>
            </w:r>
          </w:p>
          <w:p>
            <w:pPr>
              <w:pStyle w:val="null3"/>
              <w:ind w:firstLine="400"/>
            </w:pPr>
            <w:r>
              <w:rPr>
                <w:rFonts w:ascii="仿宋_GB2312" w:hAnsi="仿宋_GB2312" w:cs="仿宋_GB2312" w:eastAsia="仿宋_GB2312"/>
                <w:sz w:val="20"/>
                <w:color w:val="000000"/>
              </w:rPr>
              <w:t>对</w:t>
            </w:r>
            <w:r>
              <w:rPr>
                <w:rFonts w:ascii="仿宋_GB2312" w:hAnsi="仿宋_GB2312" w:cs="仿宋_GB2312" w:eastAsia="仿宋_GB2312"/>
                <w:sz w:val="20"/>
                <w:color w:val="000000"/>
              </w:rPr>
              <w:t>33家连锁药店进行医保网络安全管理检查，检查内容包括但不限于：网络基本情况、网络安全管理机构情况、网络安全工作责任制、网络安全管理制度及运行情况、网络安全管理措施情况、安全物理环境情况、网络安全技术防护措施情况、网络安全应急管理情况、网络安全风险评估情况、漏洞风险管理情况，要求对每家被检测药店出具专项网络安全检查报告和整改建议书，能针对检查数据进行有效分析。</w:t>
            </w:r>
          </w:p>
          <w:p>
            <w:pPr>
              <w:pStyle w:val="null3"/>
            </w:pPr>
            <w:r>
              <w:rPr>
                <w:rFonts w:ascii="仿宋_GB2312" w:hAnsi="仿宋_GB2312" w:cs="仿宋_GB2312" w:eastAsia="仿宋_GB2312"/>
                <w:sz w:val="20"/>
                <w:color w:val="000000"/>
              </w:rPr>
              <w:t>二</w:t>
            </w:r>
            <w:r>
              <w:rPr>
                <w:rFonts w:ascii="仿宋_GB2312" w:hAnsi="仿宋_GB2312" w:cs="仿宋_GB2312" w:eastAsia="仿宋_GB2312"/>
                <w:sz w:val="20"/>
                <w:color w:val="000000"/>
              </w:rPr>
              <w:t>、人员配置与检测工具</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一</w:t>
            </w:r>
            <w:r>
              <w:rPr>
                <w:rFonts w:ascii="仿宋_GB2312" w:hAnsi="仿宋_GB2312" w:cs="仿宋_GB2312" w:eastAsia="仿宋_GB2312"/>
                <w:sz w:val="20"/>
                <w:color w:val="000000"/>
              </w:rPr>
              <w:t>）</w:t>
            </w:r>
            <w:r>
              <w:rPr>
                <w:rFonts w:ascii="仿宋_GB2312" w:hAnsi="仿宋_GB2312" w:cs="仿宋_GB2312" w:eastAsia="仿宋_GB2312"/>
                <w:sz w:val="20"/>
                <w:color w:val="000000"/>
              </w:rPr>
              <w:t>网络安全检查服务</w:t>
            </w:r>
          </w:p>
          <w:p>
            <w:pPr>
              <w:pStyle w:val="null3"/>
              <w:ind w:firstLine="400"/>
            </w:pPr>
            <w:r>
              <w:rPr>
                <w:rFonts w:ascii="仿宋_GB2312" w:hAnsi="仿宋_GB2312" w:cs="仿宋_GB2312" w:eastAsia="仿宋_GB2312"/>
                <w:sz w:val="20"/>
                <w:color w:val="000000"/>
              </w:rPr>
              <w:t>服务商应配备专业的硬件检测工具；检查完毕后提供被检查单位检查报告（每单位一份）及检查总结报告（应包括检查数据分析），交付物应包括纸质版</w:t>
            </w:r>
            <w:r>
              <w:rPr>
                <w:rFonts w:ascii="仿宋_GB2312" w:hAnsi="仿宋_GB2312" w:cs="仿宋_GB2312" w:eastAsia="仿宋_GB2312"/>
                <w:sz w:val="20"/>
                <w:color w:val="000000"/>
              </w:rPr>
              <w:t>2份、电子版1份；供应商根据统一安排，自</w:t>
            </w:r>
            <w:r>
              <w:rPr>
                <w:rFonts w:ascii="仿宋_GB2312" w:hAnsi="仿宋_GB2312" w:cs="仿宋_GB2312" w:eastAsia="仿宋_GB2312"/>
                <w:sz w:val="20"/>
              </w:rPr>
              <w:t>行前往被检单位。</w:t>
            </w:r>
          </w:p>
          <w:p>
            <w:pPr>
              <w:pStyle w:val="null3"/>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）网络安全运维服务</w:t>
            </w:r>
          </w:p>
          <w:p>
            <w:pPr>
              <w:pStyle w:val="null3"/>
              <w:ind w:firstLine="400"/>
            </w:pPr>
            <w:r>
              <w:rPr>
                <w:rFonts w:ascii="仿宋_GB2312" w:hAnsi="仿宋_GB2312" w:cs="仿宋_GB2312" w:eastAsia="仿宋_GB2312"/>
                <w:sz w:val="20"/>
              </w:rPr>
              <w:t>服务商提供服务人员不得少于</w:t>
            </w:r>
            <w:r>
              <w:rPr>
                <w:rFonts w:ascii="仿宋_GB2312" w:hAnsi="仿宋_GB2312" w:cs="仿宋_GB2312" w:eastAsia="仿宋_GB2312"/>
                <w:sz w:val="20"/>
              </w:rPr>
              <w:t>4人。</w:t>
            </w:r>
          </w:p>
          <w:p>
            <w:pPr>
              <w:pStyle w:val="null3"/>
            </w:pPr>
            <w:r>
              <w:rPr>
                <w:rFonts w:ascii="仿宋_GB2312" w:hAnsi="仿宋_GB2312" w:cs="仿宋_GB2312" w:eastAsia="仿宋_GB2312"/>
                <w:sz w:val="20"/>
                <w:color w:val="000000"/>
              </w:rPr>
              <w:t>三</w:t>
            </w:r>
            <w:r>
              <w:rPr>
                <w:rFonts w:ascii="仿宋_GB2312" w:hAnsi="仿宋_GB2312" w:cs="仿宋_GB2312" w:eastAsia="仿宋_GB2312"/>
                <w:sz w:val="20"/>
                <w:color w:val="000000"/>
              </w:rPr>
              <w:t>、服务规范标准</w:t>
            </w:r>
          </w:p>
          <w:p>
            <w:pPr>
              <w:pStyle w:val="null3"/>
            </w:pPr>
            <w:r>
              <w:rPr>
                <w:rFonts w:ascii="仿宋_GB2312" w:hAnsi="仿宋_GB2312" w:cs="仿宋_GB2312" w:eastAsia="仿宋_GB2312"/>
                <w:sz w:val="20"/>
                <w:color w:val="000000"/>
              </w:rPr>
              <w:t>（一）法律法规</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《中华人民共和国网络安全法》</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《中华人民共和国数据安全法》</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《中华人民共和国个人信息保护法》</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《网络数据安全管理条例》</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《关键信息基础设施安全保护条例》</w:t>
            </w:r>
          </w:p>
          <w:p>
            <w:pPr>
              <w:pStyle w:val="null3"/>
            </w:pPr>
            <w:r>
              <w:rPr>
                <w:rFonts w:ascii="仿宋_GB2312" w:hAnsi="仿宋_GB2312" w:cs="仿宋_GB2312" w:eastAsia="仿宋_GB2312"/>
                <w:sz w:val="20"/>
                <w:color w:val="000000"/>
              </w:rPr>
              <w:t>（二）参照标准</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《信息安全技术信息安全风险评估方法》（</w:t>
            </w:r>
            <w:r>
              <w:rPr>
                <w:rFonts w:ascii="仿宋_GB2312" w:hAnsi="仿宋_GB2312" w:cs="仿宋_GB2312" w:eastAsia="仿宋_GB2312"/>
                <w:sz w:val="20"/>
                <w:color w:val="000000"/>
              </w:rPr>
              <w:t>GB/T20984-2022）</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《信息技术安全技术信息安全管理监视、测量、分析和评价》（</w:t>
            </w:r>
            <w:r>
              <w:rPr>
                <w:rFonts w:ascii="仿宋_GB2312" w:hAnsi="仿宋_GB2312" w:cs="仿宋_GB2312" w:eastAsia="仿宋_GB2312"/>
                <w:sz w:val="20"/>
                <w:color w:val="000000"/>
              </w:rPr>
              <w:t>GB/T31497-2024）</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《信息安全技术安全漏洞分类》（</w:t>
            </w:r>
            <w:r>
              <w:rPr>
                <w:rFonts w:ascii="仿宋_GB2312" w:hAnsi="仿宋_GB2312" w:cs="仿宋_GB2312" w:eastAsia="仿宋_GB2312"/>
                <w:sz w:val="20"/>
                <w:color w:val="000000"/>
              </w:rPr>
              <w:t>GB/T33561-2017）</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《信息安全技术网络安全漏洞管理规范》（</w:t>
            </w:r>
            <w:r>
              <w:rPr>
                <w:rFonts w:ascii="仿宋_GB2312" w:hAnsi="仿宋_GB2312" w:cs="仿宋_GB2312" w:eastAsia="仿宋_GB2312"/>
                <w:sz w:val="20"/>
                <w:color w:val="000000"/>
              </w:rPr>
              <w:t>GB/T30276-2020）</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《信息安全技术网络攻击定义及描述规范》（</w:t>
            </w:r>
            <w:r>
              <w:rPr>
                <w:rFonts w:ascii="仿宋_GB2312" w:hAnsi="仿宋_GB2312" w:cs="仿宋_GB2312" w:eastAsia="仿宋_GB2312"/>
                <w:sz w:val="20"/>
                <w:color w:val="000000"/>
              </w:rPr>
              <w:t>GB/T37027-2018）</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《信息安全技术网络安全漏洞分类分级指南》（</w:t>
            </w:r>
            <w:r>
              <w:rPr>
                <w:rFonts w:ascii="仿宋_GB2312" w:hAnsi="仿宋_GB2312" w:cs="仿宋_GB2312" w:eastAsia="仿宋_GB2312"/>
                <w:sz w:val="20"/>
                <w:color w:val="000000"/>
              </w:rPr>
              <w:t>GB/T302711-2020）</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《信息安全技术网络安全漏洞标识与描述规范》（</w:t>
            </w:r>
            <w:r>
              <w:rPr>
                <w:rFonts w:ascii="仿宋_GB2312" w:hAnsi="仿宋_GB2312" w:cs="仿宋_GB2312" w:eastAsia="仿宋_GB2312"/>
                <w:sz w:val="20"/>
                <w:color w:val="000000"/>
              </w:rPr>
              <w:t>GB/T28458-2020）</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《信息安全技术个人信息安全规范》（</w:t>
            </w:r>
            <w:r>
              <w:rPr>
                <w:rFonts w:ascii="仿宋_GB2312" w:hAnsi="仿宋_GB2312" w:cs="仿宋_GB2312" w:eastAsia="仿宋_GB2312"/>
                <w:sz w:val="20"/>
                <w:color w:val="000000"/>
              </w:rPr>
              <w:t>GB/T35273-2020）</w:t>
            </w:r>
          </w:p>
          <w:p>
            <w:pPr>
              <w:pStyle w:val="null3"/>
              <w:ind w:firstLine="400"/>
              <w:jc w:val="both"/>
            </w:pPr>
            <w:r>
              <w:rPr>
                <w:rFonts w:ascii="仿宋_GB2312" w:hAnsi="仿宋_GB2312" w:cs="仿宋_GB2312" w:eastAsia="仿宋_GB2312"/>
                <w:sz w:val="20"/>
                <w:color w:val="000000"/>
              </w:rPr>
              <w:t>Ø</w:t>
            </w:r>
            <w:r>
              <w:rPr>
                <w:rFonts w:ascii="仿宋_GB2312" w:hAnsi="仿宋_GB2312" w:cs="仿宋_GB2312" w:eastAsia="仿宋_GB2312"/>
                <w:sz w:val="20"/>
                <w:color w:val="000000"/>
              </w:rPr>
              <w:t>《信息安全技术办公设备安全测试方法》（</w:t>
            </w:r>
            <w:r>
              <w:rPr>
                <w:rFonts w:ascii="仿宋_GB2312" w:hAnsi="仿宋_GB2312" w:cs="仿宋_GB2312" w:eastAsia="仿宋_GB2312"/>
                <w:sz w:val="20"/>
                <w:color w:val="000000"/>
              </w:rPr>
              <w:t>GB/T38558-2020）</w:t>
            </w:r>
          </w:p>
          <w:p>
            <w:pPr>
              <w:pStyle w:val="null3"/>
            </w:pPr>
            <w:r>
              <w:rPr>
                <w:rFonts w:ascii="仿宋_GB2312" w:hAnsi="仿宋_GB2312" w:cs="仿宋_GB2312" w:eastAsia="仿宋_GB2312"/>
                <w:sz w:val="21"/>
                <w:color w:val="000000"/>
              </w:rPr>
              <w:t>Ø</w:t>
            </w:r>
            <w:r>
              <w:rPr>
                <w:rFonts w:ascii="仿宋_GB2312" w:hAnsi="仿宋_GB2312" w:cs="仿宋_GB2312" w:eastAsia="仿宋_GB2312"/>
                <w:sz w:val="20"/>
                <w:color w:val="000000"/>
              </w:rPr>
              <w:t>《信息安全技术信息安全应急响应计划规范》（</w:t>
            </w:r>
            <w:r>
              <w:rPr>
                <w:rFonts w:ascii="仿宋_GB2312" w:hAnsi="仿宋_GB2312" w:cs="仿宋_GB2312" w:eastAsia="仿宋_GB2312"/>
                <w:sz w:val="20"/>
                <w:color w:val="000000"/>
              </w:rPr>
              <w:t>GB/T24363-2009）</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合同签订，接采购人通知后90天内完成所有检查任务，并提交相关报告。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合同签订，接采购人通知后90天内完成所有检查任务，并提交相关报告。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西安市医疗保险基金管理中心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西安市医疗保险基金管理中心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项目完成后，供应商提出验收申请，采购人组织对供应商的服务及报告进行验收，验收合格出具验收合格单。 验收依据：1.采购文件；2.响应文件；3.相关法规、规范。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项目完成后，供应商提出验收申请，采购人组织对供应商的服务及报告进行验收，验收合格出具验收合格单。 验收依据：1.采购文件；2.响应文件；3.相关法规、规范。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网络安全检查服务验收完成后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网络安全检查服务验收完成后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按《中华人民共和国民法典》相关规定执行。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按《中华人民共和国民法典》相关规定执行。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本项目所属行业：其他未列明行业。从业人员300人以下的为中小微型企业。其中，从业人员100人及以上的为中型企业；从业人员10人及以上的为小型企业；从业人员10人以下的为微型企业。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并在中华人民共和国境内注册，提供注册登记凭证（营业执照、其他组织经营的合法凭证，自然人的提供身份证明文件）。2）具有良好的商业信誉和健全的财务会计制度，提供2023年度或2024年度经审计的财务报告（包括“四表一注”即《资产负债表》《利润表》《现金流量表》《所有者权益变动表》及其附注或成立时间至提交磋商响应文件截止时间不足一年的可提供成立后任意时段的资产负债表）或基本存款账户开户银行出具的资信证明（资信证明需提供 投标截止时间前6个月内）及基本存款账户开户许可证（基本账户信息）；以上三种形式的资料提供任何一种即可。3）具有履行合同所必需的设备和专业技术能力提供声明文件。4）完税证明：供应商须提供投标截止时间前一年内，已缴纳的任意一个月的纳税证明或完税证明，纳税证明或完税证明上应有代收机构或税务机关的公章或业务专用章，依法免税的投标人应提供相关文件证明；5）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6）参加政府采购活动前3年内在经营 活动中没有重大违法记录的书面声明。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并在中华人民共和国境内注册，提供注册登记凭证（营业执照、其他组织经营的合法凭证，自然人的提供身份证明文件）。2）具有良好的商业信誉和健全的财务会计制度，提供2023年度或2024年度经审计的财务报告（包括“四表一注”即《资产负债表》《利润表》《现金流量表》《所有者权益变动表》及其附注或成立时间至提交磋商响应文件截止时间不足一年的可提供成立后任意时段的资产负债表）或基本存款账户开户银行出具的资信证明（资信证明需提供 投标截止时间前6个月内）及基本存款账户开户许可证（基本账户信息）；以上三种形式的资料提供任何一种即可。3）具有履行合同所必需的设备和专业技术能力提供声明文件。4）完税证明：供应商须提供投标截止时间前一年内，已缴纳的任意一个月的纳税证明或完税证明，纳税证明或完税证明上应有代收机构或税务机关的公章或业务专用章，依法免税的投标人应提供相关文件证明；5）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6）参加政府采购活动前3年内在经营 活动中没有重大违法记录的书面声明。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供应商在磋商截止时间前不得为“信用中国”网站（www.creditchina.gov.cn ）（页面跳转至“中国执行信息网”http://zxgk.court.gov.cn/shixin）已列入失信被执行人和重大税收违法失信主体的供应商，不得为“中国政府采购网”（ww w.ccgp.gov.cn）已列入政府采购严重违法失信行为记录名单的供应商。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法定代表人授权委托书（附法定代表人、被授权人身份证复印件并加盖公章）。（法定代表人参加投标只须提供法定代表人身份证明书及法人身份证复印件）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供应商在磋商截止时间前不得为“信用中国”网站（www.creditchina.gov.cn ）（页面跳转至“中国执行信息网”http://zxgk.court.gov.cn/shixin）已列入失信被执行人和重大税收违法失信主体的供应商，不得为“中国政府采购网”（ww w.ccgp.gov.cn）已列入政府采购严重违法失信行为记录名单的供应商。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法定代表人授权委托书（附法定代表人、被授权人身份证复印件并加盖公章）。（法定代表人参加投标只须提供法定代表人身份证明书及法人身份证复印件）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相关资格证明材料.docx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相关资格证明材料.docx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相关资格证明材料.docx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相关资格证明材料.docx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相关资格证明材料.docx 响应文件封面 分项报价表.docx 残疾人福利性单位声明函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1、对本项目背景和工作内容的理解深刻、分析全面、服务方案完整、合理、有针对性、工作思路清晰、方法先进、任务分解合理，计[10.1-15.0]分； 2、对本项目背景和工作内容的理解较深刻、分析较全面、服务方案较合理、较有针对性、工作思路较清晰、方法较先进、任务分解较合理，计[5.1-10.0]分； 3、对本项目背景和工作内容的理解和分析一般、服务方案一般，工作思路、方法、任务分解较简单，计[1.0-5.0]分；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网络安全综合治理服务方案</w:t>
            </w:r>
          </w:p>
        </w:tc>
        <w:tc>
          <w:tcPr>
            <w:tcW w:type="dxa" w:w="2492"/>
          </w:tcPr>
          <w:p>
            <w:pPr>
              <w:pStyle w:val="null3"/>
            </w:pPr>
            <w:r>
              <w:rPr>
                <w:rFonts w:ascii="仿宋_GB2312" w:hAnsi="仿宋_GB2312" w:cs="仿宋_GB2312" w:eastAsia="仿宋_GB2312"/>
              </w:rPr>
              <w:t>供应商根据采购需求能详细提供网络安全综合治理服务内容、流程、交付物模板等资料，完整具体，具有可行性，计[10.1-15.0]分；2.相关资料一般，可行性一般，计[5.1-10.0]分；3.培训方案不完整，可行性较差，计[1.0-5.0]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[10.1-15.0]分； 工作进度计划详细、合理，符合实际，有明确，较为合理的时间安排，工作计划针对性强，保证措施一般，能够满 足项目需求，违约措施及承诺较好，可操作性较好[5.1-10.0]分； 工作进度计划基本完整、有合理性，有一定的针对性，有 保证措施，基本能够满足项目要求，违约措施及承诺一般， 可操作性一般得[1.0-5.0]分。 工作进度计划不完整不合理，无针对性，保证措施差或无 进度计划及保证措施的不得分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的服务保障措施，所涉及的所有服务人员均按照国家相关法律法规的要求进行管理。1、流程管理、质量管理、安全管理、档案管理、人员组织等，每一项工作内容分解详细，可操作性高，执行力度高效快捷，计[10.1-15.0]分； 2、流程管理、质量管理、安全管理、档案管理、人员组织等，每一项工作内容分解一般，可操作性一般，执行力度一般，计[5.1-10.0]分； 3、流程管理、质量管理、安全管理、档案管理、人员组织等，每一项工作内容分解差，可操作性差，执行力度差，方案堆叠，计[1.0-5.0]分；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针对本项目的应急方案。 1、具有完整、规范的应急方案，并有充足的应急资源储备及较强的应急调配响应能力，计[3.0-5.0]分； 2、具有较完整、规范的应急方案，有基本应急资源储备及应急调配响应能力，计[1-3）分； 3、应急方案差，与本项目实际服务内容偏差较大，计[0-1）分；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项目组织机构设置、岗位职责进行评价，机构设置合理、职责划分明确，得[3-5]分；机构设置、职责划分较合理，得（1-3）分；机构设置一般，组织分工不合理，得（0-1）分。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服务质量保证措施结合本项目实际情况，合理、可行完全保证本项目服务质量，计[3-5]分 服务质量保证措施全面性、合理可行性一般，计[1-3]分； 服务质量保证措施有所欠缺，与项目关联性小，计[0-1]分；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服务团队人员配置</w:t>
            </w:r>
          </w:p>
        </w:tc>
        <w:tc>
          <w:tcPr>
            <w:tcW w:type="dxa" w:w="2492"/>
          </w:tcPr>
          <w:p>
            <w:pPr>
              <w:pStyle w:val="null3"/>
            </w:pPr>
            <w:r>
              <w:rPr>
                <w:rFonts w:ascii="仿宋_GB2312" w:hAnsi="仿宋_GB2312" w:cs="仿宋_GB2312" w:eastAsia="仿宋_GB2312"/>
              </w:rPr>
              <w:t>服务团队人员不得少于4人，项目团队人员专业性、经验性强，对本项目有针对性得[3-5]分；项目团队人员专业性、经验性欠缺，人员设置不合理得[0-3]分；服务团队人员包括但不限于以下要求：PMP项目管理资格认证、注册信息安全专业人员(CISP)，否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供应商须提供近三年（自2022年1月1日至今）类似项目业绩，响应文件中附加盖供应商公章的合同复印件（以合同签订日期为准），每提供一份得2分，满分10分。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1、对本项目背景和工作内容的理解深刻、分析全面、服务方案完整、合理、有针对性、工作思路清晰、方法先进、任务分解合理，计[10.1-15.0]分； 2、对本项目背景和工作内容的理解较深刻、分析较全面、服务方案较合理、较有针对性、工作思路较清晰、方法较先进、任务分解较合理，计[5.1-10.0]分； 3、对本项目背景和工作内容的理解和分析一般、服务方案一般，工作思路、方法、任务分解较简单，计[1.0-5.0]分；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 强，保证措施有力，能够很好地满足项目需求，违约措施及承诺具体可行，可操作性高得[10.1-15.0]分； 工作进度计划详细、合理，符合实际，有明确，较为合理的时间安排，工作计划针对性强，保证措施一般，能够满 足项目需求，违约措施及承诺较好，可操作性较好[5.1-10.0]分； 工作进度计划基本完整、有合理性，有一定的针对性，有 保证措施，基本能够满足项目要求，违约措施及承诺一般， 可操作性一般得[1.0-5.0]分。 工作进度计划不完整不合理，无针对性，保证措施差或无 进度计划及保证措施的不得分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的服务保障措施，所涉及的所有服务人员均按照国家相关法律法规的要求进行管理。1、流程管理、质量管理、安全管理、档案管理、人员组织等，每一项工作内容分解详细，可操作性高，执行力度高效快捷，计[10.1-15.0]分； 2、流程管理、质量管理、安全管理、档案管理、人员组织等，每一项工作内容分解一般，可操作性一般，执行力度一般，计[5.1-10.0]分； 3、流程管理、质量管理、安全管理、档案管理、人员组织等，每一项工作内容分解差，可操作性差，执行力度差，方案堆叠，计[1.0-5.0]分；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针对本项目的应急方案。 1、具有完整、规范的应急方案，并有充足的应急资源储备及较强的应急调配响应能力，计[7.1-10.0]分； 2、具有较完整、规范的应急方案，有基本应急资源储备及应急调配响应能力，计[4.1-7.0）分； 3、应急方案差，与本项目实际服务内容偏差较大，计[1.0-4.0）分；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项目组织机构设置、岗位职责进行评价，机构设置合理、职责划分明确，得[3-5]分；机构设置、职责划分较合理，得[1-3]分；机构设置一般，组织分工不合理，得[0-1]分。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服务质量保证措施结合本项目实际情况，合理、可行完全保证本项目服务质量，计[10.1-15.0]分 服务质量保证措施全面性、合理可行性一般，计[5.1-10.0]分； 服务质量保证措施有所欠缺，与项目关联性小，计[1.0-5.0]分；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服务团队人员配置</w:t>
            </w:r>
          </w:p>
        </w:tc>
        <w:tc>
          <w:tcPr>
            <w:tcW w:type="dxa" w:w="2492"/>
          </w:tcPr>
          <w:p>
            <w:pPr>
              <w:pStyle w:val="null3"/>
            </w:pPr>
            <w:r>
              <w:rPr>
                <w:rFonts w:ascii="仿宋_GB2312" w:hAnsi="仿宋_GB2312" w:cs="仿宋_GB2312" w:eastAsia="仿宋_GB2312"/>
              </w:rPr>
              <w:t>服务团队人员不得少于4人，项目团队人员专业性、经验性强，对本项目有针对性得[3-5]分；项目团队人员专业性、经验性欠缺，人员设置不合理得[0-3]分；服务团队人员包括但不限于以下要求：PMP项目管理资格认证、注册信息安全专业人员(CISP)，否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供应商须提供近三年（自2022年1月1日至今）类似项目业绩，响应文件中附加盖供应商公章的合同复印件（以合同签订日期为准），每提供一份得2分，满分10分。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