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版本号：CT-ZB00-115-202520250617001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西安市新时代名师培养项目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CT-ZB00-115-2025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西安市新时代名师培养项目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CT-ZB00-115-2025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西安市新时代名师培养项目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国家“双名计划”新时代中小学名师名校长培养目标为指导，帮助教师和校长进一步提升教育教学、办学治校能力，造就一批具有鲜明教育理念和成熟教学模式/治校模式、高素质专业化创新型的名师名校园长，培养为学、为事、为人示范的新时代“大先生”。推动名师名校园长成长为区域教育改革的中坚力量，承担好教育教学领导者、教育研究引领者、实践行动示范者等角色，充分发挥示范引领和辐射作用，带动教师和校园长队伍整体素质提升，促进西安市基础教育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1、政府采购法第二十二条规定：政府采购法第二十二条规定：1、营业执照等主体资格证明文件 提供统一社会信用代码的营业执照或其他组织经营的合法凭证或自然人的提供身份证明文件。 2、财务状况报告 提供具有财务审计资质单位出具的2023年度或2024年度经审计的完整有效财务报告或磋商前六个月内其基本账户银行出具的资信证明或财政部门认可的政府采购专业担保机构出具的担保函，以上形式的证明资料提供任何一种即可。 3、社保缴纳证明 提供已缴存的 2024年6月1日以来任意时段社会保障资金缴存单据或社保机构开具的社会保险参保缴费情况证明。成立时间至提交响应文件截止时间不足一个月或依法不需要缴纳社会保障资金的供应商应提供相关文件证明。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 2024年6月1日以来任意时段的纳税证明或完税证明，纳税证明或完税证明上应有代收机构或税务机关的公章或业务专用章。依法免税的供应商应提供相关文件证明。 5、书面声明 （1）出具履行合同所必需的设备和专业技术能力的书面声明；（2）出具参加本次政府采购活动的书面声明。</w:t>
      </w:r>
    </w:p>
    <w:p>
      <w:pPr>
        <w:pStyle w:val="null3"/>
      </w:pPr>
      <w:r>
        <w:rPr>
          <w:rFonts w:ascii="仿宋_GB2312" w:hAnsi="仿宋_GB2312" w:cs="仿宋_GB2312" w:eastAsia="仿宋_GB2312"/>
        </w:rPr>
        <w:t>2、信用证明：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pPr>
      <w:r>
        <w:rPr>
          <w:rFonts w:ascii="仿宋_GB2312" w:hAnsi="仿宋_GB2312" w:cs="仿宋_GB2312" w:eastAsia="仿宋_GB2312"/>
        </w:rPr>
        <w:t>4、是否专门面向中小企业采购：本项目不专门面向中小企业采购。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17302902053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号）及国家发展改革委《关于降低部分建设项目收费标准规范收费行为等有关问题的通知》（发改价格[2011]534号）规定的标准计取（以成交金额结算）。 代理服务费缴纳账号：账户名称：中昕国际项目管理有限公司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 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联系电话：17302902053</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以国家</w:t>
      </w:r>
      <w:r>
        <w:rPr>
          <w:rFonts w:ascii="仿宋_GB2312" w:hAnsi="仿宋_GB2312" w:cs="仿宋_GB2312" w:eastAsia="仿宋_GB2312"/>
        </w:rPr>
        <w:t>“双名计划”新时代中小学名师名校长培养目标为指导，帮助教师和校长进一步提升教育教学、办学治校能力，造就一批具有鲜明教育理念和成熟教学模式/治校模式、高素质专业化创新型的名师名校园长，培养为学、为事、为人示范的新时代“大先生”。推动名师名校园长成长为区域教育改革的中坚力量，承担好教育教学领导者、教育研究引领者、实践行动示范者等角色，充分发挥示范引领和辐射作用，带动教师和校园长队伍整体素质提升，促进西安市基础教育高质量发展</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1,890,000.00</w:t>
      </w:r>
    </w:p>
    <w:p>
      <w:pPr>
        <w:pStyle w:val="null3"/>
      </w:pPr>
      <w:r>
        <w:rPr>
          <w:rFonts w:ascii="仿宋_GB2312" w:hAnsi="仿宋_GB2312" w:cs="仿宋_GB2312" w:eastAsia="仿宋_GB2312"/>
        </w:rPr>
        <w:t>采购包最高限价（元）: 1,890,000.00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西安市新时代名师培养项目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标的名称：西安市新时代名师培养项目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实施背景和依据以国家“双名计划”新时代中小学名师名校长培养目标为指导，帮助教师和校长进一步提升教育教学、办学治校能力，造就一批具有鲜明教育理念和成熟教学模式/治校模式、高素质专业化创新型的名师名校园长，培养为学、为事、为人示范的新时代“大先生”。推动名师名校园长成长为区域教育改革的中坚力量，承担好教育教学领导者、教育研究引领者、实践行动示范者等角色，充分发挥示范引领和辐射作用，带动教师和校园长队伍整体素质提升，促进西安市基础教育高质量发展。培养对象的遴选由西安市级教育、人社部门下发通知，区县和市直属单位负责具体安排和落实。遴选范围及方式、遴选条件、遴选程序遵循《西安市新时代基础教育教学名师遴选、培养与管理办法(试行)》、《西安市新时代基础教育市级优秀校园长遴选、培养与管理办法 (试行)》等相关文件要求。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二、项目需求 1.培训对象：西安市优秀学科教师 2.培训人数：90人 3.培训周期：45天（一年内） 4.培训内容：遵循师德为先、能力为重、个性培养、示范引领、终身发展的理念，以弘扬和践行教育家精神为核心，以名师专业发展能力为本，围绕师德教育、教育理论深化、教学创新实践、科研能力提升及引领示范五大核心模块，设计分阶段递进式课程体系。重点强化名师培养对象的教学模式优化、教学风格凝练及成果辐射能力，推动名师培养对象从“经验型”向“专家型”转变，形成可推广的教育教学成果，并发挥示范引领与辐射带动效应。5.培训方式：遵循新时代名师成长规律，结合学员专业发展水平定制培养路径，以理论与实践深度融合、任务驱动与成果导向相结合、过程性与发展性评价相结合、个性化与协作化相结合、数字化赋能支持为原则，突出需求分析、分层培养、任务驱动、专家匹配、数据支持和动态调整等关键环节，确保培训资源精准投放、学员能力精准提升、成果价值精准转化，提升整体培训效果。6.供应商须提供项目年度培训方案、年度实施计划、专家师资、在线研修平台、组织管理保障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3.如甲方未能在本合同约定时间内支付款项，每延迟一天，甲方须向乙方支付一定的费用作为违约金。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违约金不足以弥补损失的，乙方还应承担相应赔偿责任。 7.执行本合同过程中发生争议，应友好协商解决，协商不成的，任何一方可到甲方所在地人民法院提起诉讼。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 3.本项目不专门面向中小企业采购。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经审计的完整有效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政府采购法第二十二条规定：1、营业执照等主体资格证明文件 提供统一社会信用代码的营业执照或其他组织经营的合法凭证或自然人的提供身份证明文件。 2、财务状况报告 提供具有财务审计资质单位出具的2023年度或2024年度经审计的完整有效财务报告或磋商前六个月内其基本账户银行出具的资信证明或财政部门认可的政府采购专业担保机构出具的担保函，以上形式的证明资料提供任何一种即可。 3、社保缴纳证明 提供已缴存的 2024年6月1日以来任意时段社会保障资金缴存单据或社保机构开具的社会保险参保缴费情况证明。成立时间至提交响应文件截止时间不足一个月或依法不需要缴纳社会保障资金的供应商应提供相关文件证明。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 2024年6月1日以来任意时段的纳税证明或完税证明，纳税证明或完税证明上应有代收机构或税务机关的公章或业务专用章。依法免税的供应商应提供相关文件证明。 5、书面声明 （1）出具履行合同所必需的设备和专业技术能力的书面声明；（2）出具参加本次政府采购活动的书面声明。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商务主要条款偏离表.docx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 整体服务方案</w:t>
            </w:r>
          </w:p>
        </w:tc>
        <w:tc>
          <w:tcPr>
            <w:tcW w:type="dxa" w:w="2492"/>
          </w:tcPr>
          <w:p>
            <w:pPr>
              <w:pStyle w:val="null3"/>
            </w:pPr>
            <w:r>
              <w:rPr>
                <w:rFonts w:ascii="仿宋_GB2312" w:hAnsi="仿宋_GB2312" w:cs="仿宋_GB2312" w:eastAsia="仿宋_GB2312"/>
              </w:rPr>
              <w:t>针对本项目提供具体可行的整体服务方案，至少包括：①项目理论依据、②项目需求分析、③培训目标、④培训内容（课程模块）、⑤培训方式、⑥年度培训计划、⑦在线研修平台。以上内容完整、描述详尽、符合项目实际需求的，得 35分；每缺少一项扣5分；虽提供但所述内容有缺陷扣2.5分/处，每项内容最多扣5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 教学管理制度</w:t>
            </w:r>
          </w:p>
        </w:tc>
        <w:tc>
          <w:tcPr>
            <w:tcW w:type="dxa" w:w="2492"/>
          </w:tcPr>
          <w:p>
            <w:pPr>
              <w:pStyle w:val="null3"/>
            </w:pPr>
            <w:r>
              <w:rPr>
                <w:rFonts w:ascii="仿宋_GB2312" w:hAnsi="仿宋_GB2312" w:cs="仿宋_GB2312" w:eastAsia="仿宋_GB2312"/>
              </w:rPr>
              <w:t>至少包括：①授课教师管理制度、②学员管理及考核制度、③班主任管理制度、④其他健全的内部管理制度。以上内容完整、描述详尽、符合项目实际需求的，得 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 组织管理保障方案</w:t>
            </w:r>
          </w:p>
        </w:tc>
        <w:tc>
          <w:tcPr>
            <w:tcW w:type="dxa" w:w="2492"/>
          </w:tcPr>
          <w:p>
            <w:pPr>
              <w:pStyle w:val="null3"/>
            </w:pPr>
            <w:r>
              <w:rPr>
                <w:rFonts w:ascii="仿宋_GB2312" w:hAnsi="仿宋_GB2312" w:cs="仿宋_GB2312" w:eastAsia="仿宋_GB2312"/>
              </w:rPr>
              <w:t>至少包括：①资源整合方案、②食宿场地等条件保障、③跟岗实践基地资源、④跟踪指导机制、⑤沟通协调机制。以上内容完整描述详尽、符合项目实际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 应急管理方案</w:t>
            </w:r>
          </w:p>
        </w:tc>
        <w:tc>
          <w:tcPr>
            <w:tcW w:type="dxa" w:w="2492"/>
          </w:tcPr>
          <w:p>
            <w:pPr>
              <w:pStyle w:val="null3"/>
            </w:pPr>
            <w:r>
              <w:rPr>
                <w:rFonts w:ascii="仿宋_GB2312" w:hAnsi="仿宋_GB2312" w:cs="仿宋_GB2312" w:eastAsia="仿宋_GB2312"/>
              </w:rPr>
              <w:t>至少包括：①突发事件预防、②突发事件处理。以上内容完整、描述详尽、符合项目实际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 人员配置</w:t>
            </w:r>
          </w:p>
        </w:tc>
        <w:tc>
          <w:tcPr>
            <w:tcW w:type="dxa" w:w="2492"/>
          </w:tcPr>
          <w:p>
            <w:pPr>
              <w:pStyle w:val="null3"/>
            </w:pPr>
            <w:r>
              <w:rPr>
                <w:rFonts w:ascii="仿宋_GB2312" w:hAnsi="仿宋_GB2312" w:cs="仿宋_GB2312" w:eastAsia="仿宋_GB2312"/>
              </w:rPr>
              <w:t>根据供应商拟投入本项目的专家团队进行评审： 1、培训专家组组长(1人)：具有①教育类正高级职称，同时具有丰富一线教学和培训经验的知名专家，得8分；②教育类副高级职称，同时具有丰富一线教学和培训经验的知名专家，得5分；③教育类中级职称，同时具有丰富一线教学和培训经验的知名专家，得3分。本项最高得8分。 2、授课专家团队中（除培训专家组组长外），每有1名①教育类正高级职称，同时具有丰富一线教学和培训经验的知名专家，得3分；②教育类副高级职称，同时具有丰富一线教学和培训经验的知名专家，得2分；③教育类中级职称，同时具有丰富一线教学和培训经验的知名专家，得1分；本项最高得12分。 注：①同一人员不可重复计分；②提供专家团队人员的职称证书复印件及具有丰富一线教学和培训经验的知名专家的相关证明材料并加盖供应商公章。 3、其他管理人员：每配置1名专职班主任的，得1分，最高得3分； 注：以上人员均为供应商单位的在职员工，提供在职证明材料复印件和身份证复印件并加盖供应商公章。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2020年1月1日以来(以合同签订时间为准)，每提供1个类似业绩的，得2分，本项最高得10分。 注：(1)类似业绩是指：教师培训类服务业绩；(2)应提供合同复印件或中标(成交)通知书复印件并加盖供应商公章。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详见附件：商务主要条款偏离表.docx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