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D70DC">
      <w:pPr>
        <w:jc w:val="center"/>
        <w:outlineLvl w:val="9"/>
        <w:rPr>
          <w:rFonts w:hint="eastAsia" w:asciiTheme="majorEastAsia" w:hAnsiTheme="majorEastAsia" w:eastAsiaTheme="majorEastAsia" w:cstheme="majorEastAsia"/>
          <w:b/>
          <w:sz w:val="28"/>
          <w:szCs w:val="28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en-US" w:eastAsia="zh-CN"/>
        </w:rPr>
        <w:t>商务主要条款偏离表</w:t>
      </w:r>
      <w:bookmarkEnd w:id="0"/>
    </w:p>
    <w:p w14:paraId="6DDF8744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  <w:t>项目编号：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val="zh-CN"/>
        </w:rPr>
        <w:t xml:space="preserve">          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  <w:t xml:space="preserve">              </w:t>
      </w:r>
    </w:p>
    <w:tbl>
      <w:tblPr>
        <w:tblStyle w:val="4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478598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32CBCC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7DCDC8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  <w:t>文件</w:t>
            </w:r>
          </w:p>
          <w:p w14:paraId="7AC1F34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796374A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  <w:t>磋商文件</w:t>
            </w:r>
          </w:p>
          <w:p w14:paraId="106CFD6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eastAsia="zh-CN"/>
              </w:rPr>
              <w:t>商务主要条款</w:t>
            </w:r>
          </w:p>
          <w:p w14:paraId="696963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  <w:t>要求</w:t>
            </w:r>
          </w:p>
        </w:tc>
        <w:tc>
          <w:tcPr>
            <w:tcW w:w="2113" w:type="dxa"/>
            <w:noWrap w:val="0"/>
            <w:vAlign w:val="center"/>
          </w:tcPr>
          <w:p w14:paraId="092F6BC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  <w:t>磋商响应文件</w:t>
            </w:r>
          </w:p>
          <w:p w14:paraId="795BB4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eastAsia="zh-CN"/>
              </w:rPr>
              <w:t>商务主要条款</w:t>
            </w:r>
          </w:p>
          <w:p w14:paraId="335BABD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  <w:t>响应</w:t>
            </w:r>
          </w:p>
        </w:tc>
        <w:tc>
          <w:tcPr>
            <w:tcW w:w="1125" w:type="dxa"/>
            <w:noWrap w:val="0"/>
            <w:vAlign w:val="center"/>
          </w:tcPr>
          <w:p w14:paraId="22A9C54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  <w:t>偏离</w:t>
            </w:r>
          </w:p>
        </w:tc>
        <w:tc>
          <w:tcPr>
            <w:tcW w:w="1538" w:type="dxa"/>
            <w:noWrap w:val="0"/>
            <w:vAlign w:val="center"/>
          </w:tcPr>
          <w:p w14:paraId="38F753D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  <w:t>偏离</w:t>
            </w:r>
          </w:p>
          <w:p w14:paraId="25281DA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</w:rPr>
              <w:t>及其影响</w:t>
            </w:r>
          </w:p>
        </w:tc>
      </w:tr>
      <w:tr w14:paraId="18F2D9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6ADAB2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1380" w:type="dxa"/>
            <w:noWrap w:val="0"/>
            <w:vAlign w:val="top"/>
          </w:tcPr>
          <w:p w14:paraId="483C900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2341" w:type="dxa"/>
            <w:noWrap w:val="0"/>
            <w:vAlign w:val="top"/>
          </w:tcPr>
          <w:p w14:paraId="5AAC8DE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2113" w:type="dxa"/>
            <w:noWrap w:val="0"/>
            <w:vAlign w:val="top"/>
          </w:tcPr>
          <w:p w14:paraId="510DF9E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1125" w:type="dxa"/>
            <w:noWrap w:val="0"/>
            <w:vAlign w:val="top"/>
          </w:tcPr>
          <w:p w14:paraId="54AEEB6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1538" w:type="dxa"/>
            <w:noWrap w:val="0"/>
            <w:vAlign w:val="top"/>
          </w:tcPr>
          <w:p w14:paraId="7130B00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</w:tr>
      <w:tr w14:paraId="676247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7ACB5D4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1380" w:type="dxa"/>
            <w:noWrap w:val="0"/>
            <w:vAlign w:val="top"/>
          </w:tcPr>
          <w:p w14:paraId="2BB7ED5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2341" w:type="dxa"/>
            <w:noWrap w:val="0"/>
            <w:vAlign w:val="top"/>
          </w:tcPr>
          <w:p w14:paraId="6106DC9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2113" w:type="dxa"/>
            <w:noWrap w:val="0"/>
            <w:vAlign w:val="top"/>
          </w:tcPr>
          <w:p w14:paraId="7F39BD5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1125" w:type="dxa"/>
            <w:noWrap w:val="0"/>
            <w:vAlign w:val="top"/>
          </w:tcPr>
          <w:p w14:paraId="0B567A7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1538" w:type="dxa"/>
            <w:noWrap w:val="0"/>
            <w:vAlign w:val="top"/>
          </w:tcPr>
          <w:p w14:paraId="3090925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</w:tr>
      <w:tr w14:paraId="7A9EC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429E06D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1380" w:type="dxa"/>
            <w:noWrap w:val="0"/>
            <w:vAlign w:val="top"/>
          </w:tcPr>
          <w:p w14:paraId="4649E4F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2341" w:type="dxa"/>
            <w:noWrap w:val="0"/>
            <w:vAlign w:val="top"/>
          </w:tcPr>
          <w:p w14:paraId="3441693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2113" w:type="dxa"/>
            <w:noWrap w:val="0"/>
            <w:vAlign w:val="top"/>
          </w:tcPr>
          <w:p w14:paraId="0C9724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1125" w:type="dxa"/>
            <w:noWrap w:val="0"/>
            <w:vAlign w:val="top"/>
          </w:tcPr>
          <w:p w14:paraId="503BF0F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1538" w:type="dxa"/>
            <w:noWrap w:val="0"/>
            <w:vAlign w:val="top"/>
          </w:tcPr>
          <w:p w14:paraId="65AC8B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</w:tr>
      <w:tr w14:paraId="337F0D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817A60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1380" w:type="dxa"/>
            <w:noWrap w:val="0"/>
            <w:vAlign w:val="top"/>
          </w:tcPr>
          <w:p w14:paraId="7FEECEB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2341" w:type="dxa"/>
            <w:noWrap w:val="0"/>
            <w:vAlign w:val="top"/>
          </w:tcPr>
          <w:p w14:paraId="68F54FA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2113" w:type="dxa"/>
            <w:noWrap w:val="0"/>
            <w:vAlign w:val="top"/>
          </w:tcPr>
          <w:p w14:paraId="200E65A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1125" w:type="dxa"/>
            <w:noWrap w:val="0"/>
            <w:vAlign w:val="top"/>
          </w:tcPr>
          <w:p w14:paraId="21F2B8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1538" w:type="dxa"/>
            <w:noWrap w:val="0"/>
            <w:vAlign w:val="top"/>
          </w:tcPr>
          <w:p w14:paraId="2C91C51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</w:tr>
      <w:tr w14:paraId="7CAF0B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6D7F900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1380" w:type="dxa"/>
            <w:noWrap w:val="0"/>
            <w:vAlign w:val="top"/>
          </w:tcPr>
          <w:p w14:paraId="3BD82D6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2341" w:type="dxa"/>
            <w:noWrap w:val="0"/>
            <w:vAlign w:val="top"/>
          </w:tcPr>
          <w:p w14:paraId="0307E0D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2113" w:type="dxa"/>
            <w:noWrap w:val="0"/>
            <w:vAlign w:val="top"/>
          </w:tcPr>
          <w:p w14:paraId="2C0FA2E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1125" w:type="dxa"/>
            <w:noWrap w:val="0"/>
            <w:vAlign w:val="top"/>
          </w:tcPr>
          <w:p w14:paraId="7960D4B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  <w:tc>
          <w:tcPr>
            <w:tcW w:w="1538" w:type="dxa"/>
            <w:noWrap w:val="0"/>
            <w:vAlign w:val="top"/>
          </w:tcPr>
          <w:p w14:paraId="7A5CA47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1"/>
                <w:szCs w:val="21"/>
              </w:rPr>
            </w:pPr>
          </w:p>
        </w:tc>
      </w:tr>
    </w:tbl>
    <w:p w14:paraId="5F91FBA1">
      <w:pPr>
        <w:tabs>
          <w:tab w:val="left" w:pos="1260"/>
        </w:tabs>
        <w:spacing w:line="360" w:lineRule="auto"/>
        <w:ind w:right="-197" w:rightChars="-94" w:firstLine="42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  <w:t>注：</w:t>
      </w:r>
    </w:p>
    <w:p w14:paraId="7E84E43B">
      <w:pPr>
        <w:tabs>
          <w:tab w:val="left" w:pos="1260"/>
        </w:tabs>
        <w:spacing w:line="360" w:lineRule="auto"/>
        <w:ind w:firstLine="420" w:firstLineChars="200"/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  <w:t>1、本表只填写磋商响应文件中与磋商文件有偏离（包括负偏离和正偏离）的内容，在磋商响应文件中须一一列出，无偏离可直接提供空白表。</w:t>
      </w:r>
    </w:p>
    <w:p w14:paraId="5C74A5E8">
      <w:pPr>
        <w:tabs>
          <w:tab w:val="left" w:pos="1260"/>
        </w:tabs>
        <w:spacing w:line="360" w:lineRule="auto"/>
        <w:ind w:firstLine="411" w:firstLineChars="196"/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  <w:t>2、供应商必须据实填写，不得虚假响应，否则将取消其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eastAsia="zh-CN"/>
        </w:rPr>
        <w:t>磋商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  <w:t>或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highlight w:val="none"/>
          <w:lang w:val="en-US" w:eastAsia="zh-CN"/>
        </w:rPr>
        <w:t>成交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highlight w:val="none"/>
        </w:rPr>
        <w:t>资格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  <w:t>，并按有关规定进处罚。</w:t>
      </w:r>
    </w:p>
    <w:p w14:paraId="1303A5E9">
      <w:pPr>
        <w:tabs>
          <w:tab w:val="left" w:pos="1260"/>
        </w:tabs>
        <w:spacing w:line="360" w:lineRule="auto"/>
        <w:ind w:firstLine="411" w:firstLineChars="196"/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</w:pPr>
    </w:p>
    <w:p w14:paraId="4EC78B09">
      <w:pPr>
        <w:tabs>
          <w:tab w:val="left" w:pos="1260"/>
        </w:tabs>
        <w:spacing w:line="360" w:lineRule="auto"/>
        <w:ind w:firstLine="2940" w:firstLineChars="1400"/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  <w:t>供应商（公章）：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u w:val="single"/>
        </w:rPr>
        <w:t xml:space="preserve">                            </w:t>
      </w:r>
    </w:p>
    <w:p w14:paraId="4492860B">
      <w:pPr>
        <w:tabs>
          <w:tab w:val="left" w:pos="1260"/>
        </w:tabs>
        <w:spacing w:line="360" w:lineRule="auto"/>
        <w:ind w:firstLine="2940" w:firstLineChars="1400"/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u w:val="single"/>
        </w:rPr>
      </w:pP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  <w:t>法定代表人或授权代表（签字或盖章）：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u w:val="single"/>
        </w:rPr>
        <w:t xml:space="preserve">         </w:t>
      </w:r>
    </w:p>
    <w:p w14:paraId="59D5DA4D">
      <w:pPr>
        <w:ind w:firstLine="3150" w:firstLineChars="1500"/>
        <w:rPr>
          <w:rFonts w:hint="eastAsia" w:ascii="仿宋" w:hAnsi="仿宋" w:eastAsia="仿宋" w:cs="仿宋"/>
          <w:color w:val="auto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  <w:t>日    期：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</w:p>
    <w:p w14:paraId="3F3E6E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4F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2NDkyYTVjODZmNDllOGY5YWZiYTgyYzk2ZWI2ZDIifQ=="/>
  </w:docVars>
  <w:rsids>
    <w:rsidRoot w:val="00000000"/>
    <w:rsid w:val="07890035"/>
    <w:rsid w:val="28765545"/>
    <w:rsid w:val="47A4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tabs>
        <w:tab w:val="left" w:pos="1152"/>
      </w:tabs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177</Characters>
  <Lines>0</Lines>
  <Paragraphs>0</Paragraphs>
  <TotalTime>0</TotalTime>
  <ScaleCrop>false</ScaleCrop>
  <LinksUpToDate>false</LinksUpToDate>
  <CharactersWithSpaces>204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2024-10-09T16:17:00Z</dcterms:created>
  <dc:creator>Administrator</dc:creator>
  <cp:lastModifiedBy>郑南希</cp:lastModifiedBy>
  <dcterms:modified xsi:type="dcterms:W3CDTF">2025-05-28T08:06:15Z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2FE31BAD58AD454A880AD77E441297F1_12</vt:lpwstr>
  </property>
  <property fmtid="{D5CDD505-2E9C-101B-9397-08002B2CF9AE}" pid="4" name="KSOTemplateDocerSaveRecord">
    <vt:lpwstr>eyJoZGlkIjoiZTU2Yzg3ZmY3YzllMjk2OTFlYWZjOGE4YmRlZmU1ZTciLCJ1c2VySWQiOiIyNjcyNzIyMzkifQ==</vt:lpwstr>
  </property>
</Properties>
</file>