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版本号：SDZC2025-11420250618001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周至县人民法院餐厨外包项目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SDZC2025-114</w:t>
      </w:r>
      <w:r>
        <w:br/>
      </w:r>
      <w:r>
        <w:br/>
      </w:r>
      <w:r>
        <w:br/>
      </w:r>
    </w:p>
    <w:p>
      <w:pPr>
        <w:pStyle w:val="null3"/>
        <w:jc w:val="center"/>
        <w:outlineLvl w:val="2"/>
      </w:pPr>
      <w:r>
        <w:rPr>
          <w:rFonts w:ascii="仿宋_GB2312" w:hAnsi="仿宋_GB2312" w:cs="仿宋_GB2312" w:eastAsia="仿宋_GB2312"/>
          <w:sz w:val="28"/>
          <w:b/>
        </w:rPr>
        <w:t>周至县人民法院[165]</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周至县人民法院[165]</w:t>
      </w:r>
      <w:r>
        <w:rPr>
          <w:rFonts w:ascii="仿宋_GB2312" w:hAnsi="仿宋_GB2312" w:cs="仿宋_GB2312" w:eastAsia="仿宋_GB2312"/>
        </w:rPr>
        <w:t>委托，拟对</w:t>
      </w:r>
      <w:r>
        <w:rPr>
          <w:rFonts w:ascii="仿宋_GB2312" w:hAnsi="仿宋_GB2312" w:cs="仿宋_GB2312" w:eastAsia="仿宋_GB2312"/>
        </w:rPr>
        <w:t>周至县人民法院餐厨外包项目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周至县人民法院餐厨外包项目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周至县人民法院餐厨外包项目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采购包1（餐厨外包）：属于专门面向中小企业采购。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7、餐饮行业的资质：投标供应商须提供食品经营许可证；</w:t>
      </w:r>
    </w:p>
    <w:p>
      <w:pPr>
        <w:pStyle w:val="null3"/>
      </w:pPr>
      <w:r>
        <w:rPr>
          <w:rFonts w:ascii="仿宋_GB2312" w:hAnsi="仿宋_GB2312" w:cs="仿宋_GB2312" w:eastAsia="仿宋_GB2312"/>
        </w:rPr>
        <w:t>8、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周至县人民法院[165]</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周至县南大门西200米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周至县人民法院[165]经办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029-87181080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宋薇（1号工位）、姚文霄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采购包1：485,760.00元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2、账号信息 （1）开户行名称：陕西上德招标有限公司 （2）开 户 行：西安银行股份有限公司文景路支行 （3）账 号：707011510000013522 财务部联系方式：029-86673953、86518381、89299829、89293231 转813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周至县人民法院[165]</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周至县人民法院[165]</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周至县人民法院[165]</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联系人：宋薇（1号工位）</w:t>
      </w:r>
    </w:p>
    <w:p>
      <w:pPr>
        <w:pStyle w:val="null3"/>
      </w:pPr>
      <w:r>
        <w:rPr>
          <w:rFonts w:ascii="仿宋_GB2312" w:hAnsi="仿宋_GB2312" w:cs="仿宋_GB2312" w:eastAsia="仿宋_GB2312"/>
        </w:rPr>
        <w:t>联系电话：029-86673953、029-86518381、029-89299829、029-89293231 转801</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周至县人民法院餐厨外包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485,760.00</w:t>
      </w:r>
    </w:p>
    <w:p>
      <w:pPr>
        <w:pStyle w:val="null3"/>
      </w:pPr>
      <w:r>
        <w:rPr>
          <w:rFonts w:ascii="仿宋_GB2312" w:hAnsi="仿宋_GB2312" w:cs="仿宋_GB2312" w:eastAsia="仿宋_GB2312"/>
        </w:rPr>
        <w:t>采购包最高限价（元）: 485,760.00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12个月餐饮服务（含食材）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485,760.00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标的名称：12个月餐饮服务（含食材）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1、服务商合理安排机关员工餐、制定科学食谱，采购人全程监管；</w:t>
            </w:r>
          </w:p>
          <w:p>
            <w:pPr>
              <w:pStyle w:val="null3"/>
            </w:pPr>
            <w:r>
              <w:rPr>
                <w:rFonts w:ascii="仿宋_GB2312" w:hAnsi="仿宋_GB2312" w:cs="仿宋_GB2312" w:eastAsia="仿宋_GB2312"/>
              </w:rPr>
              <w:t>2、餐饮区内公共区域的通道、地面、楼梯、墙壁、走廊、玻璃、餐具、取样盒、消防设施等的清洁、保洁、消毒工作；</w:t>
            </w:r>
          </w:p>
          <w:p>
            <w:pPr>
              <w:pStyle w:val="null3"/>
            </w:pPr>
            <w:r>
              <w:rPr>
                <w:rFonts w:ascii="仿宋_GB2312" w:hAnsi="仿宋_GB2312" w:cs="仿宋_GB2312" w:eastAsia="仿宋_GB2312"/>
              </w:rPr>
              <w:t>3、餐厨垃圾清倒至指定区域。</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（一）人员管理要求</w:t>
            </w:r>
          </w:p>
          <w:p>
            <w:pPr>
              <w:pStyle w:val="null3"/>
            </w:pPr>
            <w:r>
              <w:rPr>
                <w:rFonts w:ascii="仿宋_GB2312" w:hAnsi="仿宋_GB2312" w:cs="仿宋_GB2312" w:eastAsia="仿宋_GB2312"/>
              </w:rPr>
              <w:t>1、服务商必须依法合规与员工签订劳动合同、建立员工个人档案（个人信息及培训档案），并向采购人报备；</w:t>
            </w:r>
          </w:p>
          <w:p>
            <w:pPr>
              <w:pStyle w:val="null3"/>
            </w:pPr>
            <w:r>
              <w:rPr>
                <w:rFonts w:ascii="仿宋_GB2312" w:hAnsi="仿宋_GB2312" w:cs="仿宋_GB2312" w:eastAsia="仿宋_GB2312"/>
              </w:rPr>
              <w:t>2、所有服务人员必须思想端正，有吃苦耐劳精神，身体健康、五官端正，熟悉采购人相关管理制度。</w:t>
            </w:r>
          </w:p>
          <w:p>
            <w:pPr>
              <w:pStyle w:val="null3"/>
            </w:pPr>
            <w:r>
              <w:rPr>
                <w:rFonts w:ascii="仿宋_GB2312" w:hAnsi="仿宋_GB2312" w:cs="仿宋_GB2312" w:eastAsia="仿宋_GB2312"/>
              </w:rPr>
              <w:t>（二）岗位设置及要求</w:t>
            </w:r>
          </w:p>
          <w:tbl>
            <w:tblPr>
              <w:tblBorders>
                <w:top w:val="single"/>
                <w:left w:val="single"/>
                <w:bottom w:val="single"/>
                <w:right w:val="single"/>
                <w:insideH w:val="single"/>
                <w:insideV w:val="single"/>
              </w:tblBorders>
            </w:tblPr>
            <w:tblGrid>
              <w:gridCol w:w="638"/>
              <w:gridCol w:w="638"/>
              <w:gridCol w:w="638"/>
              <w:gridCol w:w="638"/>
            </w:tblGrid>
            <w:tr>
              <w:tc>
                <w:tcPr>
                  <w:tcW w:type="dxa" w:w="1276"/>
                  <w:gridSpan w:val="2"/>
                </w:tcPr>
                <w:p>
                  <w:pPr>
                    <w:pStyle w:val="null3"/>
                  </w:pPr>
                  <w:r>
                    <w:rPr>
                      <w:rFonts w:ascii="仿宋_GB2312" w:hAnsi="仿宋_GB2312" w:cs="仿宋_GB2312" w:eastAsia="仿宋_GB2312"/>
                    </w:rPr>
                    <w:t>岗位名称</w:t>
                  </w:r>
                </w:p>
              </w:tc>
              <w:tc>
                <w:tcPr>
                  <w:tcW w:type="dxa" w:w="638"/>
                </w:tcPr>
                <w:p>
                  <w:pPr>
                    <w:pStyle w:val="null3"/>
                  </w:pPr>
                  <w:r>
                    <w:rPr>
                      <w:rFonts w:ascii="仿宋_GB2312" w:hAnsi="仿宋_GB2312" w:cs="仿宋_GB2312" w:eastAsia="仿宋_GB2312"/>
                    </w:rPr>
                    <w:t>人员资质要求</w:t>
                  </w:r>
                </w:p>
              </w:tc>
              <w:tc>
                <w:tcPr>
                  <w:tcW w:type="dxa" w:w="638"/>
                </w:tcPr>
                <w:p>
                  <w:pPr>
                    <w:pStyle w:val="null3"/>
                  </w:pPr>
                  <w:r>
                    <w:rPr>
                      <w:rFonts w:ascii="仿宋_GB2312" w:hAnsi="仿宋_GB2312" w:cs="仿宋_GB2312" w:eastAsia="仿宋_GB2312"/>
                    </w:rPr>
                    <w:t>岗位数量</w:t>
                  </w:r>
                </w:p>
              </w:tc>
            </w:tr>
            <w:tr>
              <w:tc>
                <w:tcPr>
                  <w:tcW w:type="dxa" w:w="638"/>
                  <w:vMerge w:val="restart"/>
                </w:tcPr>
                <w:p>
                  <w:pPr>
                    <w:pStyle w:val="null3"/>
                  </w:pPr>
                  <w:r>
                    <w:rPr>
                      <w:rFonts w:ascii="仿宋_GB2312" w:hAnsi="仿宋_GB2312" w:cs="仿宋_GB2312" w:eastAsia="仿宋_GB2312"/>
                    </w:rPr>
                    <w:t>餐饮</w:t>
                  </w:r>
                </w:p>
              </w:tc>
              <w:tc>
                <w:tcPr>
                  <w:tcW w:type="dxa" w:w="638"/>
                </w:tcPr>
                <w:p>
                  <w:pPr>
                    <w:pStyle w:val="null3"/>
                  </w:pPr>
                  <w:r>
                    <w:rPr>
                      <w:rFonts w:ascii="仿宋_GB2312" w:hAnsi="仿宋_GB2312" w:cs="仿宋_GB2312" w:eastAsia="仿宋_GB2312"/>
                    </w:rPr>
                    <w:t>厨师</w:t>
                  </w:r>
                </w:p>
              </w:tc>
              <w:tc>
                <w:tcPr>
                  <w:tcW w:type="dxa" w:w="638"/>
                </w:tcPr>
                <w:p>
                  <w:pPr>
                    <w:pStyle w:val="null3"/>
                  </w:pPr>
                  <w:r>
                    <w:rPr>
                      <w:rFonts w:ascii="仿宋_GB2312" w:hAnsi="仿宋_GB2312" w:cs="仿宋_GB2312" w:eastAsia="仿宋_GB2312"/>
                    </w:rPr>
                    <w:t>持有“中式烹调师证”“健康证”；有一定的厨房管理能力。从业经验3年以上。</w:t>
                  </w:r>
                </w:p>
                <w:p>
                  <w:pPr>
                    <w:pStyle w:val="null3"/>
                  </w:pPr>
                  <w:r>
                    <w:rPr>
                      <w:rFonts w:ascii="仿宋_GB2312" w:hAnsi="仿宋_GB2312" w:cs="仿宋_GB2312" w:eastAsia="仿宋_GB2312"/>
                    </w:rPr>
                    <w:t>年龄不超过国家法定退休年龄。</w:t>
                  </w:r>
                </w:p>
                <w:p>
                  <w:pPr>
                    <w:pStyle w:val="null3"/>
                  </w:pPr>
                  <w:r>
                    <w:rPr>
                      <w:rFonts w:ascii="仿宋_GB2312" w:hAnsi="仿宋_GB2312" w:cs="仿宋_GB2312" w:eastAsia="仿宋_GB2312"/>
                    </w:rPr>
                    <w:t>应具备当地菜（小吃）、陕菜（小吃）、川菜等特色风味厨艺。</w:t>
                  </w:r>
                </w:p>
              </w:tc>
              <w:tc>
                <w:tcPr>
                  <w:tcW w:type="dxa" w:w="638"/>
                </w:tcPr>
                <w:p>
                  <w:pPr>
                    <w:pStyle w:val="null3"/>
                  </w:pPr>
                  <w:r>
                    <w:rPr>
                      <w:rFonts w:ascii="仿宋_GB2312" w:hAnsi="仿宋_GB2312" w:cs="仿宋_GB2312" w:eastAsia="仿宋_GB2312"/>
                    </w:rPr>
                    <w:t>1</w:t>
                  </w:r>
                </w:p>
              </w:tc>
            </w:tr>
            <w:tr>
              <w:tc>
                <w:tcPr>
                  <w:tcW w:type="dxa" w:w="638"/>
                  <w:vMerge/>
                </w:tcPr>
                <w:p/>
              </w:tc>
              <w:tc>
                <w:tcPr>
                  <w:tcW w:type="dxa" w:w="638"/>
                </w:tcPr>
                <w:p>
                  <w:pPr>
                    <w:pStyle w:val="null3"/>
                  </w:pPr>
                  <w:r>
                    <w:rPr>
                      <w:rFonts w:ascii="仿宋_GB2312" w:hAnsi="仿宋_GB2312" w:cs="仿宋_GB2312" w:eastAsia="仿宋_GB2312"/>
                    </w:rPr>
                    <w:t>面点师</w:t>
                  </w:r>
                </w:p>
              </w:tc>
              <w:tc>
                <w:tcPr>
                  <w:tcW w:type="dxa" w:w="638"/>
                </w:tcPr>
                <w:p>
                  <w:pPr>
                    <w:pStyle w:val="null3"/>
                  </w:pPr>
                  <w:r>
                    <w:rPr>
                      <w:rFonts w:ascii="仿宋_GB2312" w:hAnsi="仿宋_GB2312" w:cs="仿宋_GB2312" w:eastAsia="仿宋_GB2312"/>
                    </w:rPr>
                    <w:t>持有“中式面点师证”“健康证”；从业经验3年以上。</w:t>
                  </w:r>
                </w:p>
                <w:p>
                  <w:pPr>
                    <w:pStyle w:val="null3"/>
                  </w:pPr>
                  <w:r>
                    <w:rPr>
                      <w:rFonts w:ascii="仿宋_GB2312" w:hAnsi="仿宋_GB2312" w:cs="仿宋_GB2312" w:eastAsia="仿宋_GB2312"/>
                    </w:rPr>
                    <w:t>年龄不超过国家法定退休年龄。</w:t>
                  </w:r>
                </w:p>
                <w:p>
                  <w:pPr>
                    <w:pStyle w:val="null3"/>
                  </w:pPr>
                  <w:r>
                    <w:rPr>
                      <w:rFonts w:ascii="仿宋_GB2312" w:hAnsi="仿宋_GB2312" w:cs="仿宋_GB2312" w:eastAsia="仿宋_GB2312"/>
                    </w:rPr>
                    <w:t>会陕西小吃及各种面点的制作。</w:t>
                  </w:r>
                </w:p>
              </w:tc>
              <w:tc>
                <w:tcPr>
                  <w:tcW w:type="dxa" w:w="638"/>
                </w:tcPr>
                <w:p>
                  <w:pPr>
                    <w:pStyle w:val="null3"/>
                  </w:pPr>
                  <w:r>
                    <w:rPr>
                      <w:rFonts w:ascii="仿宋_GB2312" w:hAnsi="仿宋_GB2312" w:cs="仿宋_GB2312" w:eastAsia="仿宋_GB2312"/>
                    </w:rPr>
                    <w:t>1</w:t>
                  </w:r>
                </w:p>
              </w:tc>
            </w:tr>
            <w:tr>
              <w:tc>
                <w:tcPr>
                  <w:tcW w:type="dxa" w:w="638"/>
                  <w:vMerge/>
                </w:tcPr>
                <w:p/>
              </w:tc>
              <w:tc>
                <w:tcPr>
                  <w:tcW w:type="dxa" w:w="638"/>
                </w:tcPr>
                <w:p>
                  <w:pPr>
                    <w:pStyle w:val="null3"/>
                  </w:pPr>
                  <w:r>
                    <w:rPr>
                      <w:rFonts w:ascii="仿宋_GB2312" w:hAnsi="仿宋_GB2312" w:cs="仿宋_GB2312" w:eastAsia="仿宋_GB2312"/>
                    </w:rPr>
                    <w:t>帮厨</w:t>
                  </w:r>
                </w:p>
              </w:tc>
              <w:tc>
                <w:tcPr>
                  <w:tcW w:type="dxa" w:w="638"/>
                </w:tcPr>
                <w:p>
                  <w:pPr>
                    <w:pStyle w:val="null3"/>
                  </w:pPr>
                  <w:r>
                    <w:rPr>
                      <w:rFonts w:ascii="仿宋_GB2312" w:hAnsi="仿宋_GB2312" w:cs="仿宋_GB2312" w:eastAsia="仿宋_GB2312"/>
                    </w:rPr>
                    <w:t>持有“健康证”；</w:t>
                  </w:r>
                </w:p>
                <w:p>
                  <w:pPr>
                    <w:pStyle w:val="null3"/>
                  </w:pPr>
                  <w:r>
                    <w:rPr>
                      <w:rFonts w:ascii="仿宋_GB2312" w:hAnsi="仿宋_GB2312" w:cs="仿宋_GB2312" w:eastAsia="仿宋_GB2312"/>
                    </w:rPr>
                    <w:t>年龄不超过国家法定退休年龄。</w:t>
                  </w:r>
                </w:p>
              </w:tc>
              <w:tc>
                <w:tcPr>
                  <w:tcW w:type="dxa" w:w="638"/>
                </w:tcPr>
                <w:p>
                  <w:pPr>
                    <w:pStyle w:val="null3"/>
                  </w:pPr>
                  <w:r>
                    <w:rPr>
                      <w:rFonts w:ascii="仿宋_GB2312" w:hAnsi="仿宋_GB2312" w:cs="仿宋_GB2312" w:eastAsia="仿宋_GB2312"/>
                    </w:rPr>
                    <w:t>2</w:t>
                  </w:r>
                </w:p>
              </w:tc>
            </w:tr>
            <w:tr>
              <w:tc>
                <w:tcPr>
                  <w:tcW w:type="dxa" w:w="1914"/>
                  <w:gridSpan w:val="3"/>
                </w:tcPr>
                <w:p>
                  <w:pPr>
                    <w:pStyle w:val="null3"/>
                  </w:pPr>
                  <w:r>
                    <w:rPr>
                      <w:rFonts w:ascii="仿宋_GB2312" w:hAnsi="仿宋_GB2312" w:cs="仿宋_GB2312" w:eastAsia="仿宋_GB2312"/>
                    </w:rPr>
                    <w:t>合计</w:t>
                  </w:r>
                </w:p>
              </w:tc>
              <w:tc>
                <w:tcPr>
                  <w:tcW w:type="dxa" w:w="638"/>
                </w:tcPr>
                <w:p>
                  <w:pPr>
                    <w:pStyle w:val="null3"/>
                  </w:pPr>
                  <w:r>
                    <w:rPr>
                      <w:rFonts w:ascii="仿宋_GB2312" w:hAnsi="仿宋_GB2312" w:cs="仿宋_GB2312" w:eastAsia="仿宋_GB2312"/>
                    </w:rPr>
                    <w:t>4</w:t>
                  </w:r>
                </w:p>
              </w:tc>
            </w:tr>
          </w:tbl>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1、保密性：要求工作人员必须具备良好的政治素质，通过严格审核和培训，定期开展思想政治和保密教育工作的培训。</w:t>
            </w:r>
          </w:p>
          <w:p>
            <w:pPr>
              <w:pStyle w:val="null3"/>
            </w:pPr>
            <w:r>
              <w:rPr>
                <w:rFonts w:ascii="仿宋_GB2312" w:hAnsi="仿宋_GB2312" w:cs="仿宋_GB2312" w:eastAsia="仿宋_GB2312"/>
              </w:rPr>
              <w:t>2、安全性：服务公司工作人员应主动接受审核、检查，并周密做好防火、防盗、防爆、防破坏、防事故工作，确保安全。</w:t>
            </w:r>
          </w:p>
          <w:p>
            <w:pPr>
              <w:pStyle w:val="null3"/>
            </w:pPr>
            <w:r>
              <w:rPr>
                <w:rFonts w:ascii="仿宋_GB2312" w:hAnsi="仿宋_GB2312" w:cs="仿宋_GB2312" w:eastAsia="仿宋_GB2312"/>
              </w:rPr>
              <w:t>3、规范化和标准化服务：工作人员要求身体健康、统一着装，普通话标准，做到举止大方，谈吐文雅，服务标准规范。</w:t>
            </w:r>
          </w:p>
          <w:p>
            <w:pPr>
              <w:pStyle w:val="null3"/>
            </w:pPr>
            <w:r>
              <w:rPr>
                <w:rFonts w:ascii="仿宋_GB2312" w:hAnsi="仿宋_GB2312" w:cs="仿宋_GB2312" w:eastAsia="仿宋_GB2312"/>
              </w:rPr>
              <w:t>（二）餐饮服务</w:t>
            </w:r>
          </w:p>
          <w:p>
            <w:pPr>
              <w:pStyle w:val="null3"/>
            </w:pPr>
            <w:r>
              <w:rPr>
                <w:rFonts w:ascii="仿宋_GB2312" w:hAnsi="仿宋_GB2312" w:cs="仿宋_GB2312" w:eastAsia="仿宋_GB2312"/>
              </w:rPr>
              <w:t>1、餐厨场地、设备、厨具餐具，水电气费用由采购人提供，餐饮公司应节约使用。餐厅劳务服务、食材费及耗材费均包含在合同总价中，餐饮服务由服务公司自主经营，自负盈亏。</w:t>
            </w:r>
          </w:p>
          <w:p>
            <w:pPr>
              <w:pStyle w:val="null3"/>
            </w:pPr>
            <w:r>
              <w:rPr>
                <w:rFonts w:ascii="仿宋_GB2312" w:hAnsi="仿宋_GB2312" w:cs="仿宋_GB2312" w:eastAsia="仿宋_GB2312"/>
              </w:rPr>
              <w:t>2、餐饮标准：</w:t>
            </w:r>
          </w:p>
          <w:p>
            <w:pPr>
              <w:pStyle w:val="null3"/>
            </w:pPr>
            <w:r>
              <w:rPr>
                <w:rFonts w:ascii="仿宋_GB2312" w:hAnsi="仿宋_GB2312" w:cs="仿宋_GB2312" w:eastAsia="仿宋_GB2312"/>
              </w:rPr>
              <w:t>（1）早餐：（要求菜品不低于4种，稀饭不少于2种，主食应多样变化）。定期提供牛奶、酸奶、鸡蛋。</w:t>
            </w:r>
          </w:p>
          <w:p>
            <w:pPr>
              <w:pStyle w:val="null3"/>
            </w:pPr>
            <w:r>
              <w:rPr>
                <w:rFonts w:ascii="仿宋_GB2312" w:hAnsi="仿宋_GB2312" w:cs="仿宋_GB2312" w:eastAsia="仿宋_GB2312"/>
              </w:rPr>
              <w:t>（2）午餐：周一面条（要求扯面、干拌面、炸酱面等）；周二、四米饭（菜品不低于3种两荤一素（两素一荤）调配，一汤）；周三、周五陕西小吃。由服务商自行安排，采购人确认后执行，如需更改，必须经过采购人同意，方可变更。</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服务费已包含管理人员和服务人员的人工费（工资、社保、福利等）、节假日加班费、员工培训费、办公经费、员工食宿费、清洁材料、工具、劳保及人身意外保险费、设备设施维护费、企业法定利润、财务费用、管理费用和税金等完成本项目所需的一切费用。其中，人员的工资、社保、福利等必须符合国家及省、市相关法律法规所规定的标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12个月（以双方签订合同时约定的起止时间为准）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周至县区域采购人指定地点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采购人按照政府采购合同规定的服务内容、安全标准组织对供应商履约情况进行验收，并出具验收书。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每月服务期满，甲方对乙方餐厨服务进行考核，经甲方考核通过后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 3.3. 供应商须确保食品经营许可证在合同签订及履行期间持续有效，否则采购人有权终止合同并要求赔偿。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1、质量要求： （1）所有食材质量必须符合国家有关规范和相关政策。 （2）出现的质量问题由成交人负责解决并承担所有费用。 2、合同实施 （1）成交人应在合同签订后7个日历日内安排人员（项目组成人员简历表所列）与采购人就相关内容及工作进行安排、部署。 （2）若未能在规定时间内内完成合同规定的义务，由此对采购人造成的延误和一切损失，由中标人承担和赔偿。 3、成交人在领取成交通知书时提供一正两副纸质竞争性磋商响应文件。 装订：纸质竞争性磋商响应文件采用书籍（胶装）方式装订成册，与电子版文件一致的签字、盖章的完整版本，编制书脊（注明项目名称、项目编号）。 4、本项目采购标的对应的中小企业划分标准所属行业为（餐饮业）。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供应商需在项目电子化交易系统中按要求填写《投标函》完成承诺并进行电子签章。此项审查内容与特定资格条件中的第十项“控股关系查询”为同一审查内容。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餐饮行业的资质</w:t>
            </w:r>
          </w:p>
        </w:tc>
        <w:tc>
          <w:tcPr>
            <w:tcW w:type="dxa" w:w="3322"/>
          </w:tcPr>
          <w:p>
            <w:pPr>
              <w:pStyle w:val="null3"/>
            </w:pPr>
            <w:r>
              <w:rPr>
                <w:rFonts w:ascii="仿宋_GB2312" w:hAnsi="仿宋_GB2312" w:cs="仿宋_GB2312" w:eastAsia="仿宋_GB2312"/>
              </w:rPr>
              <w:t>投标供应商须提供食品经营许可证；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中小企业声明函 承诺书.docx 报价表 商务条款响应偏离表.docx 服务条款响应偏离表.docx 响应文件封面 残疾人福利性单位声明函 拒绝政府采购领域商业贿赂承诺书.docx 供应商参与政府采购活动的承诺函.docx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中小企业声明函 承诺书.docx 报价表 商务条款响应偏离表.docx 服务条款响应偏离表.docx 资格证明文件.docx 响应文件封面 分项报价表.docx 残疾人福利性单位声明函 拒绝政府采购领域商业贿赂承诺书.docx 供应商参与政府采购活动的承诺函.docx 标的清单 供应商认为有必要说明的事宜.docx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磋商有效期是否符合磋商文件的要求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对磋商文件商务要求是否作出明确且实质性响应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332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1661"/>
          </w:tcPr>
          <w:p>
            <w:pPr>
              <w:pStyle w:val="null3"/>
            </w:pPr>
            <w:r>
              <w:rPr>
                <w:rFonts w:ascii="仿宋_GB2312" w:hAnsi="仿宋_GB2312" w:cs="仿宋_GB2312" w:eastAsia="仿宋_GB2312"/>
              </w:rPr>
              <w:t>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磋商响应文件是否含有采购人不能接受的附加条件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考核、培训措施.docx 业绩.docx 中小企业声明函 服务承诺.docx 承诺书.docx 报价表 商务条款响应偏离表.docx 服务条款响应偏离表.docx 资格证明文件.docx 响应文件封面 人员组织配备情况.docx 分项报价表.docx 残疾人福利性单位声明函 拒绝政府采购领域商业贿赂承诺书.docx 供应商参与政府采购活动的承诺函.docx 标的清单 供应商认为有必要说明的事宜.docx 响应函 法定代表人授权委托书.docx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考核、培训措施.docx 业绩.docx 中小企业声明函 服务承诺.docx 承诺书.docx 报价表 商务条款响应偏离表.docx 服务条款响应偏离表.docx 资格证明文件.docx 响应文件封面 人员组织配备情况.docx 分项报价表.docx 残疾人福利性单位声明函 拒绝政府采购领域商业贿赂承诺书.docx 供应商参与政府采购活动的承诺函.docx 标的清单 供应商认为有必要说明的事宜.docx 响应函 法定代表人授权委托书.docx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若出现综合得分相同时，则依次比较报价得分，服务方案得分，服务承诺得分，以得分高的排序在先。若上述两项得分相同，则由全体磋商小组成员无记名投票，得票高者为第一成交候选人。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管理服务流程：管理服务流程规范、可行（包括内部管理架构、工作流程、自查制度、激励机制、信息反馈渠道等方面）。 1.内容详细、全面，对项目理解透彻，符合项目特点的计10分； 2.内容全面，但仅有整体框架、对流程描述不明确的计8分； 3.内容缺1项的计6分； 4.内容缺2项的计4分； 5.内容缺3项的计2分； 6.内容缺4项及以上的不计分。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食品安全管理方案：结合采购人实际情况制定切实可行的食品安全管理方案、食品安全检查计划、能够建立有效反馈及处罚改正措施。 1.方案内容详细，全面的计10分； 2.内容全面，但仅有整体框架、对方案描述不明确的计8分； 3.内容不符合项目特点的计6分； 4.内容缺1项的计4分； 5.内容缺2项的计2分； 6.内容缺3项的不计分。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应急计划与预案：供应商提供针对食品安全突发事件、水电天然气、食堂设备等三方面应急预案及相应的措施；消防预案、群体事件预案、盗窃预案等三方面紧急事件的处理预案。 1.方案及措施内容完整、全面、详细的计10分； 2.具有方案及措施，但内容条理混乱，无针对性的计8分； 3.方案内容缺1项的计6分； 4.方案内容缺2项的计4分； 5.内容缺3项的计2分； 6.内容缺4项及以上的不计分。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就餐品种、搭配方案以及成本预算控制：本项目的就餐品种符合招标人需求，搭配方案合理、营养均衡，食谱的制定满足机关职工饮食需求，配餐成本预算合理可行。 1.方案内容完整、全面、详细的计10分； 2.具有方案，但内容条理混乱，无针对性的计8分； 3.方案内容缺1项的计6分； 4.方案内容缺2项的计4分； 5.内容缺3项的计2分； 6.内容缺4项的不计分。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食材及设备质量保证措施：针对食材采购、食材储存、食材的加工流程、食材安全执行标准的措施；餐厅设施设备管理及维修维护措施。 1.方措施内容完整、全面、详细的计10分； 2.具有措施，但内容条理混乱，无针对性的计8分； 3.措施内容缺1项的计6分； 4.方案内容缺2项的计4分； 5.内容缺3项的计2分； 6.内容缺4项及以上的不计分。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人员组织配备情况1</w:t>
            </w:r>
          </w:p>
        </w:tc>
        <w:tc>
          <w:tcPr>
            <w:tcW w:type="dxa" w:w="2492"/>
          </w:tcPr>
          <w:p>
            <w:pPr>
              <w:pStyle w:val="null3"/>
            </w:pPr>
            <w:r>
              <w:rPr>
                <w:rFonts w:ascii="仿宋_GB2312" w:hAnsi="仿宋_GB2312" w:cs="仿宋_GB2312" w:eastAsia="仿宋_GB2312"/>
              </w:rPr>
              <w:t>具有专职负责本项目的负责人，大专以上学历，提供劳动合同、本单位2025年1月至今缴纳社保证明、健康证、学历证、身份证复印件的计3分，提供不全或缺项均不计分。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人员组织配备情况.docx</w:t>
            </w:r>
          </w:p>
        </w:tc>
      </w:tr>
      <w:tr>
        <w:tc>
          <w:tcPr>
            <w:tcW w:type="dxa" w:w="831"/>
            <w:vMerge/>
          </w:tcPr>
          <w:p/>
        </w:tc>
        <w:tc>
          <w:tcPr>
            <w:tcW w:type="dxa" w:w="1661"/>
          </w:tcPr>
          <w:p>
            <w:pPr>
              <w:pStyle w:val="null3"/>
            </w:pPr>
            <w:r>
              <w:rPr>
                <w:rFonts w:ascii="仿宋_GB2312" w:hAnsi="仿宋_GB2312" w:cs="仿宋_GB2312" w:eastAsia="仿宋_GB2312"/>
              </w:rPr>
              <w:t>人员组织配备情况2</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1.组织机构健全、团队人员配备充足、职责明确、工作经验丰富、证明材料齐全的计9分； 2.组织机构、人员安排、工作经验、职责划分、人员证明材料任1项有描述不明确或材料不齐全的的计7分； 3.组织机构、人员安排、工作经验、职责划分、人员证明材料任2项有描述不明确或材料不齐全的的计5分； 4.内容缺1-2项的计4分； 5.内容缺3-4项的计2分； 6.未提供相关内容的不计分。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人员组织配备情况.docx</w:t>
            </w:r>
          </w:p>
        </w:tc>
      </w:tr>
      <w:tr>
        <w:tc>
          <w:tcPr>
            <w:tcW w:type="dxa" w:w="831"/>
            <w:vMerge/>
          </w:tcPr>
          <w:p/>
        </w:tc>
        <w:tc>
          <w:tcPr>
            <w:tcW w:type="dxa" w:w="1661"/>
          </w:tcPr>
          <w:p>
            <w:pPr>
              <w:pStyle w:val="null3"/>
            </w:pPr>
            <w:r>
              <w:rPr>
                <w:rFonts w:ascii="仿宋_GB2312" w:hAnsi="仿宋_GB2312" w:cs="仿宋_GB2312" w:eastAsia="仿宋_GB2312"/>
              </w:rPr>
              <w:t>考核、培训措施</w:t>
            </w:r>
          </w:p>
        </w:tc>
        <w:tc>
          <w:tcPr>
            <w:tcW w:type="dxa" w:w="2492"/>
          </w:tcPr>
          <w:p>
            <w:pPr>
              <w:pStyle w:val="null3"/>
            </w:pPr>
            <w:r>
              <w:rPr>
                <w:rFonts w:ascii="仿宋_GB2312" w:hAnsi="仿宋_GB2312" w:cs="仿宋_GB2312" w:eastAsia="仿宋_GB2312"/>
              </w:rPr>
              <w:t>针对所有工作人员制定上岗前的安全、制度、操作等方面的培训方案，针对本项目的餐厅、厨房、冷库、灶具、餐具、食品等制定相关卫生标准及考核措施。 1.方案及措施内容完整、全面、详细的计10分； 2.内容全面，但仅有整体框架、对方案及措施描述不明确的计8分； 3.内容不符合项目特点的计6分； 4.内容缺1项的计3分； 5.内容缺2项的不计分。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考核、培训措施.docx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有详细的操作流程，包括但不限于采购人临时的需求及时响应承诺、食品保鲜承诺、食品安全保证承诺，出现质量问题处理承诺，售后服务响应时限与处理时限及保证承诺，服务过程中的安全性及保密性承诺等。 1.内容完整、全面、详细的计8分； 2.内容包含全面，但未针对每项内容进行详细描述的计5分； 3.承诺不全面的计3分； 4.未提供相关内容的不计分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2022年1月至今（合同签订日期为准），供应商承接类似服务项目的业绩，每提供一份有效业绩得2分，最多得10分。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详见附件：人员组织配备情况.docx</w:t>
      </w:r>
    </w:p>
    <w:p>
      <w:pPr>
        <w:pStyle w:val="null3"/>
        <w:ind w:firstLine="960"/>
      </w:pPr>
      <w:r>
        <w:rPr>
          <w:rFonts w:ascii="仿宋_GB2312" w:hAnsi="仿宋_GB2312" w:cs="仿宋_GB2312" w:eastAsia="仿宋_GB2312"/>
        </w:rPr>
        <w:t>详见附件：考核、培训措施.docx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