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FC406">
      <w:pPr>
        <w:spacing w:beforeLines="0" w:afterLines="0"/>
        <w:jc w:val="center"/>
        <w:outlineLvl w:val="0"/>
        <w:rPr>
          <w:rFonts w:hint="default"/>
          <w:sz w:val="21"/>
          <w:szCs w:val="24"/>
          <w:highlight w:val="yellow"/>
        </w:rPr>
      </w:pPr>
      <w:bookmarkStart w:id="0" w:name="_Toc29333"/>
      <w:bookmarkStart w:id="1" w:name="_Toc13574"/>
      <w:bookmarkStart w:id="2" w:name="_Toc9164"/>
      <w:bookmarkStart w:id="3" w:name="_Toc2445"/>
      <w:r>
        <w:rPr>
          <w:rStyle w:val="19"/>
          <w:rFonts w:hint="eastAsia"/>
          <w:sz w:val="32"/>
          <w:szCs w:val="24"/>
        </w:rPr>
        <w:t>第五章  合同主要条款</w:t>
      </w:r>
      <w:bookmarkEnd w:id="0"/>
      <w:bookmarkEnd w:id="1"/>
    </w:p>
    <w:p w14:paraId="69F8FD6C">
      <w:pPr>
        <w:spacing w:before="68" w:beforeLines="0" w:afterLines="0" w:line="220" w:lineRule="auto"/>
        <w:ind w:left="67"/>
        <w:jc w:val="center"/>
        <w:rPr>
          <w:rFonts w:hint="eastAsia" w:ascii="宋体" w:hAnsi="宋体" w:eastAsia="宋体" w:cs="宋体"/>
          <w:sz w:val="30"/>
          <w:szCs w:val="30"/>
          <w:highlight w:val="yellow"/>
        </w:rPr>
      </w:pPr>
      <w:r>
        <w:rPr>
          <w:rFonts w:hint="eastAsia" w:ascii="宋体" w:hAnsi="宋体" w:eastAsia="宋体" w:cs="宋体"/>
          <w:sz w:val="21"/>
          <w:szCs w:val="21"/>
        </w:rPr>
        <w:t>（本格式条款供双方签订合同参考，采购人可根据项目的实际情况增减条款和内</w:t>
      </w:r>
      <w:r>
        <w:rPr>
          <w:rFonts w:hint="eastAsia" w:ascii="宋体" w:hAnsi="宋体" w:eastAsia="宋体" w:cs="宋体"/>
          <w:spacing w:val="-1"/>
          <w:sz w:val="21"/>
          <w:szCs w:val="21"/>
        </w:rPr>
        <w:t>容，实际以双方签</w:t>
      </w:r>
      <w:r>
        <w:rPr>
          <w:rFonts w:hint="eastAsia" w:ascii="宋体" w:hAnsi="宋体" w:eastAsia="宋体" w:cs="宋体"/>
          <w:spacing w:val="-2"/>
          <w:sz w:val="21"/>
          <w:szCs w:val="21"/>
        </w:rPr>
        <w:t>订为准）</w:t>
      </w:r>
    </w:p>
    <w:p w14:paraId="3F8EF2EB">
      <w:pPr>
        <w:autoSpaceDE w:val="0"/>
        <w:autoSpaceDN w:val="0"/>
        <w:adjustRightInd w:val="0"/>
        <w:spacing w:beforeLines="0" w:afterLines="0"/>
        <w:jc w:val="left"/>
        <w:rPr>
          <w:rFonts w:hint="eastAsia" w:ascii="宋体" w:hAnsi="宋体" w:eastAsia="宋体" w:cs="宋体"/>
          <w:sz w:val="30"/>
          <w:szCs w:val="30"/>
          <w:highlight w:val="yellow"/>
        </w:rPr>
      </w:pPr>
      <w:r>
        <w:rPr>
          <w:rFonts w:hint="default"/>
          <w:sz w:val="21"/>
          <w:szCs w:val="24"/>
        </w:rPr>
        <w:drawing>
          <wp:anchor distT="0" distB="0" distL="0" distR="0" simplePos="0" relativeHeight="251659264" behindDoc="0" locked="0" layoutInCell="1" allowOverlap="1">
            <wp:simplePos x="0" y="0"/>
            <wp:positionH relativeFrom="column">
              <wp:posOffset>3700780</wp:posOffset>
            </wp:positionH>
            <wp:positionV relativeFrom="paragraph">
              <wp:posOffset>183515</wp:posOffset>
            </wp:positionV>
            <wp:extent cx="2171065" cy="581660"/>
            <wp:effectExtent l="0" t="0" r="635" b="8890"/>
            <wp:wrapNone/>
            <wp:docPr id="1" name="IM 202"/>
            <wp:cNvGraphicFramePr/>
            <a:graphic xmlns:a="http://schemas.openxmlformats.org/drawingml/2006/main">
              <a:graphicData uri="http://schemas.openxmlformats.org/drawingml/2006/picture">
                <pic:pic xmlns:pic="http://schemas.openxmlformats.org/drawingml/2006/picture">
                  <pic:nvPicPr>
                    <pic:cNvPr id="1" name="IM 202"/>
                    <pic:cNvPicPr/>
                  </pic:nvPicPr>
                  <pic:blipFill>
                    <a:blip r:embed="rId5"/>
                    <a:stretch>
                      <a:fillRect/>
                    </a:stretch>
                  </pic:blipFill>
                  <pic:spPr>
                    <a:xfrm>
                      <a:off x="0" y="0"/>
                      <a:ext cx="2171065" cy="581660"/>
                    </a:xfrm>
                    <a:prstGeom prst="rect">
                      <a:avLst/>
                    </a:prstGeom>
                    <a:noFill/>
                    <a:ln>
                      <a:noFill/>
                    </a:ln>
                  </pic:spPr>
                </pic:pic>
              </a:graphicData>
            </a:graphic>
          </wp:anchor>
        </w:drawing>
      </w:r>
    </w:p>
    <w:p w14:paraId="0D9402CF">
      <w:pPr>
        <w:spacing w:before="78" w:beforeLines="0" w:afterLines="0" w:line="220" w:lineRule="auto"/>
        <w:ind w:left="46"/>
        <w:rPr>
          <w:rFonts w:hint="eastAsia" w:ascii="宋体" w:hAnsi="宋体" w:eastAsia="宋体" w:cs="宋体"/>
          <w:sz w:val="24"/>
          <w:szCs w:val="24"/>
        </w:rPr>
      </w:pPr>
      <w:r>
        <w:rPr>
          <w:rFonts w:hint="eastAsia" w:ascii="宋体" w:hAnsi="宋体" w:eastAsia="宋体" w:cs="宋体"/>
          <w:b/>
          <w:spacing w:val="-10"/>
          <w:sz w:val="24"/>
          <w:szCs w:val="24"/>
        </w:rPr>
        <w:t>合同编号：</w:t>
      </w:r>
    </w:p>
    <w:p w14:paraId="1803CCBB">
      <w:pPr>
        <w:pStyle w:val="10"/>
        <w:spacing w:beforeLines="0" w:line="289" w:lineRule="auto"/>
        <w:rPr>
          <w:rFonts w:hint="default"/>
          <w:sz w:val="21"/>
          <w:szCs w:val="24"/>
        </w:rPr>
      </w:pPr>
    </w:p>
    <w:p w14:paraId="0B0F0D47">
      <w:pPr>
        <w:spacing w:before="157" w:beforeLines="0" w:afterLines="0" w:line="220" w:lineRule="auto"/>
        <w:ind w:left="2673"/>
        <w:rPr>
          <w:rFonts w:hint="eastAsia" w:ascii="宋体" w:hAnsi="宋体" w:eastAsia="宋体" w:cs="宋体"/>
          <w:sz w:val="48"/>
          <w:szCs w:val="48"/>
        </w:rPr>
      </w:pPr>
      <w:r>
        <w:rPr>
          <w:rFonts w:hint="eastAsia" w:ascii="宋体" w:hAnsi="宋体" w:eastAsia="宋体" w:cs="宋体"/>
          <w:b/>
          <w:spacing w:val="-8"/>
          <w:sz w:val="48"/>
          <w:szCs w:val="48"/>
        </w:rPr>
        <w:t>西安市妇幼保健院</w:t>
      </w:r>
    </w:p>
    <w:p w14:paraId="063F9D0A">
      <w:pPr>
        <w:spacing w:before="152" w:beforeLines="0" w:afterLines="0" w:line="221" w:lineRule="auto"/>
        <w:ind w:left="3746"/>
        <w:rPr>
          <w:rFonts w:hint="eastAsia" w:ascii="宋体" w:hAnsi="宋体" w:eastAsia="宋体" w:cs="宋体"/>
          <w:sz w:val="28"/>
          <w:szCs w:val="28"/>
        </w:rPr>
      </w:pPr>
      <w:r>
        <w:rPr>
          <w:rFonts w:hint="eastAsia" w:ascii="宋体" w:hAnsi="宋体" w:eastAsia="宋体" w:cs="宋体"/>
          <w:b/>
          <w:spacing w:val="-9"/>
          <w:sz w:val="28"/>
          <w:szCs w:val="28"/>
        </w:rPr>
        <w:t>（项目名称）</w:t>
      </w:r>
    </w:p>
    <w:p w14:paraId="1F00B5D3">
      <w:pPr>
        <w:pStyle w:val="10"/>
        <w:spacing w:beforeLines="0" w:line="268" w:lineRule="auto"/>
        <w:rPr>
          <w:rFonts w:hint="default"/>
          <w:sz w:val="21"/>
          <w:szCs w:val="24"/>
        </w:rPr>
      </w:pPr>
    </w:p>
    <w:p w14:paraId="08AAFCFC">
      <w:pPr>
        <w:pStyle w:val="10"/>
        <w:spacing w:beforeLines="0" w:line="269" w:lineRule="auto"/>
        <w:rPr>
          <w:rFonts w:hint="default"/>
          <w:sz w:val="21"/>
          <w:szCs w:val="24"/>
        </w:rPr>
      </w:pPr>
    </w:p>
    <w:p w14:paraId="3BF63228">
      <w:pPr>
        <w:pStyle w:val="10"/>
        <w:spacing w:beforeLines="0" w:line="269" w:lineRule="auto"/>
        <w:rPr>
          <w:rFonts w:hint="default"/>
          <w:sz w:val="21"/>
          <w:szCs w:val="24"/>
        </w:rPr>
      </w:pPr>
    </w:p>
    <w:p w14:paraId="42F0C9EA">
      <w:pPr>
        <w:spacing w:before="235" w:beforeLines="0" w:afterLines="0" w:line="220" w:lineRule="auto"/>
        <w:ind w:left="2638"/>
        <w:rPr>
          <w:rFonts w:hint="eastAsia" w:ascii="宋体" w:hAnsi="宋体" w:eastAsia="宋体" w:cs="宋体"/>
          <w:sz w:val="72"/>
          <w:szCs w:val="72"/>
        </w:rPr>
      </w:pPr>
      <w:r>
        <w:rPr>
          <w:rFonts w:hint="eastAsia" w:ascii="宋体" w:hAnsi="宋体" w:eastAsia="宋体" w:cs="宋体"/>
          <w:b/>
          <w:spacing w:val="-37"/>
          <w:sz w:val="72"/>
          <w:szCs w:val="72"/>
        </w:rPr>
        <w:t>买</w:t>
      </w:r>
      <w:r>
        <w:rPr>
          <w:rFonts w:hint="eastAsia" w:ascii="宋体" w:hAnsi="宋体" w:eastAsia="宋体" w:cs="宋体"/>
          <w:spacing w:val="32"/>
          <w:sz w:val="72"/>
          <w:szCs w:val="72"/>
        </w:rPr>
        <w:t xml:space="preserve"> </w:t>
      </w:r>
      <w:r>
        <w:rPr>
          <w:rFonts w:hint="eastAsia" w:ascii="宋体" w:hAnsi="宋体" w:eastAsia="宋体" w:cs="宋体"/>
          <w:b/>
          <w:spacing w:val="-37"/>
          <w:sz w:val="72"/>
          <w:szCs w:val="72"/>
        </w:rPr>
        <w:t>卖</w:t>
      </w:r>
      <w:r>
        <w:rPr>
          <w:rFonts w:hint="eastAsia" w:ascii="宋体" w:hAnsi="宋体" w:eastAsia="宋体" w:cs="宋体"/>
          <w:spacing w:val="38"/>
          <w:sz w:val="72"/>
          <w:szCs w:val="72"/>
        </w:rPr>
        <w:t xml:space="preserve"> </w:t>
      </w:r>
      <w:r>
        <w:rPr>
          <w:rFonts w:hint="eastAsia" w:ascii="宋体" w:hAnsi="宋体" w:eastAsia="宋体" w:cs="宋体"/>
          <w:b/>
          <w:spacing w:val="-37"/>
          <w:sz w:val="72"/>
          <w:szCs w:val="72"/>
        </w:rPr>
        <w:t>合</w:t>
      </w:r>
      <w:r>
        <w:rPr>
          <w:rFonts w:hint="eastAsia" w:ascii="宋体" w:hAnsi="宋体" w:eastAsia="宋体" w:cs="宋体"/>
          <w:spacing w:val="102"/>
          <w:sz w:val="72"/>
          <w:szCs w:val="72"/>
        </w:rPr>
        <w:t xml:space="preserve"> </w:t>
      </w:r>
      <w:r>
        <w:rPr>
          <w:rFonts w:hint="eastAsia" w:ascii="宋体" w:hAnsi="宋体" w:eastAsia="宋体" w:cs="宋体"/>
          <w:b/>
          <w:spacing w:val="-37"/>
          <w:sz w:val="72"/>
          <w:szCs w:val="72"/>
        </w:rPr>
        <w:t>同</w:t>
      </w:r>
    </w:p>
    <w:p w14:paraId="213481AA">
      <w:pPr>
        <w:pStyle w:val="10"/>
        <w:spacing w:beforeLines="0" w:line="323" w:lineRule="auto"/>
        <w:rPr>
          <w:rFonts w:hint="default"/>
          <w:sz w:val="21"/>
          <w:szCs w:val="24"/>
        </w:rPr>
      </w:pPr>
    </w:p>
    <w:p w14:paraId="5A60D7BB">
      <w:pPr>
        <w:pStyle w:val="10"/>
        <w:spacing w:beforeLines="0" w:line="324" w:lineRule="auto"/>
        <w:rPr>
          <w:rFonts w:hint="default"/>
          <w:sz w:val="21"/>
          <w:szCs w:val="24"/>
        </w:rPr>
      </w:pPr>
    </w:p>
    <w:p w14:paraId="5711B9F7">
      <w:pPr>
        <w:spacing w:before="130" w:beforeLines="0" w:afterLines="0" w:line="220" w:lineRule="auto"/>
        <w:ind w:left="3392"/>
        <w:rPr>
          <w:rFonts w:hint="eastAsia" w:ascii="宋体" w:hAnsi="宋体" w:eastAsia="宋体" w:cs="宋体"/>
          <w:sz w:val="40"/>
          <w:szCs w:val="40"/>
        </w:rPr>
      </w:pPr>
      <w:r>
        <w:rPr>
          <w:rFonts w:hint="eastAsia" w:ascii="宋体" w:hAnsi="宋体" w:eastAsia="宋体" w:cs="宋体"/>
          <w:b/>
          <w:spacing w:val="-10"/>
          <w:sz w:val="40"/>
          <w:szCs w:val="40"/>
        </w:rPr>
        <w:t>（项目编号）</w:t>
      </w:r>
    </w:p>
    <w:p w14:paraId="7ED03FDB">
      <w:pPr>
        <w:pStyle w:val="10"/>
        <w:spacing w:beforeLines="0" w:line="247" w:lineRule="auto"/>
        <w:rPr>
          <w:rFonts w:hint="default"/>
          <w:sz w:val="21"/>
          <w:szCs w:val="24"/>
        </w:rPr>
      </w:pPr>
    </w:p>
    <w:p w14:paraId="0E6E961F">
      <w:pPr>
        <w:pStyle w:val="10"/>
        <w:spacing w:beforeLines="0" w:line="247" w:lineRule="auto"/>
        <w:rPr>
          <w:rFonts w:hint="default"/>
          <w:sz w:val="21"/>
          <w:szCs w:val="24"/>
        </w:rPr>
      </w:pPr>
    </w:p>
    <w:p w14:paraId="573F8D43">
      <w:pPr>
        <w:spacing w:before="91" w:beforeLines="0" w:afterLines="0" w:line="360" w:lineRule="auto"/>
        <w:ind w:left="1943"/>
        <w:rPr>
          <w:rFonts w:hint="eastAsia" w:ascii="宋体" w:hAnsi="宋体" w:eastAsia="宋体" w:cs="宋体"/>
          <w:sz w:val="28"/>
          <w:szCs w:val="28"/>
        </w:rPr>
      </w:pPr>
      <w:r>
        <w:rPr>
          <w:rFonts w:hint="eastAsia" w:ascii="宋体" w:hAnsi="宋体" w:eastAsia="宋体" w:cs="宋体"/>
          <w:spacing w:val="-4"/>
          <w:sz w:val="28"/>
          <w:szCs w:val="28"/>
        </w:rPr>
        <w:t>甲  方：西安市妇幼保健院</w:t>
      </w:r>
    </w:p>
    <w:p w14:paraId="48D4A538">
      <w:pPr>
        <w:spacing w:before="120" w:beforeLines="0" w:afterLines="0" w:line="360" w:lineRule="auto"/>
        <w:ind w:left="1916"/>
        <w:rPr>
          <w:rFonts w:hint="eastAsia" w:ascii="宋体" w:hAnsi="宋体" w:eastAsia="宋体" w:cs="宋体"/>
          <w:sz w:val="28"/>
          <w:szCs w:val="28"/>
        </w:rPr>
      </w:pPr>
      <w:r>
        <w:rPr>
          <w:rFonts w:hint="eastAsia" w:ascii="宋体" w:hAnsi="宋体" w:eastAsia="宋体" w:cs="宋体"/>
          <w:spacing w:val="-26"/>
          <w:sz w:val="28"/>
          <w:szCs w:val="28"/>
        </w:rPr>
        <w:t>乙</w:t>
      </w:r>
      <w:r>
        <w:rPr>
          <w:rFonts w:hint="eastAsia" w:ascii="宋体" w:hAnsi="宋体" w:eastAsia="宋体" w:cs="宋体"/>
          <w:spacing w:val="7"/>
          <w:sz w:val="28"/>
          <w:szCs w:val="28"/>
        </w:rPr>
        <w:t xml:space="preserve">  </w:t>
      </w:r>
      <w:r>
        <w:rPr>
          <w:rFonts w:hint="eastAsia" w:ascii="宋体" w:hAnsi="宋体" w:eastAsia="宋体" w:cs="宋体"/>
          <w:spacing w:val="-26"/>
          <w:sz w:val="28"/>
          <w:szCs w:val="28"/>
        </w:rPr>
        <w:t>方：</w:t>
      </w:r>
    </w:p>
    <w:p w14:paraId="112DC5FB">
      <w:pPr>
        <w:spacing w:before="120" w:beforeLines="0" w:afterLines="0" w:line="360" w:lineRule="auto"/>
        <w:ind w:left="1871"/>
        <w:rPr>
          <w:rFonts w:hint="eastAsia" w:ascii="宋体" w:hAnsi="宋体" w:eastAsia="宋体" w:cs="宋体"/>
          <w:sz w:val="28"/>
          <w:szCs w:val="28"/>
        </w:rPr>
      </w:pPr>
      <w:r>
        <w:rPr>
          <w:rFonts w:hint="eastAsia" w:ascii="宋体" w:hAnsi="宋体" w:eastAsia="宋体" w:cs="宋体"/>
          <w:spacing w:val="-1"/>
          <w:sz w:val="28"/>
          <w:szCs w:val="28"/>
        </w:rPr>
        <w:t>鉴证方：陕西盛鑫药械招标有限公司</w:t>
      </w:r>
    </w:p>
    <w:p w14:paraId="65734A9B">
      <w:pPr>
        <w:spacing w:before="120" w:beforeLines="0" w:afterLines="0" w:line="221" w:lineRule="auto"/>
        <w:ind w:left="3849"/>
        <w:rPr>
          <w:rFonts w:hint="eastAsia" w:ascii="宋体" w:hAnsi="宋体" w:eastAsia="宋体" w:cs="宋体"/>
          <w:spacing w:val="-4"/>
          <w:sz w:val="28"/>
          <w:szCs w:val="28"/>
        </w:rPr>
      </w:pPr>
    </w:p>
    <w:p w14:paraId="4FFC0527">
      <w:pPr>
        <w:spacing w:before="120" w:beforeLines="0" w:afterLines="0" w:line="221" w:lineRule="auto"/>
        <w:ind w:left="3849"/>
        <w:rPr>
          <w:rFonts w:hint="eastAsia" w:ascii="宋体" w:hAnsi="宋体" w:eastAsia="宋体" w:cs="宋体"/>
          <w:sz w:val="28"/>
          <w:szCs w:val="28"/>
        </w:rPr>
      </w:pPr>
      <w:r>
        <w:rPr>
          <w:rFonts w:hint="eastAsia" w:ascii="宋体" w:hAnsi="宋体" w:eastAsia="宋体" w:cs="宋体"/>
          <w:spacing w:val="-4"/>
          <w:sz w:val="28"/>
          <w:szCs w:val="28"/>
        </w:rPr>
        <w:t>2025</w:t>
      </w:r>
      <w:r>
        <w:rPr>
          <w:rFonts w:hint="eastAsia" w:ascii="宋体" w:hAnsi="宋体" w:eastAsia="宋体" w:cs="宋体"/>
          <w:spacing w:val="-59"/>
          <w:sz w:val="28"/>
          <w:szCs w:val="28"/>
        </w:rPr>
        <w:t xml:space="preserve"> </w:t>
      </w:r>
      <w:r>
        <w:rPr>
          <w:rFonts w:hint="eastAsia" w:ascii="宋体" w:hAnsi="宋体" w:eastAsia="宋体" w:cs="宋体"/>
          <w:spacing w:val="-4"/>
          <w:sz w:val="28"/>
          <w:szCs w:val="28"/>
        </w:rPr>
        <w:t>年</w:t>
      </w:r>
      <w:r>
        <w:rPr>
          <w:rFonts w:hint="eastAsia" w:ascii="宋体" w:hAnsi="宋体" w:eastAsia="宋体" w:cs="宋体"/>
          <w:spacing w:val="9"/>
          <w:sz w:val="28"/>
          <w:szCs w:val="28"/>
        </w:rPr>
        <w:t xml:space="preserve">  </w:t>
      </w:r>
      <w:r>
        <w:rPr>
          <w:rFonts w:hint="eastAsia" w:ascii="宋体" w:hAnsi="宋体" w:eastAsia="宋体" w:cs="宋体"/>
          <w:spacing w:val="-4"/>
          <w:sz w:val="28"/>
          <w:szCs w:val="28"/>
        </w:rPr>
        <w:t>月</w:t>
      </w:r>
    </w:p>
    <w:p w14:paraId="771BC19C">
      <w:pPr>
        <w:spacing w:before="120" w:beforeLines="0" w:afterLines="0" w:line="221" w:lineRule="auto"/>
        <w:ind w:left="3906"/>
        <w:rPr>
          <w:rFonts w:hint="eastAsia" w:ascii="宋体" w:hAnsi="宋体" w:eastAsia="宋体" w:cs="宋体"/>
          <w:sz w:val="28"/>
          <w:szCs w:val="28"/>
        </w:rPr>
      </w:pPr>
      <w:r>
        <w:rPr>
          <w:rFonts w:hint="eastAsia" w:ascii="宋体" w:hAnsi="宋体" w:eastAsia="宋体" w:cs="宋体"/>
          <w:spacing w:val="-12"/>
          <w:sz w:val="28"/>
          <w:szCs w:val="28"/>
        </w:rPr>
        <w:t>中国</w:t>
      </w:r>
      <w:r>
        <w:rPr>
          <w:rFonts w:hint="eastAsia" w:ascii="宋体" w:hAnsi="宋体" w:eastAsia="宋体" w:cs="宋体"/>
          <w:spacing w:val="10"/>
          <w:sz w:val="28"/>
          <w:szCs w:val="28"/>
        </w:rPr>
        <w:t xml:space="preserve">  </w:t>
      </w:r>
      <w:r>
        <w:rPr>
          <w:rFonts w:hint="eastAsia" w:ascii="宋体" w:hAnsi="宋体" w:eastAsia="宋体" w:cs="宋体"/>
          <w:spacing w:val="-12"/>
          <w:sz w:val="28"/>
          <w:szCs w:val="28"/>
        </w:rPr>
        <w:t>西安</w:t>
      </w:r>
    </w:p>
    <w:bookmarkEnd w:id="2"/>
    <w:bookmarkEnd w:id="3"/>
    <w:p w14:paraId="6229FBD6">
      <w:pPr>
        <w:wordWrap w:val="0"/>
        <w:snapToGrid w:val="0"/>
        <w:spacing w:beforeLines="0" w:afterLines="0" w:line="480" w:lineRule="auto"/>
        <w:ind w:firstLine="440" w:firstLineChars="200"/>
        <w:rPr>
          <w:rFonts w:hint="eastAsia" w:eastAsia="宋体" w:cs="仿宋"/>
          <w:sz w:val="22"/>
          <w:szCs w:val="22"/>
        </w:rPr>
      </w:pPr>
    </w:p>
    <w:p w14:paraId="5DB48DB0">
      <w:pPr>
        <w:wordWrap w:val="0"/>
        <w:snapToGrid w:val="0"/>
        <w:spacing w:beforeLines="0" w:afterLines="0" w:line="480" w:lineRule="auto"/>
        <w:ind w:firstLine="440" w:firstLineChars="200"/>
        <w:rPr>
          <w:rFonts w:hint="default" w:cs="仿宋"/>
          <w:sz w:val="22"/>
          <w:szCs w:val="22"/>
        </w:rPr>
      </w:pPr>
      <w:r>
        <w:rPr>
          <w:rFonts w:hint="eastAsia" w:eastAsia="宋体" w:cs="仿宋"/>
          <w:sz w:val="22"/>
          <w:szCs w:val="22"/>
        </w:rPr>
        <w:t>甲方：西安市妇幼保健院</w:t>
      </w:r>
    </w:p>
    <w:p w14:paraId="4D7287A1">
      <w:pPr>
        <w:wordWrap w:val="0"/>
        <w:snapToGrid w:val="0"/>
        <w:spacing w:beforeLines="0" w:afterLines="0" w:line="480" w:lineRule="auto"/>
        <w:ind w:firstLine="440" w:firstLineChars="200"/>
        <w:rPr>
          <w:rFonts w:hint="default" w:cs="仿宋"/>
          <w:sz w:val="22"/>
          <w:szCs w:val="22"/>
        </w:rPr>
      </w:pPr>
      <w:r>
        <w:rPr>
          <w:rFonts w:hint="eastAsia" w:eastAsia="宋体" w:cs="仿宋"/>
          <w:sz w:val="22"/>
          <w:szCs w:val="22"/>
        </w:rPr>
        <w:t>乙方：</w:t>
      </w:r>
    </w:p>
    <w:p w14:paraId="71E33ED7">
      <w:pPr>
        <w:wordWrap w:val="0"/>
        <w:snapToGrid w:val="0"/>
        <w:spacing w:beforeLines="0" w:afterLines="0" w:line="480" w:lineRule="auto"/>
        <w:ind w:firstLine="440" w:firstLineChars="200"/>
        <w:rPr>
          <w:rFonts w:hint="default" w:cs="仿宋"/>
          <w:sz w:val="22"/>
          <w:szCs w:val="22"/>
        </w:rPr>
      </w:pPr>
      <w:r>
        <w:rPr>
          <w:rFonts w:hint="eastAsia" w:eastAsia="宋体" w:cs="仿宋"/>
          <w:sz w:val="22"/>
          <w:szCs w:val="22"/>
        </w:rPr>
        <w:t>鉴证方：</w:t>
      </w:r>
    </w:p>
    <w:p w14:paraId="79DE3D5A">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鉴证方就甲方所需货物，在市财政局政府采购管理处的监督管理下，按照政府采购程序组织竞争性谈判，确定乙方为成交供应商。依据《中华人民共和国民法典》、《中华人民共和国政府采购法》、《中华人民共和国招标投标法》以及采购文件、成交供应商响应文件、成交通知书，经甲、乙双方协商，鉴证方确认，达成如下条款。</w:t>
      </w:r>
    </w:p>
    <w:p w14:paraId="05C5F9FD">
      <w:pPr>
        <w:wordWrap w:val="0"/>
        <w:snapToGrid w:val="0"/>
        <w:spacing w:before="165" w:beforeLines="50" w:afterLines="0" w:line="360" w:lineRule="auto"/>
        <w:ind w:firstLine="442" w:firstLineChars="200"/>
        <w:rPr>
          <w:rFonts w:hint="default" w:cs="仿宋"/>
          <w:b/>
          <w:sz w:val="22"/>
          <w:szCs w:val="22"/>
        </w:rPr>
      </w:pPr>
      <w:r>
        <w:rPr>
          <w:rFonts w:hint="eastAsia" w:eastAsia="宋体" w:cs="仿宋"/>
          <w:b/>
          <w:sz w:val="22"/>
          <w:szCs w:val="22"/>
        </w:rPr>
        <w:t>一、合同标的物内容及数量</w:t>
      </w:r>
    </w:p>
    <w:tbl>
      <w:tblPr>
        <w:tblStyle w:val="13"/>
        <w:tblW w:w="9030" w:type="dxa"/>
        <w:tblInd w:w="5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1"/>
        <w:gridCol w:w="1806"/>
        <w:gridCol w:w="2631"/>
        <w:gridCol w:w="1146"/>
        <w:gridCol w:w="1009"/>
        <w:gridCol w:w="917"/>
        <w:gridCol w:w="830"/>
      </w:tblGrid>
      <w:tr w14:paraId="66CE66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auto"/>
          <w:wAfter w:w="0" w:type="auto"/>
          <w:trHeight w:val="654" w:hRule="atLeast"/>
        </w:trPr>
        <w:tc>
          <w:tcPr>
            <w:tcW w:w="69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14:paraId="59CC45FE">
            <w:pPr>
              <w:pStyle w:val="18"/>
              <w:spacing w:before="33" w:beforeLines="0" w:afterLines="0" w:line="360" w:lineRule="auto"/>
              <w:jc w:val="center"/>
              <w:rPr>
                <w:rFonts w:hint="eastAsia" w:ascii="宋体" w:hAnsi="宋体" w:eastAsia="宋体" w:cs="宋体"/>
                <w:spacing w:val="-2"/>
                <w:sz w:val="21"/>
                <w:szCs w:val="21"/>
              </w:rPr>
            </w:pPr>
            <w:r>
              <w:rPr>
                <w:rFonts w:hint="eastAsia" w:ascii="宋体" w:hAnsi="宋体" w:eastAsia="宋体" w:cs="宋体"/>
                <w:spacing w:val="-2"/>
                <w:sz w:val="21"/>
                <w:szCs w:val="21"/>
              </w:rPr>
              <w:t>序 号</w:t>
            </w:r>
          </w:p>
        </w:tc>
        <w:tc>
          <w:tcPr>
            <w:tcW w:w="180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14:paraId="7B83AB5C">
            <w:pPr>
              <w:pStyle w:val="18"/>
              <w:spacing w:before="33" w:beforeLines="0" w:afterLines="0" w:line="360" w:lineRule="auto"/>
              <w:jc w:val="center"/>
              <w:rPr>
                <w:rFonts w:hint="eastAsia" w:ascii="宋体" w:hAnsi="宋体" w:eastAsia="宋体" w:cs="宋体"/>
                <w:spacing w:val="-2"/>
                <w:sz w:val="21"/>
                <w:szCs w:val="21"/>
              </w:rPr>
            </w:pPr>
            <w:r>
              <w:rPr>
                <w:rFonts w:hint="eastAsia" w:ascii="宋体" w:hAnsi="宋体" w:eastAsia="宋体" w:cs="宋体"/>
                <w:spacing w:val="-2"/>
                <w:sz w:val="21"/>
                <w:szCs w:val="21"/>
              </w:rPr>
              <w:t>货物名称</w:t>
            </w:r>
          </w:p>
        </w:tc>
        <w:tc>
          <w:tcPr>
            <w:tcW w:w="263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14:paraId="58FED68B">
            <w:pPr>
              <w:pStyle w:val="18"/>
              <w:spacing w:before="33" w:beforeLines="0" w:afterLines="0" w:line="360" w:lineRule="auto"/>
              <w:jc w:val="center"/>
              <w:rPr>
                <w:rFonts w:hint="eastAsia" w:ascii="宋体" w:hAnsi="宋体" w:eastAsia="宋体" w:cs="宋体"/>
                <w:spacing w:val="-2"/>
                <w:sz w:val="21"/>
                <w:szCs w:val="21"/>
              </w:rPr>
            </w:pPr>
            <w:r>
              <w:rPr>
                <w:rFonts w:hint="eastAsia" w:ascii="宋体" w:hAnsi="宋体" w:eastAsia="宋体" w:cs="宋体"/>
                <w:spacing w:val="-2"/>
                <w:sz w:val="21"/>
                <w:szCs w:val="21"/>
              </w:rPr>
              <w:t>原产地及厂商名称（品牌）</w:t>
            </w:r>
          </w:p>
        </w:tc>
        <w:tc>
          <w:tcPr>
            <w:tcW w:w="11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14:paraId="02B8BF96">
            <w:pPr>
              <w:pStyle w:val="18"/>
              <w:spacing w:before="33" w:beforeLines="0" w:afterLines="0" w:line="360" w:lineRule="auto"/>
              <w:jc w:val="center"/>
              <w:rPr>
                <w:rFonts w:hint="eastAsia" w:ascii="宋体" w:hAnsi="宋体" w:eastAsia="宋体" w:cs="宋体"/>
                <w:spacing w:val="-2"/>
                <w:sz w:val="21"/>
                <w:szCs w:val="21"/>
              </w:rPr>
            </w:pPr>
            <w:r>
              <w:rPr>
                <w:rFonts w:hint="eastAsia" w:ascii="宋体" w:hAnsi="宋体" w:eastAsia="宋体" w:cs="宋体"/>
                <w:spacing w:val="-2"/>
                <w:sz w:val="21"/>
                <w:szCs w:val="21"/>
              </w:rPr>
              <w:t>规格型号</w:t>
            </w:r>
          </w:p>
        </w:tc>
        <w:tc>
          <w:tcPr>
            <w:tcW w:w="1009" w:type="dxa"/>
            <w:tcBorders>
              <w:top w:val="single" w:color="000000" w:sz="2" w:space="0"/>
              <w:left w:val="single" w:color="000000" w:sz="2" w:space="0"/>
              <w:bottom w:val="single" w:color="000000" w:sz="2" w:space="0"/>
              <w:right w:val="single" w:color="000000" w:sz="2" w:space="0"/>
              <w:tl2br w:val="nil"/>
              <w:tr2bl w:val="nil"/>
            </w:tcBorders>
            <w:noWrap w:val="0"/>
            <w:vAlign w:val="center"/>
          </w:tcPr>
          <w:p w14:paraId="23FA0392">
            <w:pPr>
              <w:pStyle w:val="18"/>
              <w:spacing w:before="33" w:beforeLines="0" w:afterLines="0" w:line="360" w:lineRule="auto"/>
              <w:jc w:val="center"/>
              <w:rPr>
                <w:rFonts w:hint="eastAsia" w:ascii="宋体" w:hAnsi="宋体" w:eastAsia="宋体" w:cs="宋体"/>
                <w:spacing w:val="-2"/>
                <w:sz w:val="21"/>
                <w:szCs w:val="21"/>
                <w:lang w:eastAsia="zh-CN"/>
              </w:rPr>
            </w:pPr>
            <w:r>
              <w:rPr>
                <w:rFonts w:hint="eastAsia" w:ascii="宋体" w:hAnsi="宋体" w:eastAsia="宋体" w:cs="宋体"/>
                <w:spacing w:val="-2"/>
                <w:sz w:val="21"/>
                <w:szCs w:val="21"/>
                <w:lang w:eastAsia="zh-CN"/>
              </w:rPr>
              <w:t>数量</w:t>
            </w:r>
          </w:p>
        </w:tc>
        <w:tc>
          <w:tcPr>
            <w:tcW w:w="91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14:paraId="17E0EB4D">
            <w:pPr>
              <w:pStyle w:val="18"/>
              <w:spacing w:before="33" w:beforeLines="0" w:afterLines="0" w:line="360" w:lineRule="auto"/>
              <w:jc w:val="center"/>
              <w:rPr>
                <w:rFonts w:hint="eastAsia" w:ascii="宋体" w:hAnsi="宋体" w:eastAsia="宋体" w:cs="宋体"/>
                <w:spacing w:val="-2"/>
                <w:sz w:val="21"/>
                <w:szCs w:val="21"/>
              </w:rPr>
            </w:pPr>
            <w:r>
              <w:rPr>
                <w:rFonts w:hint="eastAsia" w:ascii="宋体" w:hAnsi="宋体" w:eastAsia="宋体" w:cs="宋体"/>
                <w:spacing w:val="-2"/>
                <w:sz w:val="21"/>
                <w:szCs w:val="21"/>
              </w:rPr>
              <w:t>单价</w:t>
            </w:r>
          </w:p>
        </w:tc>
        <w:tc>
          <w:tcPr>
            <w:tcW w:w="830" w:type="dxa"/>
            <w:tcBorders>
              <w:top w:val="single" w:color="000000" w:sz="2" w:space="0"/>
              <w:left w:val="single" w:color="000000" w:sz="2" w:space="0"/>
              <w:bottom w:val="single" w:color="000000" w:sz="2" w:space="0"/>
              <w:right w:val="single" w:color="000000" w:sz="2" w:space="0"/>
              <w:tl2br w:val="nil"/>
              <w:tr2bl w:val="nil"/>
            </w:tcBorders>
            <w:noWrap w:val="0"/>
            <w:vAlign w:val="center"/>
          </w:tcPr>
          <w:p w14:paraId="4C3FAF24">
            <w:pPr>
              <w:pStyle w:val="18"/>
              <w:spacing w:before="33" w:beforeLines="0" w:afterLines="0" w:line="360" w:lineRule="auto"/>
              <w:jc w:val="center"/>
              <w:rPr>
                <w:rFonts w:hint="eastAsia" w:ascii="宋体" w:hAnsi="宋体" w:eastAsia="宋体" w:cs="宋体"/>
                <w:spacing w:val="-2"/>
                <w:sz w:val="21"/>
                <w:szCs w:val="21"/>
              </w:rPr>
            </w:pPr>
            <w:r>
              <w:rPr>
                <w:rFonts w:hint="eastAsia" w:ascii="宋体" w:hAnsi="宋体" w:eastAsia="宋体" w:cs="宋体"/>
                <w:spacing w:val="-2"/>
                <w:sz w:val="21"/>
                <w:szCs w:val="21"/>
              </w:rPr>
              <w:t>备注</w:t>
            </w:r>
          </w:p>
        </w:tc>
      </w:tr>
      <w:tr w14:paraId="25C001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auto"/>
          <w:wAfter w:w="0" w:type="auto"/>
          <w:trHeight w:val="764" w:hRule="atLeast"/>
        </w:trPr>
        <w:tc>
          <w:tcPr>
            <w:tcW w:w="691"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64B2A543">
            <w:pPr>
              <w:pStyle w:val="18"/>
              <w:spacing w:before="33" w:beforeLines="0" w:afterLines="0" w:line="360" w:lineRule="auto"/>
              <w:jc w:val="center"/>
              <w:rPr>
                <w:rFonts w:hint="eastAsia" w:ascii="宋体" w:hAnsi="宋体" w:eastAsia="宋体" w:cs="宋体"/>
                <w:spacing w:val="-2"/>
                <w:sz w:val="21"/>
                <w:szCs w:val="21"/>
              </w:rPr>
            </w:pPr>
            <w:r>
              <w:rPr>
                <w:rFonts w:hint="eastAsia" w:ascii="宋体" w:hAnsi="宋体" w:eastAsia="宋体" w:cs="宋体"/>
                <w:spacing w:val="-2"/>
                <w:sz w:val="21"/>
                <w:szCs w:val="21"/>
              </w:rPr>
              <w:t>1</w:t>
            </w:r>
          </w:p>
        </w:tc>
        <w:tc>
          <w:tcPr>
            <w:tcW w:w="1806"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622483AE">
            <w:pPr>
              <w:spacing w:beforeLines="0" w:afterLines="0" w:line="360" w:lineRule="auto"/>
              <w:rPr>
                <w:rFonts w:hint="default" w:ascii="Arial" w:hAnsi="Times New Roman" w:eastAsia="宋体"/>
                <w:sz w:val="21"/>
                <w:szCs w:val="24"/>
              </w:rPr>
            </w:pPr>
          </w:p>
        </w:tc>
        <w:tc>
          <w:tcPr>
            <w:tcW w:w="2631"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0DBCFC20">
            <w:pPr>
              <w:spacing w:beforeLines="0" w:afterLines="0" w:line="360" w:lineRule="auto"/>
              <w:rPr>
                <w:rFonts w:hint="default" w:ascii="Arial" w:hAnsi="Times New Roman" w:eastAsia="宋体"/>
                <w:sz w:val="21"/>
                <w:szCs w:val="24"/>
              </w:rPr>
            </w:pPr>
          </w:p>
        </w:tc>
        <w:tc>
          <w:tcPr>
            <w:tcW w:w="1146"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52A9713B">
            <w:pPr>
              <w:spacing w:beforeLines="0" w:afterLines="0" w:line="360" w:lineRule="auto"/>
              <w:rPr>
                <w:rFonts w:hint="default" w:ascii="Arial" w:hAnsi="Times New Roman" w:eastAsia="宋体"/>
                <w:sz w:val="21"/>
                <w:szCs w:val="24"/>
              </w:rPr>
            </w:pPr>
          </w:p>
        </w:tc>
        <w:tc>
          <w:tcPr>
            <w:tcW w:w="1009"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3E6F3171">
            <w:pPr>
              <w:spacing w:beforeLines="0" w:afterLines="0" w:line="360" w:lineRule="auto"/>
              <w:rPr>
                <w:rFonts w:hint="default" w:ascii="Arial" w:hAnsi="Times New Roman" w:eastAsia="宋体"/>
                <w:sz w:val="21"/>
                <w:szCs w:val="24"/>
              </w:rPr>
            </w:pPr>
          </w:p>
        </w:tc>
        <w:tc>
          <w:tcPr>
            <w:tcW w:w="917"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77A8CC9B">
            <w:pPr>
              <w:spacing w:beforeLines="0" w:afterLines="0" w:line="360" w:lineRule="auto"/>
              <w:rPr>
                <w:rFonts w:hint="default" w:ascii="Arial" w:hAnsi="Times New Roman" w:eastAsia="宋体"/>
                <w:sz w:val="21"/>
                <w:szCs w:val="24"/>
              </w:rPr>
            </w:pPr>
          </w:p>
        </w:tc>
        <w:tc>
          <w:tcPr>
            <w:tcW w:w="830"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693C9231">
            <w:pPr>
              <w:spacing w:beforeLines="0" w:afterLines="0" w:line="360" w:lineRule="auto"/>
              <w:rPr>
                <w:rFonts w:hint="default" w:ascii="Arial" w:hAnsi="Times New Roman" w:eastAsia="宋体"/>
                <w:sz w:val="21"/>
                <w:szCs w:val="24"/>
              </w:rPr>
            </w:pPr>
          </w:p>
        </w:tc>
      </w:tr>
      <w:tr w14:paraId="215124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auto"/>
          <w:wAfter w:w="0" w:type="auto"/>
          <w:trHeight w:val="627" w:hRule="atLeast"/>
        </w:trPr>
        <w:tc>
          <w:tcPr>
            <w:tcW w:w="691"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6EB56D45">
            <w:pPr>
              <w:pStyle w:val="18"/>
              <w:spacing w:before="33" w:beforeLines="0" w:afterLines="0" w:line="360" w:lineRule="auto"/>
              <w:jc w:val="center"/>
              <w:rPr>
                <w:rFonts w:hint="eastAsia" w:ascii="宋体" w:hAnsi="宋体" w:eastAsia="宋体" w:cs="宋体"/>
                <w:spacing w:val="-2"/>
                <w:sz w:val="21"/>
                <w:szCs w:val="21"/>
              </w:rPr>
            </w:pPr>
            <w:r>
              <w:rPr>
                <w:rFonts w:hint="eastAsia" w:ascii="宋体" w:hAnsi="宋体" w:eastAsia="宋体" w:cs="宋体"/>
                <w:spacing w:val="-2"/>
                <w:sz w:val="21"/>
                <w:szCs w:val="21"/>
              </w:rPr>
              <w:t>2</w:t>
            </w:r>
          </w:p>
        </w:tc>
        <w:tc>
          <w:tcPr>
            <w:tcW w:w="1806"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4B1DE4A0">
            <w:pPr>
              <w:spacing w:beforeLines="0" w:afterLines="0" w:line="360" w:lineRule="auto"/>
              <w:rPr>
                <w:rFonts w:hint="default" w:ascii="Arial" w:hAnsi="Times New Roman" w:eastAsia="宋体"/>
                <w:sz w:val="21"/>
                <w:szCs w:val="24"/>
              </w:rPr>
            </w:pPr>
          </w:p>
        </w:tc>
        <w:tc>
          <w:tcPr>
            <w:tcW w:w="2631"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0465DBA4">
            <w:pPr>
              <w:spacing w:beforeLines="0" w:afterLines="0" w:line="360" w:lineRule="auto"/>
              <w:rPr>
                <w:rFonts w:hint="default" w:ascii="Arial" w:hAnsi="Times New Roman" w:eastAsia="宋体"/>
                <w:sz w:val="21"/>
                <w:szCs w:val="24"/>
              </w:rPr>
            </w:pPr>
          </w:p>
        </w:tc>
        <w:tc>
          <w:tcPr>
            <w:tcW w:w="1146"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6FD53BBE">
            <w:pPr>
              <w:spacing w:beforeLines="0" w:afterLines="0" w:line="360" w:lineRule="auto"/>
              <w:rPr>
                <w:rFonts w:hint="default" w:ascii="Arial" w:hAnsi="Times New Roman" w:eastAsia="宋体"/>
                <w:sz w:val="21"/>
                <w:szCs w:val="24"/>
              </w:rPr>
            </w:pPr>
          </w:p>
        </w:tc>
        <w:tc>
          <w:tcPr>
            <w:tcW w:w="1009"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5F4AF541">
            <w:pPr>
              <w:spacing w:beforeLines="0" w:afterLines="0" w:line="360" w:lineRule="auto"/>
              <w:rPr>
                <w:rFonts w:hint="default" w:ascii="Arial" w:hAnsi="Times New Roman" w:eastAsia="宋体"/>
                <w:sz w:val="21"/>
                <w:szCs w:val="24"/>
              </w:rPr>
            </w:pPr>
          </w:p>
        </w:tc>
        <w:tc>
          <w:tcPr>
            <w:tcW w:w="917"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1EAE737E">
            <w:pPr>
              <w:spacing w:beforeLines="0" w:afterLines="0" w:line="360" w:lineRule="auto"/>
              <w:rPr>
                <w:rFonts w:hint="default" w:ascii="Arial" w:hAnsi="Times New Roman" w:eastAsia="宋体"/>
                <w:sz w:val="21"/>
                <w:szCs w:val="24"/>
              </w:rPr>
            </w:pPr>
          </w:p>
        </w:tc>
        <w:tc>
          <w:tcPr>
            <w:tcW w:w="830"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1414F118">
            <w:pPr>
              <w:spacing w:beforeLines="0" w:afterLines="0" w:line="360" w:lineRule="auto"/>
              <w:rPr>
                <w:rFonts w:hint="default" w:ascii="Arial" w:hAnsi="Times New Roman" w:eastAsia="宋体"/>
                <w:sz w:val="21"/>
                <w:szCs w:val="24"/>
              </w:rPr>
            </w:pPr>
          </w:p>
        </w:tc>
      </w:tr>
      <w:tr w14:paraId="36A936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auto"/>
          <w:wAfter w:w="0" w:type="auto"/>
          <w:trHeight w:val="635" w:hRule="atLeast"/>
        </w:trPr>
        <w:tc>
          <w:tcPr>
            <w:tcW w:w="691"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2A173D68">
            <w:pPr>
              <w:pStyle w:val="18"/>
              <w:spacing w:before="33" w:beforeLines="0" w:afterLines="0" w:line="360" w:lineRule="auto"/>
              <w:jc w:val="center"/>
              <w:rPr>
                <w:rFonts w:hint="eastAsia" w:ascii="宋体" w:hAnsi="宋体" w:eastAsia="宋体" w:cs="宋体"/>
                <w:spacing w:val="-2"/>
                <w:sz w:val="21"/>
                <w:szCs w:val="21"/>
              </w:rPr>
            </w:pPr>
            <w:r>
              <w:rPr>
                <w:rFonts w:hint="eastAsia" w:ascii="宋体" w:hAnsi="宋体" w:eastAsia="宋体" w:cs="宋体"/>
                <w:spacing w:val="-2"/>
                <w:sz w:val="21"/>
                <w:szCs w:val="21"/>
              </w:rPr>
              <w:t>3</w:t>
            </w:r>
          </w:p>
        </w:tc>
        <w:tc>
          <w:tcPr>
            <w:tcW w:w="1806"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7948FB1D">
            <w:pPr>
              <w:spacing w:beforeLines="0" w:afterLines="0" w:line="360" w:lineRule="auto"/>
              <w:rPr>
                <w:rFonts w:hint="default" w:ascii="Arial" w:hAnsi="Times New Roman" w:eastAsia="宋体"/>
                <w:sz w:val="21"/>
                <w:szCs w:val="24"/>
              </w:rPr>
            </w:pPr>
          </w:p>
        </w:tc>
        <w:tc>
          <w:tcPr>
            <w:tcW w:w="2631"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763D8A68">
            <w:pPr>
              <w:spacing w:beforeLines="0" w:afterLines="0" w:line="360" w:lineRule="auto"/>
              <w:rPr>
                <w:rFonts w:hint="default" w:ascii="Arial" w:hAnsi="Times New Roman" w:eastAsia="宋体"/>
                <w:sz w:val="21"/>
                <w:szCs w:val="24"/>
              </w:rPr>
            </w:pPr>
          </w:p>
        </w:tc>
        <w:tc>
          <w:tcPr>
            <w:tcW w:w="1146"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698CA27F">
            <w:pPr>
              <w:spacing w:beforeLines="0" w:afterLines="0" w:line="360" w:lineRule="auto"/>
              <w:rPr>
                <w:rFonts w:hint="default" w:ascii="Arial" w:hAnsi="Times New Roman" w:eastAsia="宋体"/>
                <w:sz w:val="21"/>
                <w:szCs w:val="24"/>
              </w:rPr>
            </w:pPr>
          </w:p>
        </w:tc>
        <w:tc>
          <w:tcPr>
            <w:tcW w:w="1009"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75D69F89">
            <w:pPr>
              <w:spacing w:beforeLines="0" w:afterLines="0" w:line="360" w:lineRule="auto"/>
              <w:rPr>
                <w:rFonts w:hint="default" w:ascii="Arial" w:hAnsi="Times New Roman" w:eastAsia="宋体"/>
                <w:sz w:val="21"/>
                <w:szCs w:val="24"/>
              </w:rPr>
            </w:pPr>
          </w:p>
        </w:tc>
        <w:tc>
          <w:tcPr>
            <w:tcW w:w="917"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22540670">
            <w:pPr>
              <w:spacing w:beforeLines="0" w:afterLines="0" w:line="360" w:lineRule="auto"/>
              <w:rPr>
                <w:rFonts w:hint="default" w:ascii="Arial" w:hAnsi="Times New Roman" w:eastAsia="宋体"/>
                <w:sz w:val="21"/>
                <w:szCs w:val="24"/>
              </w:rPr>
            </w:pPr>
          </w:p>
        </w:tc>
        <w:tc>
          <w:tcPr>
            <w:tcW w:w="830" w:type="dxa"/>
            <w:tcBorders>
              <w:top w:val="single" w:color="000000" w:sz="2" w:space="0"/>
              <w:left w:val="single" w:color="000000" w:sz="2" w:space="0"/>
              <w:bottom w:val="single" w:color="000000" w:sz="2" w:space="0"/>
              <w:right w:val="single" w:color="000000" w:sz="2" w:space="0"/>
              <w:tl2br w:val="nil"/>
              <w:tr2bl w:val="nil"/>
            </w:tcBorders>
            <w:noWrap w:val="0"/>
            <w:vAlign w:val="top"/>
          </w:tcPr>
          <w:p w14:paraId="4B664DF7">
            <w:pPr>
              <w:spacing w:beforeLines="0" w:afterLines="0" w:line="360" w:lineRule="auto"/>
              <w:rPr>
                <w:rFonts w:hint="default" w:ascii="Arial" w:hAnsi="Times New Roman" w:eastAsia="宋体"/>
                <w:sz w:val="21"/>
                <w:szCs w:val="24"/>
              </w:rPr>
            </w:pPr>
          </w:p>
        </w:tc>
      </w:tr>
    </w:tbl>
    <w:p w14:paraId="62E77E8C">
      <w:pPr>
        <w:wordWrap w:val="0"/>
        <w:snapToGrid w:val="0"/>
        <w:spacing w:beforeLines="0" w:afterLines="0" w:line="360" w:lineRule="auto"/>
        <w:ind w:firstLine="440" w:firstLineChars="200"/>
        <w:rPr>
          <w:rFonts w:hint="default" w:cs="仿宋"/>
          <w:sz w:val="22"/>
          <w:szCs w:val="22"/>
        </w:rPr>
      </w:pPr>
      <w:r>
        <w:rPr>
          <w:rFonts w:hint="default" w:cs="仿宋"/>
          <w:sz w:val="22"/>
          <w:szCs w:val="22"/>
        </w:rPr>
        <w:tab/>
      </w:r>
    </w:p>
    <w:p w14:paraId="2EEF1A2E">
      <w:pPr>
        <w:wordWrap w:val="0"/>
        <w:snapToGrid w:val="0"/>
        <w:spacing w:before="165" w:beforeLines="50" w:afterLines="0" w:line="360" w:lineRule="auto"/>
        <w:ind w:firstLine="442" w:firstLineChars="200"/>
        <w:rPr>
          <w:rFonts w:hint="eastAsia" w:ascii="Times New Roman" w:hAnsi="Times New Roman" w:eastAsia="宋体" w:cs="仿宋"/>
          <w:b/>
          <w:sz w:val="22"/>
          <w:szCs w:val="22"/>
        </w:rPr>
      </w:pPr>
      <w:r>
        <w:rPr>
          <w:rFonts w:hint="eastAsia" w:ascii="Times New Roman" w:hAnsi="Times New Roman" w:eastAsia="宋体" w:cs="仿宋"/>
          <w:b/>
          <w:sz w:val="22"/>
          <w:szCs w:val="22"/>
        </w:rPr>
        <w:t>二、合同价款</w:t>
      </w:r>
    </w:p>
    <w:p w14:paraId="378AEB71">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（一）合同总价款为人民币（大写）（小写）。</w:t>
      </w:r>
    </w:p>
    <w:p w14:paraId="07225291">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（二）货物单价不受市场上涨因素的影响。</w:t>
      </w:r>
    </w:p>
    <w:p w14:paraId="04F976F5">
      <w:pPr>
        <w:wordWrap w:val="0"/>
        <w:snapToGrid w:val="0"/>
        <w:spacing w:before="165" w:beforeLines="50" w:afterLines="0" w:line="360" w:lineRule="auto"/>
        <w:ind w:firstLine="442" w:firstLineChars="200"/>
        <w:rPr>
          <w:rFonts w:hint="eastAsia" w:ascii="Times New Roman" w:hAnsi="Times New Roman" w:eastAsia="宋体" w:cs="仿宋"/>
          <w:b/>
          <w:sz w:val="22"/>
          <w:szCs w:val="22"/>
        </w:rPr>
      </w:pPr>
      <w:r>
        <w:rPr>
          <w:rFonts w:hint="eastAsia" w:ascii="Times New Roman" w:hAnsi="Times New Roman" w:eastAsia="宋体" w:cs="仿宋"/>
          <w:b/>
          <w:sz w:val="22"/>
          <w:szCs w:val="22"/>
        </w:rPr>
        <w:t>三、付款方式和结算条件</w:t>
      </w:r>
    </w:p>
    <w:p w14:paraId="77AE88AF">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（一）付款方式</w:t>
      </w:r>
    </w:p>
    <w:p w14:paraId="6CDD4BC7">
      <w:pPr>
        <w:wordWrap w:val="0"/>
        <w:snapToGrid w:val="0"/>
        <w:spacing w:beforeLines="0" w:afterLines="0" w:line="360" w:lineRule="auto"/>
        <w:ind w:firstLine="638" w:firstLineChars="290"/>
        <w:rPr>
          <w:rFonts w:hint="default" w:cs="仿宋"/>
          <w:sz w:val="22"/>
          <w:szCs w:val="22"/>
        </w:rPr>
      </w:pPr>
      <w:r>
        <w:rPr>
          <w:rFonts w:hint="eastAsia" w:eastAsia="宋体" w:cs="仿宋"/>
          <w:sz w:val="22"/>
          <w:szCs w:val="22"/>
        </w:rPr>
        <w:t>通过银行转账方式将款项转入乙方银行账户。乙方银行账户信息如下：</w:t>
      </w:r>
    </w:p>
    <w:p w14:paraId="27406895">
      <w:pPr>
        <w:wordWrap w:val="0"/>
        <w:snapToGrid w:val="0"/>
        <w:spacing w:beforeLines="0" w:afterLines="0" w:line="360" w:lineRule="auto"/>
        <w:ind w:firstLine="638" w:firstLineChars="290"/>
        <w:rPr>
          <w:rFonts w:hint="default" w:cs="仿宋"/>
          <w:sz w:val="22"/>
          <w:szCs w:val="22"/>
        </w:rPr>
      </w:pPr>
      <w:r>
        <w:rPr>
          <w:rFonts w:hint="eastAsia" w:eastAsia="宋体" w:cs="仿宋"/>
          <w:sz w:val="22"/>
          <w:szCs w:val="22"/>
        </w:rPr>
        <w:t>账户全称：</w:t>
      </w:r>
      <w:r>
        <w:rPr>
          <w:rFonts w:hint="eastAsia" w:ascii="宋体" w:hAnsi="宋体" w:eastAsia="宋体" w:cs="宋体"/>
          <w:sz w:val="21"/>
          <w:szCs w:val="21"/>
          <w:u w:val="single" w:color="auto"/>
        </w:rPr>
        <w:t xml:space="preserve">                                    </w:t>
      </w:r>
      <w:r>
        <w:rPr>
          <w:rFonts w:hint="default" w:cs="仿宋"/>
          <w:sz w:val="22"/>
          <w:szCs w:val="22"/>
        </w:rPr>
        <w:t xml:space="preserve">                             </w:t>
      </w:r>
    </w:p>
    <w:p w14:paraId="33476761">
      <w:pPr>
        <w:wordWrap w:val="0"/>
        <w:snapToGrid w:val="0"/>
        <w:spacing w:beforeLines="0" w:afterLines="0" w:line="360" w:lineRule="auto"/>
        <w:ind w:firstLine="638" w:firstLineChars="290"/>
        <w:rPr>
          <w:rFonts w:hint="default" w:cs="仿宋"/>
          <w:sz w:val="22"/>
          <w:szCs w:val="22"/>
        </w:rPr>
      </w:pPr>
      <w:r>
        <w:rPr>
          <w:rFonts w:hint="eastAsia" w:eastAsia="宋体" w:cs="仿宋"/>
          <w:sz w:val="22"/>
          <w:szCs w:val="22"/>
        </w:rPr>
        <w:t>账    号：</w:t>
      </w:r>
      <w:r>
        <w:rPr>
          <w:rFonts w:hint="eastAsia" w:ascii="宋体" w:hAnsi="宋体" w:eastAsia="宋体" w:cs="宋体"/>
          <w:sz w:val="21"/>
          <w:szCs w:val="21"/>
          <w:u w:val="single" w:color="auto"/>
        </w:rPr>
        <w:t xml:space="preserve">                                    </w:t>
      </w:r>
      <w:r>
        <w:rPr>
          <w:rFonts w:hint="default" w:cs="仿宋"/>
          <w:sz w:val="22"/>
          <w:szCs w:val="22"/>
        </w:rPr>
        <w:t xml:space="preserve">                                </w:t>
      </w:r>
    </w:p>
    <w:p w14:paraId="1B297BFD">
      <w:pPr>
        <w:wordWrap w:val="0"/>
        <w:snapToGrid w:val="0"/>
        <w:spacing w:beforeLines="0" w:afterLines="0" w:line="360" w:lineRule="auto"/>
        <w:ind w:firstLine="638" w:firstLineChars="290"/>
        <w:rPr>
          <w:rFonts w:hint="default" w:cs="仿宋"/>
          <w:sz w:val="22"/>
          <w:szCs w:val="22"/>
        </w:rPr>
      </w:pPr>
      <w:r>
        <w:rPr>
          <w:rFonts w:hint="eastAsia" w:eastAsia="宋体" w:cs="仿宋"/>
          <w:sz w:val="22"/>
          <w:szCs w:val="22"/>
        </w:rPr>
        <w:t>开 户 行：</w:t>
      </w:r>
      <w:r>
        <w:rPr>
          <w:rFonts w:hint="eastAsia" w:ascii="宋体" w:hAnsi="宋体" w:eastAsia="宋体" w:cs="宋体"/>
          <w:sz w:val="21"/>
          <w:szCs w:val="21"/>
          <w:u w:val="single" w:color="auto"/>
        </w:rPr>
        <w:t xml:space="preserve">                                    </w:t>
      </w:r>
      <w:r>
        <w:rPr>
          <w:rFonts w:hint="default" w:cs="仿宋"/>
          <w:sz w:val="22"/>
          <w:szCs w:val="22"/>
        </w:rPr>
        <w:t xml:space="preserve">                                 </w:t>
      </w:r>
    </w:p>
    <w:p w14:paraId="78C60922">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甲方仅认可上述指定账户并向该账户付款，甲方有权拒绝向指定账户之外的任何账户付款，并且由此导致的付款延迟责任由乙方承担。</w:t>
      </w:r>
    </w:p>
    <w:p w14:paraId="7903B7DC">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乙方要如实开具发票，不得变更开票内容，乙方开具发票出现税务争议时，乙方需承担税款、</w:t>
      </w:r>
      <w:bookmarkStart w:id="4" w:name="_GoBack"/>
      <w:bookmarkEnd w:id="4"/>
      <w:r>
        <w:rPr>
          <w:rFonts w:hint="eastAsia" w:eastAsia="宋体" w:cs="仿宋"/>
          <w:sz w:val="22"/>
          <w:szCs w:val="22"/>
        </w:rPr>
        <w:t>滞纳金、罚款等赔偿责任以及其他相关责任。</w:t>
      </w:r>
    </w:p>
    <w:p w14:paraId="4493F736">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（二）结算条件</w:t>
      </w:r>
    </w:p>
    <w:p w14:paraId="6DB33F62">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交货验收入库时，乙方向甲方开具正规发票，并提供所供货品的进货发票，进货发票金额不得遮盖，确保“两票制”，乙方要如实开具发票，不得变更开票内容，乙方开具发票出现税务 争议时，乙方需承担税款、滞纳金、罚款等赔偿责任以及其他相关责任，3 个月后甲方向乙方据实结算转账支付货款。</w:t>
      </w:r>
    </w:p>
    <w:p w14:paraId="044CBB72">
      <w:pPr>
        <w:wordWrap w:val="0"/>
        <w:snapToGrid w:val="0"/>
        <w:spacing w:before="165" w:beforeLines="50" w:afterLines="0" w:line="360" w:lineRule="auto"/>
        <w:ind w:firstLine="442" w:firstLineChars="200"/>
        <w:rPr>
          <w:rFonts w:hint="eastAsia" w:ascii="Times New Roman" w:hAnsi="Times New Roman" w:eastAsia="宋体" w:cs="仿宋"/>
          <w:b/>
          <w:sz w:val="22"/>
          <w:szCs w:val="22"/>
        </w:rPr>
      </w:pPr>
      <w:r>
        <w:rPr>
          <w:rFonts w:hint="eastAsia" w:ascii="Times New Roman" w:hAnsi="Times New Roman" w:eastAsia="宋体" w:cs="仿宋"/>
          <w:b/>
          <w:sz w:val="22"/>
          <w:szCs w:val="22"/>
        </w:rPr>
        <w:t>四、双方的权利和义务</w:t>
      </w:r>
    </w:p>
    <w:p w14:paraId="16DC0587">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（一）甲方的权利和义务</w:t>
      </w:r>
    </w:p>
    <w:p w14:paraId="6A702467">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甲方权利：组织使用单位严格按照采购文件及相应文件要求和标准验收货物。</w:t>
      </w:r>
    </w:p>
    <w:p w14:paraId="75069A07">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甲方义务：积极配合乙方交付，及时验收。</w:t>
      </w:r>
    </w:p>
    <w:p w14:paraId="6904658A">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（二）乙方的权利和义务</w:t>
      </w:r>
    </w:p>
    <w:p w14:paraId="7FB469AF">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乙方权利：按照合同约定要求甲方及时付款。</w:t>
      </w:r>
    </w:p>
    <w:p w14:paraId="35188407">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乙方义务：按照合同约定时间，按甲方指定地点提供货物，配合验收工作；</w:t>
      </w:r>
    </w:p>
    <w:p w14:paraId="4D34BD3D">
      <w:pPr>
        <w:wordWrap w:val="0"/>
        <w:snapToGrid w:val="0"/>
        <w:spacing w:before="165" w:beforeLines="50" w:afterLines="0" w:line="360" w:lineRule="auto"/>
        <w:ind w:firstLine="442" w:firstLineChars="200"/>
        <w:rPr>
          <w:rFonts w:hint="eastAsia" w:ascii="Times New Roman" w:hAnsi="Times New Roman" w:eastAsia="宋体" w:cs="仿宋"/>
          <w:b/>
          <w:sz w:val="22"/>
          <w:szCs w:val="22"/>
        </w:rPr>
      </w:pPr>
      <w:r>
        <w:rPr>
          <w:rFonts w:hint="eastAsia" w:ascii="Times New Roman" w:hAnsi="Times New Roman" w:eastAsia="宋体" w:cs="仿宋"/>
          <w:b/>
          <w:sz w:val="22"/>
          <w:szCs w:val="22"/>
        </w:rPr>
        <w:t>五、交货条件：</w:t>
      </w:r>
    </w:p>
    <w:p w14:paraId="4DE6B06E">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（一）交货地点：甲方指定地点：西安市妇幼保健院及各个助产机构站点。</w:t>
      </w:r>
    </w:p>
    <w:p w14:paraId="2F0565DD">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（二）交货期：</w:t>
      </w:r>
      <w:r>
        <w:rPr>
          <w:rFonts w:hint="default" w:cs="仿宋"/>
          <w:sz w:val="22"/>
          <w:szCs w:val="22"/>
          <w:u w:val="single"/>
        </w:rPr>
        <w:t xml:space="preserve"> 72 </w:t>
      </w:r>
      <w:r>
        <w:rPr>
          <w:rFonts w:hint="eastAsia" w:eastAsia="宋体" w:cs="仿宋"/>
          <w:sz w:val="22"/>
          <w:szCs w:val="22"/>
        </w:rPr>
        <w:t>小时。乙方接到甲方订货通知</w:t>
      </w:r>
      <w:r>
        <w:rPr>
          <w:rFonts w:hint="default" w:cs="仿宋"/>
          <w:sz w:val="22"/>
          <w:szCs w:val="22"/>
          <w:u w:val="single"/>
        </w:rPr>
        <w:t xml:space="preserve"> 72 </w:t>
      </w:r>
      <w:r>
        <w:rPr>
          <w:rFonts w:hint="eastAsia" w:eastAsia="宋体" w:cs="仿宋"/>
          <w:sz w:val="22"/>
          <w:szCs w:val="22"/>
        </w:rPr>
        <w:t>小时内负责将货物运送至甲方指定的地点，由甲方负责按照相关标准进行验收，乙方在运送过程中所产生的一切费用由乙方负责承担。</w:t>
      </w:r>
    </w:p>
    <w:p w14:paraId="00BEE943">
      <w:pPr>
        <w:wordWrap w:val="0"/>
        <w:snapToGrid w:val="0"/>
        <w:spacing w:before="165" w:beforeLines="50" w:afterLines="0" w:line="360" w:lineRule="auto"/>
        <w:ind w:firstLine="442" w:firstLineChars="200"/>
        <w:rPr>
          <w:rFonts w:hint="eastAsia" w:ascii="Times New Roman" w:hAnsi="Times New Roman" w:eastAsia="宋体" w:cs="仿宋"/>
          <w:b/>
          <w:sz w:val="22"/>
          <w:szCs w:val="22"/>
        </w:rPr>
      </w:pPr>
      <w:r>
        <w:rPr>
          <w:rFonts w:hint="eastAsia" w:ascii="Times New Roman" w:hAnsi="Times New Roman" w:eastAsia="宋体" w:cs="仿宋"/>
          <w:b/>
          <w:sz w:val="22"/>
          <w:szCs w:val="22"/>
        </w:rPr>
        <w:t>六、运输 ：</w:t>
      </w:r>
    </w:p>
    <w:p w14:paraId="0A239615">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运输方式由乙方自行选择，但必须保证按期交货。</w:t>
      </w:r>
    </w:p>
    <w:p w14:paraId="787AF3EA">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（一）乙方负责所有货物的运输，确保货物安全、完整到达使用地点。</w:t>
      </w:r>
    </w:p>
    <w:p w14:paraId="6121F68C">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（二）所有货物在运输、搬运过程中，因乙方原因造成甲方损失的，由乙方负责更换或承担相应损失。</w:t>
      </w:r>
    </w:p>
    <w:p w14:paraId="33A24B86">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（三）冷链货物运输：乙方保证冷藏货物配送全过程冷链运输，并在交货时将全程冷链数据交付于各站点，做到全程冷链数据可追溯。</w:t>
      </w:r>
    </w:p>
    <w:p w14:paraId="69A13233">
      <w:pPr>
        <w:wordWrap w:val="0"/>
        <w:snapToGrid w:val="0"/>
        <w:spacing w:before="165" w:beforeLines="50" w:afterLines="0" w:line="360" w:lineRule="auto"/>
        <w:ind w:firstLine="442" w:firstLineChars="200"/>
        <w:rPr>
          <w:rFonts w:hint="eastAsia" w:ascii="Times New Roman" w:hAnsi="Times New Roman" w:eastAsia="宋体" w:cs="仿宋"/>
          <w:b/>
          <w:sz w:val="22"/>
          <w:szCs w:val="22"/>
        </w:rPr>
      </w:pPr>
      <w:r>
        <w:rPr>
          <w:rFonts w:hint="eastAsia" w:ascii="Times New Roman" w:hAnsi="Times New Roman" w:eastAsia="宋体" w:cs="仿宋"/>
          <w:b/>
          <w:sz w:val="22"/>
          <w:szCs w:val="22"/>
        </w:rPr>
        <w:t>七、售后服务</w:t>
      </w:r>
    </w:p>
    <w:p w14:paraId="758822EA">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乙方所供货物提供以下售后服务：</w:t>
      </w:r>
    </w:p>
    <w:p w14:paraId="68389490">
      <w:pPr>
        <w:wordWrap w:val="0"/>
        <w:snapToGrid w:val="0"/>
        <w:spacing w:beforeLines="0" w:afterLines="0" w:line="360" w:lineRule="auto"/>
        <w:ind w:firstLine="440" w:firstLineChars="200"/>
        <w:rPr>
          <w:rFonts w:hint="default" w:cs="仿宋"/>
          <w:sz w:val="22"/>
          <w:szCs w:val="22"/>
        </w:rPr>
      </w:pPr>
      <w:r>
        <w:rPr>
          <w:rFonts w:hint="default" w:cs="仿宋"/>
          <w:sz w:val="22"/>
          <w:szCs w:val="22"/>
        </w:rPr>
        <w:t>(</w:t>
      </w:r>
      <w:r>
        <w:rPr>
          <w:rFonts w:hint="eastAsia" w:eastAsia="宋体" w:cs="仿宋"/>
          <w:sz w:val="22"/>
          <w:szCs w:val="22"/>
        </w:rPr>
        <w:t>一)、质量保证：乙方承诺所提供的医疗卫生耗材必须是符合药监部门质量标准的合格产品，进货渠道正常，并具备正规的产品注册证登记表、生产许可证，配送耗材时须提供配送批次产品的合格证明资料、检测报告、卫生安全评价报告等</w:t>
      </w:r>
    </w:p>
    <w:p w14:paraId="46FBA240">
      <w:pPr>
        <w:wordWrap w:val="0"/>
        <w:snapToGrid w:val="0"/>
        <w:spacing w:beforeLines="0" w:afterLines="0" w:line="360" w:lineRule="auto"/>
        <w:ind w:firstLine="440" w:firstLineChars="200"/>
        <w:rPr>
          <w:rFonts w:hint="default" w:cs="仿宋"/>
          <w:sz w:val="22"/>
          <w:szCs w:val="22"/>
        </w:rPr>
      </w:pPr>
      <w:r>
        <w:rPr>
          <w:rFonts w:hint="default" w:cs="仿宋"/>
          <w:sz w:val="22"/>
          <w:szCs w:val="22"/>
        </w:rPr>
        <w:t>(</w:t>
      </w:r>
      <w:r>
        <w:rPr>
          <w:rFonts w:hint="eastAsia" w:eastAsia="宋体" w:cs="仿宋"/>
          <w:sz w:val="22"/>
          <w:szCs w:val="22"/>
        </w:rPr>
        <w:t>二)、乙方不仅应随耗材向甲方提供使用说明书、质量标准或甲方所要求的相关资料，同时乙方须保证甲方在使用过程中的技术支持及售后服务，否则，甲方有权拒收耗材或则退货，责任由乙方承担。</w:t>
      </w:r>
    </w:p>
    <w:p w14:paraId="5284C626">
      <w:pPr>
        <w:wordWrap w:val="0"/>
        <w:snapToGrid w:val="0"/>
        <w:spacing w:beforeLines="0" w:afterLines="0" w:line="360" w:lineRule="auto"/>
        <w:ind w:firstLine="440" w:firstLineChars="200"/>
        <w:rPr>
          <w:rFonts w:hint="default" w:cs="仿宋"/>
          <w:sz w:val="22"/>
          <w:szCs w:val="22"/>
        </w:rPr>
      </w:pPr>
      <w:r>
        <w:rPr>
          <w:rFonts w:hint="default" w:cs="仿宋"/>
          <w:sz w:val="22"/>
          <w:szCs w:val="22"/>
        </w:rPr>
        <w:t>(</w:t>
      </w:r>
      <w:r>
        <w:rPr>
          <w:rFonts w:hint="eastAsia" w:eastAsia="宋体" w:cs="仿宋"/>
          <w:sz w:val="22"/>
          <w:szCs w:val="22"/>
        </w:rPr>
        <w:t>三)、乙方向甲方供应的各产品的有效期均保证在最长有效期的三分之二时间以上，且产品要按照试剂、药品等的运输要求进行配送。如不符合有效期要求，甲方有权拒收或选择退货，由此造成的损失由乙方承担。</w:t>
      </w:r>
    </w:p>
    <w:p w14:paraId="62DE35BD">
      <w:pPr>
        <w:wordWrap w:val="0"/>
        <w:snapToGrid w:val="0"/>
        <w:spacing w:beforeLines="0" w:afterLines="0" w:line="360" w:lineRule="auto"/>
        <w:ind w:firstLine="440" w:firstLineChars="200"/>
        <w:rPr>
          <w:rFonts w:hint="default" w:cs="仿宋"/>
          <w:sz w:val="22"/>
          <w:szCs w:val="22"/>
        </w:rPr>
      </w:pPr>
      <w:r>
        <w:rPr>
          <w:rFonts w:hint="default" w:cs="仿宋"/>
          <w:sz w:val="22"/>
          <w:szCs w:val="22"/>
        </w:rPr>
        <w:t>(</w:t>
      </w:r>
      <w:r>
        <w:rPr>
          <w:rFonts w:hint="eastAsia" w:eastAsia="宋体" w:cs="仿宋"/>
          <w:sz w:val="22"/>
          <w:szCs w:val="22"/>
        </w:rPr>
        <w:t>四)、包装及其他要求：符合出厂要求、包装完整无破损；包装标识清楚，进口设备应具有原产国标识及中文标识且标识必须清楚，配送产品必须为全新未拆封产品且渠道合法。</w:t>
      </w:r>
    </w:p>
    <w:p w14:paraId="623FB055">
      <w:pPr>
        <w:wordWrap w:val="0"/>
        <w:snapToGrid w:val="0"/>
        <w:spacing w:beforeLines="0" w:afterLines="0" w:line="360" w:lineRule="auto"/>
        <w:ind w:firstLine="440" w:firstLineChars="200"/>
        <w:rPr>
          <w:rFonts w:hint="default" w:cs="仿宋"/>
          <w:sz w:val="22"/>
          <w:szCs w:val="22"/>
        </w:rPr>
      </w:pPr>
      <w:r>
        <w:rPr>
          <w:rFonts w:hint="default" w:cs="仿宋"/>
          <w:sz w:val="22"/>
          <w:szCs w:val="22"/>
        </w:rPr>
        <w:t>(</w:t>
      </w:r>
      <w:r>
        <w:rPr>
          <w:rFonts w:hint="eastAsia" w:eastAsia="宋体" w:cs="仿宋"/>
          <w:sz w:val="22"/>
          <w:szCs w:val="22"/>
        </w:rPr>
        <w:t>五)、乙方所提供的医用卫生耗材在有效期内出现质量问题，甲方有权利要求乙方退货或换货，乙方接到甲方通知，退换货时间不超过 72 小时。</w:t>
      </w:r>
    </w:p>
    <w:p w14:paraId="29111B12">
      <w:pPr>
        <w:wordWrap w:val="0"/>
        <w:snapToGrid w:val="0"/>
        <w:spacing w:before="165" w:beforeLines="50" w:afterLines="0" w:line="360" w:lineRule="auto"/>
        <w:ind w:firstLine="442" w:firstLineChars="200"/>
        <w:rPr>
          <w:rFonts w:hint="eastAsia" w:ascii="Times New Roman" w:hAnsi="Times New Roman" w:eastAsia="宋体" w:cs="仿宋"/>
          <w:b/>
          <w:sz w:val="22"/>
          <w:szCs w:val="22"/>
        </w:rPr>
      </w:pPr>
      <w:r>
        <w:rPr>
          <w:rFonts w:hint="eastAsia" w:ascii="Times New Roman" w:hAnsi="Times New Roman" w:eastAsia="宋体" w:cs="仿宋"/>
          <w:b/>
          <w:sz w:val="22"/>
          <w:szCs w:val="22"/>
        </w:rPr>
        <w:t>八、验收</w:t>
      </w:r>
    </w:p>
    <w:p w14:paraId="2EAEF867">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（一）货物到达甲方指定地点后，甲乙双方根据合同要求，进行外观验收，确认产地、规格、 型号和数量。验收无误，双方在货物清单上签字确认，验收不作为产品质量合格的最终依据。</w:t>
      </w:r>
    </w:p>
    <w:p w14:paraId="41C88452">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（二）乙方向甲方提交货物实施过程中的所有资料。以便甲方日后管理和维护。</w:t>
      </w:r>
    </w:p>
    <w:p w14:paraId="3307E48D">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（三）验收依据：</w:t>
      </w:r>
    </w:p>
    <w:p w14:paraId="70AA9314">
      <w:pPr>
        <w:wordWrap w:val="0"/>
        <w:snapToGrid w:val="0"/>
        <w:spacing w:beforeLines="0" w:afterLines="0" w:line="360" w:lineRule="auto"/>
        <w:ind w:firstLine="440" w:firstLineChars="200"/>
        <w:rPr>
          <w:rFonts w:hint="default" w:cs="仿宋"/>
          <w:sz w:val="22"/>
          <w:szCs w:val="22"/>
        </w:rPr>
      </w:pPr>
      <w:r>
        <w:rPr>
          <w:rFonts w:hint="default" w:cs="仿宋"/>
          <w:sz w:val="22"/>
          <w:szCs w:val="22"/>
        </w:rPr>
        <w:t>1</w:t>
      </w:r>
      <w:r>
        <w:rPr>
          <w:rFonts w:hint="eastAsia" w:eastAsia="宋体" w:cs="仿宋"/>
          <w:sz w:val="22"/>
          <w:szCs w:val="22"/>
        </w:rPr>
        <w:t>、采购文件、响应文件；</w:t>
      </w:r>
    </w:p>
    <w:p w14:paraId="122BA283">
      <w:pPr>
        <w:wordWrap w:val="0"/>
        <w:snapToGrid w:val="0"/>
        <w:spacing w:beforeLines="0" w:afterLines="0" w:line="360" w:lineRule="auto"/>
        <w:ind w:firstLine="440" w:firstLineChars="200"/>
        <w:rPr>
          <w:rFonts w:hint="default" w:cs="仿宋"/>
          <w:sz w:val="22"/>
          <w:szCs w:val="22"/>
        </w:rPr>
      </w:pPr>
      <w:r>
        <w:rPr>
          <w:rFonts w:hint="default" w:cs="仿宋"/>
          <w:sz w:val="22"/>
          <w:szCs w:val="22"/>
        </w:rPr>
        <w:t>2</w:t>
      </w:r>
      <w:r>
        <w:rPr>
          <w:rFonts w:hint="eastAsia" w:eastAsia="宋体" w:cs="仿宋"/>
          <w:sz w:val="22"/>
          <w:szCs w:val="22"/>
        </w:rPr>
        <w:t>、本合同及附件文本；</w:t>
      </w:r>
    </w:p>
    <w:p w14:paraId="66FB97DD">
      <w:pPr>
        <w:wordWrap w:val="0"/>
        <w:snapToGrid w:val="0"/>
        <w:spacing w:beforeLines="0" w:afterLines="0" w:line="360" w:lineRule="auto"/>
        <w:ind w:firstLine="440" w:firstLineChars="200"/>
        <w:rPr>
          <w:rFonts w:hint="default" w:cs="仿宋"/>
          <w:sz w:val="22"/>
          <w:szCs w:val="22"/>
        </w:rPr>
      </w:pPr>
      <w:r>
        <w:rPr>
          <w:rFonts w:hint="default" w:cs="仿宋"/>
          <w:sz w:val="22"/>
          <w:szCs w:val="22"/>
        </w:rPr>
        <w:t>3</w:t>
      </w:r>
      <w:r>
        <w:rPr>
          <w:rFonts w:hint="eastAsia" w:eastAsia="宋体" w:cs="仿宋"/>
          <w:sz w:val="22"/>
          <w:szCs w:val="22"/>
        </w:rPr>
        <w:t>、国家相应的标准、规范。</w:t>
      </w:r>
    </w:p>
    <w:p w14:paraId="6122C2F4">
      <w:pPr>
        <w:wordWrap w:val="0"/>
        <w:snapToGrid w:val="0"/>
        <w:spacing w:before="165" w:beforeLines="50" w:afterLines="0" w:line="360" w:lineRule="auto"/>
        <w:ind w:firstLine="442" w:firstLineChars="200"/>
        <w:rPr>
          <w:rFonts w:hint="eastAsia" w:ascii="Times New Roman" w:hAnsi="Times New Roman" w:eastAsia="宋体" w:cs="仿宋"/>
          <w:b/>
          <w:sz w:val="22"/>
          <w:szCs w:val="22"/>
        </w:rPr>
      </w:pPr>
      <w:r>
        <w:rPr>
          <w:rFonts w:hint="eastAsia" w:ascii="Times New Roman" w:hAnsi="Times New Roman" w:eastAsia="宋体" w:cs="仿宋"/>
          <w:b/>
          <w:sz w:val="22"/>
          <w:szCs w:val="22"/>
        </w:rPr>
        <w:t>九、违约责任</w:t>
      </w:r>
    </w:p>
    <w:p w14:paraId="2C47FEE1">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（一）按《民法典》、《政府采购法》中的相关条款执行。</w:t>
      </w:r>
    </w:p>
    <w:p w14:paraId="6306DEBB">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二）未按合同要求提供货物或质量不能满足采购技术要求，乙方必须无条件更换，提高技术，完善质量，否则，甲方有权终止合同，并对乙方的违约行为报监管机构进行相应的处罚，要求乙方赔偿甲方质量不合格产品价款的 2 倍作为违约金。</w:t>
      </w:r>
    </w:p>
    <w:p w14:paraId="73D2A7AA">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（三）乙方不能按期交货，每延迟一天，乙方应偿付甲方总货款的0.5%的迟延违约金，违约金可累计计算。超过 30 天未交货，甲方有权解除合同，乙方应赔偿甲方总货款的30%作为违约金。</w:t>
      </w:r>
    </w:p>
    <w:p w14:paraId="036EE2B2">
      <w:pPr>
        <w:wordWrap w:val="0"/>
        <w:snapToGrid w:val="0"/>
        <w:spacing w:before="165" w:beforeLines="50" w:afterLines="0" w:line="360" w:lineRule="auto"/>
        <w:ind w:firstLine="442" w:firstLineChars="200"/>
        <w:rPr>
          <w:rFonts w:hint="eastAsia" w:ascii="Times New Roman" w:hAnsi="Times New Roman" w:eastAsia="宋体" w:cs="仿宋"/>
          <w:b/>
          <w:sz w:val="22"/>
          <w:szCs w:val="22"/>
        </w:rPr>
      </w:pPr>
      <w:r>
        <w:rPr>
          <w:rFonts w:hint="eastAsia" w:ascii="Times New Roman" w:hAnsi="Times New Roman" w:eastAsia="宋体" w:cs="仿宋"/>
          <w:b/>
          <w:sz w:val="22"/>
          <w:szCs w:val="22"/>
        </w:rPr>
        <w:t>十、合同争议解决的方式</w:t>
      </w:r>
    </w:p>
    <w:p w14:paraId="2115E787">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本合同在履行过程中发生的争议，由甲、乙双方当事人协商解决，协商不成的按下列第（ 二 ）种方式解决：</w:t>
      </w:r>
    </w:p>
    <w:p w14:paraId="4D3B0E14">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（一）提交</w:t>
      </w:r>
      <w:r>
        <w:rPr>
          <w:rFonts w:hint="default" w:cs="仿宋"/>
          <w:b/>
          <w:sz w:val="22"/>
          <w:szCs w:val="22"/>
          <w:u w:val="single"/>
        </w:rPr>
        <w:t xml:space="preserve">  </w:t>
      </w:r>
      <w:r>
        <w:rPr>
          <w:rFonts w:hint="eastAsia" w:eastAsia="宋体" w:cs="仿宋"/>
          <w:b/>
          <w:sz w:val="22"/>
          <w:szCs w:val="22"/>
          <w:u w:val="single"/>
        </w:rPr>
        <w:t>西安市</w:t>
      </w:r>
      <w:r>
        <w:rPr>
          <w:rFonts w:hint="default" w:cs="仿宋"/>
          <w:b/>
          <w:sz w:val="22"/>
          <w:szCs w:val="22"/>
          <w:u w:val="single"/>
        </w:rPr>
        <w:t xml:space="preserve"> </w:t>
      </w:r>
      <w:r>
        <w:rPr>
          <w:rFonts w:hint="default" w:cs="仿宋"/>
          <w:sz w:val="22"/>
          <w:szCs w:val="22"/>
          <w:u w:val="single"/>
        </w:rPr>
        <w:t xml:space="preserve"> </w:t>
      </w:r>
      <w:r>
        <w:rPr>
          <w:rFonts w:hint="eastAsia" w:eastAsia="宋体" w:cs="仿宋"/>
          <w:sz w:val="22"/>
          <w:szCs w:val="22"/>
        </w:rPr>
        <w:t>仲裁委员会仲裁；</w:t>
      </w:r>
    </w:p>
    <w:p w14:paraId="51023CB3">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（二）依法向</w:t>
      </w:r>
      <w:r>
        <w:rPr>
          <w:rFonts w:hint="default" w:cs="仿宋"/>
          <w:b/>
          <w:sz w:val="22"/>
          <w:szCs w:val="22"/>
          <w:u w:val="single"/>
        </w:rPr>
        <w:t xml:space="preserve">  </w:t>
      </w:r>
      <w:r>
        <w:rPr>
          <w:rFonts w:hint="eastAsia" w:eastAsia="宋体" w:cs="仿宋"/>
          <w:b/>
          <w:sz w:val="22"/>
          <w:szCs w:val="22"/>
          <w:u w:val="single"/>
        </w:rPr>
        <w:t xml:space="preserve">甲方   </w:t>
      </w:r>
      <w:r>
        <w:rPr>
          <w:rFonts w:hint="eastAsia" w:eastAsia="宋体" w:cs="仿宋"/>
          <w:sz w:val="22"/>
          <w:szCs w:val="22"/>
        </w:rPr>
        <w:t>所在地人民法院起诉。</w:t>
      </w:r>
    </w:p>
    <w:p w14:paraId="4F9848FB">
      <w:pPr>
        <w:wordWrap w:val="0"/>
        <w:snapToGrid w:val="0"/>
        <w:spacing w:before="165" w:beforeLines="50" w:afterLines="0" w:line="360" w:lineRule="auto"/>
        <w:ind w:firstLine="442" w:firstLineChars="200"/>
        <w:rPr>
          <w:rFonts w:hint="eastAsia" w:ascii="Times New Roman" w:hAnsi="Times New Roman" w:eastAsia="宋体" w:cs="仿宋"/>
          <w:b/>
          <w:sz w:val="22"/>
          <w:szCs w:val="22"/>
        </w:rPr>
      </w:pPr>
      <w:r>
        <w:rPr>
          <w:rFonts w:hint="eastAsia" w:ascii="Times New Roman" w:hAnsi="Times New Roman" w:eastAsia="宋体" w:cs="仿宋"/>
          <w:b/>
          <w:sz w:val="22"/>
          <w:szCs w:val="22"/>
        </w:rPr>
        <w:t>十一、合同生效</w:t>
      </w:r>
    </w:p>
    <w:p w14:paraId="3744DBFE">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本合同一式陆份，甲方执四份，乙方、鉴证方各执壹份，本合同甲、乙、确认各方签字盖章后生效，合同执行完毕后，自动失效（合同的服务承诺则长期有效）。</w:t>
      </w:r>
    </w:p>
    <w:p w14:paraId="2121BFDD">
      <w:pPr>
        <w:wordWrap w:val="0"/>
        <w:snapToGrid w:val="0"/>
        <w:spacing w:before="165" w:beforeLines="50" w:afterLines="0" w:line="360" w:lineRule="auto"/>
        <w:ind w:firstLine="442" w:firstLineChars="200"/>
        <w:rPr>
          <w:rFonts w:hint="eastAsia" w:ascii="Times New Roman" w:hAnsi="Times New Roman" w:eastAsia="宋体" w:cs="仿宋"/>
          <w:b/>
          <w:sz w:val="22"/>
          <w:szCs w:val="22"/>
        </w:rPr>
      </w:pPr>
      <w:r>
        <w:rPr>
          <w:rFonts w:hint="eastAsia" w:ascii="Times New Roman" w:hAnsi="Times New Roman" w:eastAsia="宋体" w:cs="仿宋"/>
          <w:b/>
          <w:sz w:val="22"/>
          <w:szCs w:val="22"/>
        </w:rPr>
        <w:t>十二、合同终止：</w:t>
      </w:r>
    </w:p>
    <w:p w14:paraId="0F262C48">
      <w:pPr>
        <w:wordWrap w:val="0"/>
        <w:snapToGrid w:val="0"/>
        <w:spacing w:beforeLines="0" w:afterLines="0" w:line="360" w:lineRule="auto"/>
        <w:ind w:firstLine="440" w:firstLineChars="200"/>
        <w:rPr>
          <w:rFonts w:hint="default" w:cs="仿宋"/>
          <w:sz w:val="22"/>
          <w:szCs w:val="22"/>
        </w:rPr>
      </w:pPr>
      <w:r>
        <w:rPr>
          <w:rFonts w:hint="default" w:cs="仿宋"/>
          <w:sz w:val="22"/>
          <w:szCs w:val="22"/>
        </w:rPr>
        <w:t>(</w:t>
      </w:r>
      <w:r>
        <w:rPr>
          <w:rFonts w:hint="eastAsia" w:eastAsia="宋体" w:cs="仿宋"/>
          <w:sz w:val="22"/>
          <w:szCs w:val="22"/>
        </w:rPr>
        <w:t>一)、乙方违反本合同约定或政府采购中心完成涉及本次耗材品种的采购，并确定了新的供货商，则本合同自动终止。</w:t>
      </w:r>
    </w:p>
    <w:p w14:paraId="602839C9">
      <w:pPr>
        <w:wordWrap w:val="0"/>
        <w:snapToGrid w:val="0"/>
        <w:spacing w:beforeLines="0" w:afterLines="0" w:line="360" w:lineRule="auto"/>
        <w:ind w:firstLine="440" w:firstLineChars="200"/>
        <w:rPr>
          <w:rFonts w:hint="default" w:cs="仿宋"/>
          <w:sz w:val="22"/>
          <w:szCs w:val="22"/>
        </w:rPr>
      </w:pPr>
      <w:r>
        <w:rPr>
          <w:rFonts w:hint="default" w:cs="仿宋"/>
          <w:sz w:val="22"/>
          <w:szCs w:val="22"/>
        </w:rPr>
        <w:t>(</w:t>
      </w:r>
      <w:r>
        <w:rPr>
          <w:rFonts w:hint="eastAsia" w:eastAsia="宋体" w:cs="仿宋"/>
          <w:sz w:val="22"/>
          <w:szCs w:val="22"/>
        </w:rPr>
        <w:t>二)、如遇厂家成本降低或市场同类产品价格低于本合同价格，乙方应及时降低供货价格，否则甲方有权终止合同。</w:t>
      </w:r>
    </w:p>
    <w:p w14:paraId="24E09351">
      <w:pPr>
        <w:wordWrap w:val="0"/>
        <w:snapToGrid w:val="0"/>
        <w:spacing w:beforeLines="0" w:afterLines="0" w:line="360" w:lineRule="auto"/>
        <w:ind w:firstLine="440" w:firstLineChars="200"/>
        <w:rPr>
          <w:rFonts w:hint="default" w:cs="仿宋"/>
          <w:sz w:val="22"/>
          <w:szCs w:val="22"/>
        </w:rPr>
      </w:pPr>
      <w:r>
        <w:rPr>
          <w:rFonts w:hint="default" w:cs="仿宋"/>
          <w:sz w:val="22"/>
          <w:szCs w:val="22"/>
        </w:rPr>
        <w:t>(</w:t>
      </w:r>
      <w:r>
        <w:rPr>
          <w:rFonts w:hint="eastAsia" w:eastAsia="宋体" w:cs="仿宋"/>
          <w:sz w:val="22"/>
          <w:szCs w:val="22"/>
        </w:rPr>
        <w:t>三)、若合同所涉及试剂耗材在陕西省阳光采购平台挂网执行网采最低价，未在陕西省阳光采购平台挂网执行市场最低价，否则本合同自动终止。</w:t>
      </w:r>
    </w:p>
    <w:p w14:paraId="1014FDF9">
      <w:pPr>
        <w:wordWrap w:val="0"/>
        <w:snapToGrid w:val="0"/>
        <w:spacing w:beforeLines="0" w:afterLines="0" w:line="360" w:lineRule="auto"/>
        <w:ind w:firstLine="440" w:firstLineChars="200"/>
        <w:rPr>
          <w:rFonts w:hint="default" w:cs="仿宋"/>
          <w:sz w:val="22"/>
          <w:szCs w:val="22"/>
        </w:rPr>
      </w:pPr>
      <w:r>
        <w:rPr>
          <w:rFonts w:hint="default" w:cs="仿宋"/>
          <w:sz w:val="22"/>
          <w:szCs w:val="22"/>
        </w:rPr>
        <w:t>(</w:t>
      </w:r>
      <w:r>
        <w:rPr>
          <w:rFonts w:hint="eastAsia" w:eastAsia="宋体" w:cs="仿宋"/>
          <w:sz w:val="22"/>
          <w:szCs w:val="22"/>
        </w:rPr>
        <w:t>四)、合同周期内，若由于乙方的原因导致合同涉及货物不能满足国家关于“两票制”等其他相关政策，则合同自动终止，并由乙方向甲方支付合同总价款的 10%作为违约赔偿。</w:t>
      </w:r>
    </w:p>
    <w:p w14:paraId="60623D5F">
      <w:pPr>
        <w:wordWrap w:val="0"/>
        <w:snapToGrid w:val="0"/>
        <w:spacing w:beforeLines="0" w:afterLines="0" w:line="360" w:lineRule="auto"/>
        <w:ind w:firstLine="440" w:firstLineChars="200"/>
        <w:rPr>
          <w:rFonts w:hint="default" w:cs="仿宋"/>
          <w:sz w:val="22"/>
          <w:szCs w:val="22"/>
        </w:rPr>
      </w:pPr>
      <w:r>
        <w:rPr>
          <w:rFonts w:hint="default" w:cs="仿宋"/>
          <w:sz w:val="22"/>
          <w:szCs w:val="22"/>
        </w:rPr>
        <w:t>(</w:t>
      </w:r>
      <w:r>
        <w:rPr>
          <w:rFonts w:hint="eastAsia" w:eastAsia="宋体" w:cs="仿宋"/>
          <w:sz w:val="22"/>
          <w:szCs w:val="22"/>
        </w:rPr>
        <w:t>五)、有下列情形之一的，甲方可以解除合同：1、因不可抗力致使不能实现合同目的；2、在履行期限届满之前，乙方明确表示或者以自己的行为表明不履行主要债务；3、乙方迟延履行主要债务，经催告后在合理</w:t>
      </w:r>
      <w:r>
        <w:rPr>
          <w:rFonts w:hint="eastAsia" w:eastAsia="宋体" w:cs="仿宋"/>
          <w:sz w:val="22"/>
          <w:szCs w:val="22"/>
          <w:u w:val="single"/>
        </w:rPr>
        <w:t>期限</w:t>
      </w:r>
      <w:r>
        <w:rPr>
          <w:rFonts w:hint="eastAsia" w:eastAsia="宋体" w:cs="仿宋"/>
          <w:sz w:val="22"/>
          <w:szCs w:val="22"/>
        </w:rPr>
        <w:t>内仍未履行；4、乙方迟延履行债务或者有其他</w:t>
      </w:r>
      <w:r>
        <w:rPr>
          <w:rFonts w:hint="eastAsia" w:eastAsia="宋体" w:cs="仿宋"/>
          <w:sz w:val="22"/>
          <w:szCs w:val="22"/>
          <w:u w:val="single"/>
        </w:rPr>
        <w:t>违约行为</w:t>
      </w:r>
      <w:r>
        <w:rPr>
          <w:rFonts w:hint="eastAsia" w:eastAsia="宋体" w:cs="仿宋"/>
          <w:sz w:val="22"/>
          <w:szCs w:val="22"/>
        </w:rPr>
        <w:t>致使不能实现合同目的。</w:t>
      </w:r>
    </w:p>
    <w:p w14:paraId="392BA46F">
      <w:pPr>
        <w:wordWrap w:val="0"/>
        <w:snapToGrid w:val="0"/>
        <w:spacing w:before="165" w:beforeLines="50" w:afterLines="0" w:line="360" w:lineRule="auto"/>
        <w:ind w:firstLine="442" w:firstLineChars="200"/>
        <w:rPr>
          <w:rFonts w:hint="eastAsia" w:ascii="Times New Roman" w:hAnsi="Times New Roman" w:eastAsia="宋体" w:cs="仿宋"/>
          <w:b/>
          <w:sz w:val="22"/>
          <w:szCs w:val="22"/>
        </w:rPr>
      </w:pPr>
      <w:r>
        <w:rPr>
          <w:rFonts w:hint="eastAsia" w:ascii="Times New Roman" w:hAnsi="Times New Roman" w:eastAsia="宋体" w:cs="仿宋"/>
          <w:b/>
          <w:sz w:val="22"/>
          <w:szCs w:val="22"/>
        </w:rPr>
        <w:t>十三、其他事项</w:t>
      </w:r>
    </w:p>
    <w:p w14:paraId="5744A581">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（一）鉴证方作为采购代理机构对合同进行确认。</w:t>
      </w:r>
    </w:p>
    <w:p w14:paraId="4146EBC4">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二）若因乙方提供产品质量引起的医疗纠纷及医疗事故，由乙方负全部经济责任和法律责任。如果造成损失，由乙方赔偿甲方的全部损失包括直接损失和间接损失。(包括给第三人（病人）造成人身损害、财产损失及其医院支出的相关费用等），该损失甲方如有未向乙方支付的未付款，甲方可以从未付款项中直接扣除。</w:t>
      </w:r>
    </w:p>
    <w:p w14:paraId="748D5C41">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（三）采购文件、响应文件、成交通知书、合同附件均成为合同不可分割的部分。</w:t>
      </w:r>
    </w:p>
    <w:p w14:paraId="5A117635">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（四）双方因医用卫生耗材质量问题发生争议，由中检所或省、市药品检验所检验，该检验结果甲乙双方都应接收。</w:t>
      </w:r>
    </w:p>
    <w:p w14:paraId="78CB9F1F">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（五）合同未尽事宜，由甲、乙双方协商，作为合同补充，与原合同具有同等法律效力。</w:t>
      </w:r>
    </w:p>
    <w:p w14:paraId="5B28E06D">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（六）合同一经签订，不得擅自变更、中止或终止合同。对确需变更、调整或中止、终止合同的，应按规定履行相应的手续。</w:t>
      </w:r>
    </w:p>
    <w:p w14:paraId="16B4B236">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（七）本合同按照中华人民共和国的现行法律进行解释。</w:t>
      </w:r>
    </w:p>
    <w:p w14:paraId="299CC4B8">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（八）合同需加盖骑缝章。</w:t>
      </w:r>
    </w:p>
    <w:p w14:paraId="65C4153E">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（九）合同所涉及通知的形式：包含书面通知，电话，短信，微信，邮箱等由双方联系人确定。</w:t>
      </w:r>
    </w:p>
    <w:p w14:paraId="1F6294A6">
      <w:pPr>
        <w:wordWrap w:val="0"/>
        <w:snapToGrid w:val="0"/>
        <w:spacing w:beforeLines="0" w:afterLines="0" w:line="360" w:lineRule="auto"/>
        <w:ind w:firstLine="440" w:firstLineChars="200"/>
        <w:rPr>
          <w:rFonts w:hint="default" w:cs="仿宋"/>
          <w:sz w:val="22"/>
          <w:szCs w:val="22"/>
        </w:rPr>
      </w:pPr>
      <w:r>
        <w:rPr>
          <w:rFonts w:hint="eastAsia" w:eastAsia="宋体" w:cs="仿宋"/>
          <w:sz w:val="22"/>
          <w:szCs w:val="22"/>
        </w:rPr>
        <w:t>（十）合同期限：合同有效期为一年，在合同有效期内，如果甲方按照合同项采购货物，当采购金额达到</w:t>
      </w:r>
      <w:r>
        <w:rPr>
          <w:rFonts w:hint="default" w:cs="仿宋"/>
          <w:sz w:val="22"/>
          <w:szCs w:val="22"/>
          <w:u w:val="single"/>
        </w:rPr>
        <w:t xml:space="preserve">        </w:t>
      </w:r>
      <w:r>
        <w:rPr>
          <w:rFonts w:hint="eastAsia" w:eastAsia="宋体" w:cs="仿宋"/>
          <w:sz w:val="22"/>
          <w:szCs w:val="22"/>
        </w:rPr>
        <w:t>元后，合同自动终止。</w:t>
      </w:r>
    </w:p>
    <w:p w14:paraId="641741E9">
      <w:pPr>
        <w:wordWrap w:val="0"/>
        <w:snapToGrid w:val="0"/>
        <w:spacing w:beforeLines="0" w:afterLines="0" w:line="360" w:lineRule="auto"/>
        <w:ind w:firstLine="440" w:firstLineChars="200"/>
        <w:rPr>
          <w:rFonts w:hint="default" w:cs="仿宋"/>
          <w:sz w:val="22"/>
          <w:szCs w:val="22"/>
        </w:rPr>
      </w:pPr>
    </w:p>
    <w:p w14:paraId="10B201B0">
      <w:pPr>
        <w:wordWrap w:val="0"/>
        <w:snapToGrid w:val="0"/>
        <w:spacing w:beforeLines="0" w:afterLines="0" w:line="360" w:lineRule="auto"/>
        <w:ind w:firstLine="442" w:firstLineChars="200"/>
        <w:rPr>
          <w:rFonts w:hint="default" w:cs="仿宋"/>
          <w:b/>
          <w:sz w:val="22"/>
          <w:szCs w:val="22"/>
        </w:rPr>
      </w:pPr>
      <w:r>
        <w:rPr>
          <w:rFonts w:hint="eastAsia" w:eastAsia="宋体" w:cs="仿宋"/>
          <w:b/>
          <w:sz w:val="22"/>
          <w:szCs w:val="22"/>
        </w:rPr>
        <w:t>甲  方（法人公章）                          乙  方（法人公章）</w:t>
      </w:r>
    </w:p>
    <w:p w14:paraId="5A83BB44">
      <w:pPr>
        <w:wordWrap w:val="0"/>
        <w:snapToGrid w:val="0"/>
        <w:spacing w:beforeLines="0" w:afterLines="0" w:line="360" w:lineRule="auto"/>
        <w:ind w:firstLine="442" w:firstLineChars="200"/>
        <w:rPr>
          <w:rFonts w:hint="default" w:cs="仿宋"/>
          <w:b/>
          <w:sz w:val="22"/>
          <w:szCs w:val="22"/>
        </w:rPr>
      </w:pPr>
    </w:p>
    <w:p w14:paraId="5E564393">
      <w:pPr>
        <w:wordWrap w:val="0"/>
        <w:snapToGrid w:val="0"/>
        <w:spacing w:beforeLines="0" w:afterLines="0" w:line="360" w:lineRule="auto"/>
        <w:ind w:firstLine="442" w:firstLineChars="200"/>
        <w:rPr>
          <w:rFonts w:hint="default" w:cs="仿宋"/>
          <w:b/>
          <w:sz w:val="22"/>
          <w:szCs w:val="22"/>
        </w:rPr>
      </w:pPr>
    </w:p>
    <w:p w14:paraId="21FB7D41">
      <w:pPr>
        <w:wordWrap w:val="0"/>
        <w:snapToGrid w:val="0"/>
        <w:spacing w:beforeLines="0" w:afterLines="0" w:line="360" w:lineRule="auto"/>
        <w:ind w:firstLine="442" w:firstLineChars="200"/>
        <w:rPr>
          <w:rFonts w:hint="default" w:cs="仿宋"/>
          <w:b/>
          <w:sz w:val="22"/>
          <w:szCs w:val="22"/>
        </w:rPr>
      </w:pPr>
      <w:r>
        <w:rPr>
          <w:rFonts w:hint="eastAsia" w:eastAsia="宋体" w:cs="仿宋"/>
          <w:b/>
          <w:sz w:val="22"/>
          <w:szCs w:val="22"/>
        </w:rPr>
        <w:t xml:space="preserve">单位名称：西安市妇幼保健院           </w:t>
      </w:r>
      <w:r>
        <w:rPr>
          <w:rFonts w:hint="default" w:cs="仿宋"/>
          <w:b/>
          <w:sz w:val="22"/>
          <w:szCs w:val="22"/>
        </w:rPr>
        <w:t xml:space="preserve">       </w:t>
      </w:r>
      <w:r>
        <w:rPr>
          <w:rFonts w:hint="eastAsia" w:eastAsia="宋体" w:cs="仿宋"/>
          <w:b/>
          <w:sz w:val="22"/>
          <w:szCs w:val="22"/>
        </w:rPr>
        <w:t>单位名称：</w:t>
      </w:r>
    </w:p>
    <w:p w14:paraId="57DB6789">
      <w:pPr>
        <w:wordWrap w:val="0"/>
        <w:snapToGrid w:val="0"/>
        <w:spacing w:beforeLines="0" w:afterLines="0" w:line="360" w:lineRule="auto"/>
        <w:ind w:firstLine="442" w:firstLineChars="200"/>
        <w:rPr>
          <w:rFonts w:hint="default" w:cs="仿宋"/>
          <w:b/>
          <w:sz w:val="22"/>
          <w:szCs w:val="22"/>
        </w:rPr>
      </w:pPr>
      <w:r>
        <w:rPr>
          <w:rFonts w:hint="eastAsia" w:eastAsia="宋体" w:cs="仿宋"/>
          <w:b/>
          <w:sz w:val="22"/>
          <w:szCs w:val="22"/>
        </w:rPr>
        <w:t>地  址：西安市莲湖区西大街 73 号            地  址：</w:t>
      </w:r>
    </w:p>
    <w:p w14:paraId="1A495526">
      <w:pPr>
        <w:wordWrap w:val="0"/>
        <w:snapToGrid w:val="0"/>
        <w:spacing w:beforeLines="0" w:afterLines="0" w:line="360" w:lineRule="auto"/>
        <w:ind w:firstLine="442" w:firstLineChars="200"/>
        <w:rPr>
          <w:rFonts w:hint="default" w:cs="仿宋"/>
          <w:b/>
          <w:sz w:val="22"/>
          <w:szCs w:val="22"/>
        </w:rPr>
      </w:pPr>
      <w:r>
        <w:rPr>
          <w:rFonts w:hint="eastAsia" w:eastAsia="宋体" w:cs="仿宋"/>
          <w:b/>
          <w:sz w:val="22"/>
          <w:szCs w:val="22"/>
        </w:rPr>
        <w:t>经办人：                                    经办人：</w:t>
      </w:r>
    </w:p>
    <w:p w14:paraId="7F92F3D8">
      <w:pPr>
        <w:wordWrap w:val="0"/>
        <w:snapToGrid w:val="0"/>
        <w:spacing w:beforeLines="0" w:afterLines="0" w:line="360" w:lineRule="auto"/>
        <w:ind w:firstLine="442" w:firstLineChars="200"/>
        <w:rPr>
          <w:rFonts w:hint="default" w:cs="仿宋"/>
          <w:b/>
          <w:sz w:val="22"/>
          <w:szCs w:val="22"/>
        </w:rPr>
      </w:pPr>
    </w:p>
    <w:p w14:paraId="0364E70F">
      <w:pPr>
        <w:wordWrap w:val="0"/>
        <w:snapToGrid w:val="0"/>
        <w:spacing w:beforeLines="0" w:afterLines="0" w:line="360" w:lineRule="auto"/>
        <w:ind w:firstLine="442" w:firstLineChars="200"/>
        <w:rPr>
          <w:rFonts w:hint="default" w:cs="仿宋"/>
          <w:b/>
          <w:sz w:val="22"/>
          <w:szCs w:val="22"/>
        </w:rPr>
      </w:pPr>
    </w:p>
    <w:p w14:paraId="7626F901">
      <w:pPr>
        <w:wordWrap w:val="0"/>
        <w:snapToGrid w:val="0"/>
        <w:spacing w:beforeLines="0" w:afterLines="0" w:line="360" w:lineRule="auto"/>
        <w:ind w:firstLine="442" w:firstLineChars="200"/>
        <w:rPr>
          <w:rFonts w:hint="default" w:cs="仿宋"/>
          <w:b/>
          <w:sz w:val="22"/>
          <w:szCs w:val="22"/>
        </w:rPr>
      </w:pPr>
      <w:r>
        <w:rPr>
          <w:rFonts w:hint="eastAsia" w:eastAsia="宋体" w:cs="仿宋"/>
          <w:b/>
          <w:sz w:val="22"/>
          <w:szCs w:val="22"/>
        </w:rPr>
        <w:t>主管院长：</w:t>
      </w:r>
    </w:p>
    <w:p w14:paraId="4839487A">
      <w:pPr>
        <w:wordWrap w:val="0"/>
        <w:snapToGrid w:val="0"/>
        <w:spacing w:beforeLines="0" w:afterLines="0" w:line="360" w:lineRule="auto"/>
        <w:ind w:firstLine="442" w:firstLineChars="200"/>
        <w:rPr>
          <w:rFonts w:hint="default" w:cs="仿宋"/>
          <w:b/>
          <w:sz w:val="22"/>
          <w:szCs w:val="22"/>
        </w:rPr>
      </w:pPr>
    </w:p>
    <w:p w14:paraId="0E7C15AE">
      <w:pPr>
        <w:wordWrap w:val="0"/>
        <w:snapToGrid w:val="0"/>
        <w:spacing w:beforeLines="0" w:afterLines="0" w:line="360" w:lineRule="auto"/>
        <w:ind w:firstLine="442" w:firstLineChars="200"/>
        <w:rPr>
          <w:rFonts w:hint="default" w:cs="仿宋"/>
          <w:b/>
          <w:sz w:val="22"/>
          <w:szCs w:val="22"/>
        </w:rPr>
      </w:pPr>
    </w:p>
    <w:p w14:paraId="21FC7E05">
      <w:pPr>
        <w:wordWrap w:val="0"/>
        <w:snapToGrid w:val="0"/>
        <w:spacing w:beforeLines="0" w:afterLines="0" w:line="360" w:lineRule="auto"/>
        <w:ind w:firstLine="442" w:firstLineChars="200"/>
        <w:rPr>
          <w:rFonts w:hint="default" w:cs="仿宋"/>
          <w:b/>
          <w:sz w:val="22"/>
          <w:szCs w:val="22"/>
        </w:rPr>
      </w:pPr>
      <w:r>
        <w:rPr>
          <w:rFonts w:hint="eastAsia" w:eastAsia="宋体" w:cs="仿宋"/>
          <w:b/>
          <w:sz w:val="22"/>
          <w:szCs w:val="22"/>
        </w:rPr>
        <w:t xml:space="preserve">法定代表人（签字或盖章）：           </w:t>
      </w:r>
      <w:r>
        <w:rPr>
          <w:rFonts w:hint="default" w:cs="仿宋"/>
          <w:b/>
          <w:sz w:val="22"/>
          <w:szCs w:val="22"/>
        </w:rPr>
        <w:t xml:space="preserve">       </w:t>
      </w:r>
      <w:r>
        <w:rPr>
          <w:rFonts w:hint="eastAsia" w:eastAsia="宋体" w:cs="仿宋"/>
          <w:b/>
          <w:sz w:val="22"/>
          <w:szCs w:val="22"/>
        </w:rPr>
        <w:t>法定代表人（签字或盖章）：</w:t>
      </w:r>
    </w:p>
    <w:p w14:paraId="55169271">
      <w:pPr>
        <w:wordWrap w:val="0"/>
        <w:snapToGrid w:val="0"/>
        <w:spacing w:beforeLines="0" w:afterLines="0" w:line="360" w:lineRule="auto"/>
        <w:ind w:firstLine="5279" w:firstLineChars="2390"/>
        <w:rPr>
          <w:rFonts w:hint="default" w:cs="仿宋"/>
          <w:b/>
          <w:sz w:val="22"/>
          <w:szCs w:val="22"/>
        </w:rPr>
      </w:pPr>
      <w:r>
        <w:rPr>
          <w:rFonts w:hint="eastAsia" w:eastAsia="宋体" w:cs="仿宋"/>
          <w:b/>
          <w:sz w:val="22"/>
          <w:szCs w:val="22"/>
        </w:rPr>
        <w:t>开户银行：</w:t>
      </w:r>
    </w:p>
    <w:p w14:paraId="71285E2D">
      <w:pPr>
        <w:wordWrap w:val="0"/>
        <w:snapToGrid w:val="0"/>
        <w:spacing w:beforeLines="0" w:afterLines="0" w:line="360" w:lineRule="auto"/>
        <w:ind w:firstLine="5279" w:firstLineChars="2390"/>
        <w:rPr>
          <w:rFonts w:hint="default" w:cs="仿宋"/>
          <w:b/>
          <w:sz w:val="22"/>
          <w:szCs w:val="22"/>
        </w:rPr>
      </w:pPr>
      <w:r>
        <w:rPr>
          <w:rFonts w:hint="eastAsia" w:eastAsia="宋体" w:cs="仿宋"/>
          <w:b/>
          <w:sz w:val="22"/>
          <w:szCs w:val="22"/>
        </w:rPr>
        <w:t>帐  号：</w:t>
      </w:r>
    </w:p>
    <w:p w14:paraId="078C831C">
      <w:pPr>
        <w:wordWrap w:val="0"/>
        <w:snapToGrid w:val="0"/>
        <w:spacing w:beforeLines="0" w:afterLines="0" w:line="360" w:lineRule="auto"/>
        <w:ind w:firstLine="442" w:firstLineChars="200"/>
        <w:rPr>
          <w:rFonts w:hint="default" w:cs="仿宋"/>
          <w:b/>
          <w:sz w:val="22"/>
          <w:szCs w:val="22"/>
        </w:rPr>
      </w:pPr>
      <w:r>
        <w:rPr>
          <w:rFonts w:hint="eastAsia" w:eastAsia="宋体" w:cs="仿宋"/>
          <w:b/>
          <w:sz w:val="22"/>
          <w:szCs w:val="22"/>
        </w:rPr>
        <w:t>联系电话：029-84696321                      联系电话：</w:t>
      </w:r>
    </w:p>
    <w:p w14:paraId="78FD5016">
      <w:pPr>
        <w:wordWrap w:val="0"/>
        <w:snapToGrid w:val="0"/>
        <w:spacing w:beforeLines="0" w:afterLines="0" w:line="360" w:lineRule="auto"/>
        <w:ind w:firstLine="442" w:firstLineChars="200"/>
        <w:rPr>
          <w:rFonts w:hint="default" w:cs="仿宋"/>
          <w:b/>
          <w:sz w:val="22"/>
          <w:szCs w:val="22"/>
        </w:rPr>
      </w:pPr>
      <w:r>
        <w:rPr>
          <w:rFonts w:hint="eastAsia" w:eastAsia="宋体" w:cs="仿宋"/>
          <w:b/>
          <w:sz w:val="22"/>
          <w:szCs w:val="22"/>
        </w:rPr>
        <w:t>签订日期：</w:t>
      </w:r>
      <w:r>
        <w:rPr>
          <w:rFonts w:hint="default" w:cs="仿宋"/>
          <w:b/>
          <w:sz w:val="22"/>
          <w:szCs w:val="22"/>
        </w:rPr>
        <w:t>2025</w:t>
      </w:r>
      <w:r>
        <w:rPr>
          <w:rFonts w:hint="eastAsia" w:eastAsia="宋体" w:cs="仿宋"/>
          <w:b/>
          <w:sz w:val="22"/>
          <w:szCs w:val="22"/>
        </w:rPr>
        <w:t>年</w:t>
      </w:r>
      <w:r>
        <w:rPr>
          <w:rFonts w:hint="default" w:cs="仿宋"/>
          <w:b/>
          <w:sz w:val="22"/>
          <w:szCs w:val="22"/>
        </w:rPr>
        <w:t xml:space="preserve">    </w:t>
      </w:r>
      <w:r>
        <w:rPr>
          <w:rFonts w:hint="eastAsia" w:eastAsia="宋体" w:cs="仿宋"/>
          <w:b/>
          <w:sz w:val="22"/>
          <w:szCs w:val="22"/>
        </w:rPr>
        <w:t>月      日             签订日期：</w:t>
      </w:r>
      <w:r>
        <w:rPr>
          <w:rFonts w:hint="default" w:cs="仿宋"/>
          <w:b/>
          <w:sz w:val="22"/>
          <w:szCs w:val="22"/>
        </w:rPr>
        <w:t>2025</w:t>
      </w:r>
      <w:r>
        <w:rPr>
          <w:rFonts w:hint="eastAsia" w:eastAsia="宋体" w:cs="仿宋"/>
          <w:b/>
          <w:sz w:val="22"/>
          <w:szCs w:val="22"/>
        </w:rPr>
        <w:t>年</w:t>
      </w:r>
      <w:r>
        <w:rPr>
          <w:rFonts w:hint="default" w:cs="仿宋"/>
          <w:b/>
          <w:sz w:val="22"/>
          <w:szCs w:val="22"/>
        </w:rPr>
        <w:t xml:space="preserve">  </w:t>
      </w:r>
      <w:r>
        <w:rPr>
          <w:rFonts w:hint="eastAsia" w:eastAsia="宋体" w:cs="仿宋"/>
          <w:b/>
          <w:sz w:val="22"/>
          <w:szCs w:val="22"/>
        </w:rPr>
        <w:t>月   日</w:t>
      </w:r>
    </w:p>
    <w:p w14:paraId="0976BE30">
      <w:pPr>
        <w:wordWrap w:val="0"/>
        <w:snapToGrid w:val="0"/>
        <w:spacing w:beforeLines="0" w:afterLines="0" w:line="360" w:lineRule="auto"/>
        <w:ind w:firstLine="442" w:firstLineChars="200"/>
        <w:rPr>
          <w:rFonts w:hint="default" w:cs="仿宋"/>
          <w:b/>
          <w:sz w:val="22"/>
          <w:szCs w:val="22"/>
        </w:rPr>
      </w:pPr>
    </w:p>
    <w:p w14:paraId="6B20A6CA">
      <w:pPr>
        <w:wordWrap w:val="0"/>
        <w:snapToGrid w:val="0"/>
        <w:spacing w:beforeLines="0" w:afterLines="0" w:line="360" w:lineRule="auto"/>
        <w:ind w:firstLine="442" w:firstLineChars="200"/>
        <w:rPr>
          <w:rFonts w:hint="default" w:cs="仿宋"/>
          <w:b/>
          <w:sz w:val="22"/>
          <w:szCs w:val="22"/>
        </w:rPr>
      </w:pPr>
    </w:p>
    <w:p w14:paraId="4B896452">
      <w:pPr>
        <w:wordWrap w:val="0"/>
        <w:snapToGrid w:val="0"/>
        <w:spacing w:beforeLines="0" w:afterLines="0" w:line="360" w:lineRule="auto"/>
        <w:ind w:firstLine="442" w:firstLineChars="200"/>
        <w:rPr>
          <w:rFonts w:hint="default" w:cs="仿宋"/>
          <w:b/>
          <w:sz w:val="22"/>
          <w:szCs w:val="22"/>
        </w:rPr>
      </w:pPr>
      <w:r>
        <w:rPr>
          <w:rFonts w:hint="eastAsia" w:eastAsia="宋体" w:cs="仿宋"/>
          <w:b/>
          <w:sz w:val="22"/>
          <w:szCs w:val="22"/>
        </w:rPr>
        <w:t>鉴证方（业务专用章）</w:t>
      </w:r>
    </w:p>
    <w:p w14:paraId="3D696414">
      <w:pPr>
        <w:wordWrap w:val="0"/>
        <w:snapToGrid w:val="0"/>
        <w:spacing w:beforeLines="0" w:afterLines="0" w:line="360" w:lineRule="auto"/>
        <w:ind w:firstLine="442" w:firstLineChars="200"/>
        <w:rPr>
          <w:rFonts w:hint="default" w:cs="仿宋"/>
          <w:b/>
          <w:sz w:val="22"/>
          <w:szCs w:val="22"/>
          <w:highlight w:val="yellow"/>
        </w:rPr>
      </w:pPr>
    </w:p>
    <w:p w14:paraId="640BA1D7">
      <w:pPr>
        <w:wordWrap w:val="0"/>
        <w:snapToGrid w:val="0"/>
        <w:spacing w:beforeLines="0" w:afterLines="0" w:line="360" w:lineRule="auto"/>
        <w:ind w:firstLine="442" w:firstLineChars="200"/>
        <w:rPr>
          <w:rFonts w:hint="default" w:cs="仿宋"/>
          <w:b/>
          <w:sz w:val="22"/>
          <w:szCs w:val="22"/>
          <w:highlight w:val="yellow"/>
        </w:rPr>
      </w:pPr>
    </w:p>
    <w:p w14:paraId="04413EDB">
      <w:pPr>
        <w:wordWrap w:val="0"/>
        <w:snapToGrid w:val="0"/>
        <w:spacing w:beforeLines="0" w:afterLines="0" w:line="360" w:lineRule="auto"/>
        <w:ind w:firstLine="442" w:firstLineChars="200"/>
        <w:rPr>
          <w:rFonts w:hint="eastAsia" w:ascii="Times New Roman" w:hAnsi="Times New Roman" w:eastAsia="宋体" w:cs="仿宋"/>
          <w:b/>
          <w:sz w:val="22"/>
          <w:szCs w:val="22"/>
        </w:rPr>
      </w:pPr>
      <w:r>
        <w:rPr>
          <w:rFonts w:hint="eastAsia" w:eastAsia="宋体" w:cs="仿宋"/>
          <w:b/>
          <w:sz w:val="22"/>
          <w:szCs w:val="22"/>
        </w:rPr>
        <w:t>单位名称：陕西盛鑫药械招标有限公司</w:t>
      </w:r>
    </w:p>
    <w:p w14:paraId="316FB2A0">
      <w:pPr>
        <w:wordWrap w:val="0"/>
        <w:snapToGrid w:val="0"/>
        <w:spacing w:beforeLines="0" w:afterLines="0" w:line="360" w:lineRule="auto"/>
        <w:ind w:firstLine="442" w:firstLineChars="200"/>
        <w:rPr>
          <w:rFonts w:hint="eastAsia" w:ascii="Times New Roman" w:hAnsi="Times New Roman" w:eastAsia="宋体" w:cs="仿宋"/>
          <w:b/>
          <w:sz w:val="22"/>
          <w:szCs w:val="22"/>
        </w:rPr>
      </w:pPr>
      <w:r>
        <w:rPr>
          <w:rFonts w:hint="eastAsia" w:eastAsia="宋体" w:cs="仿宋"/>
          <w:b/>
          <w:sz w:val="22"/>
          <w:szCs w:val="22"/>
        </w:rPr>
        <w:t>地  址：西安市雁塔区南二环西段88号老三届世纪星大厦28层K座</w:t>
      </w:r>
    </w:p>
    <w:p w14:paraId="0FC4365E">
      <w:pPr>
        <w:wordWrap w:val="0"/>
        <w:snapToGrid w:val="0"/>
        <w:spacing w:beforeLines="0" w:afterLines="0" w:line="360" w:lineRule="auto"/>
        <w:ind w:firstLine="442" w:firstLineChars="200"/>
        <w:rPr>
          <w:rFonts w:hint="default" w:cs="仿宋"/>
          <w:b/>
          <w:sz w:val="22"/>
          <w:szCs w:val="22"/>
        </w:rPr>
      </w:pPr>
      <w:r>
        <w:rPr>
          <w:rFonts w:hint="eastAsia" w:eastAsia="宋体" w:cs="仿宋"/>
          <w:b/>
          <w:sz w:val="22"/>
          <w:szCs w:val="22"/>
        </w:rPr>
        <w:t>代理人：</w:t>
      </w:r>
    </w:p>
    <w:p w14:paraId="582C5042">
      <w:pPr>
        <w:wordWrap w:val="0"/>
        <w:snapToGrid w:val="0"/>
        <w:spacing w:beforeLines="0" w:afterLines="0" w:line="360" w:lineRule="auto"/>
        <w:ind w:firstLine="442" w:firstLineChars="200"/>
        <w:rPr>
          <w:rFonts w:hint="default" w:ascii="Times New Roman" w:hAnsi="Times New Roman" w:eastAsia="宋体" w:cs="仿宋"/>
          <w:b/>
          <w:sz w:val="22"/>
          <w:szCs w:val="22"/>
        </w:rPr>
      </w:pPr>
      <w:r>
        <w:rPr>
          <w:rFonts w:hint="eastAsia" w:eastAsia="宋体" w:cs="仿宋"/>
          <w:b/>
          <w:sz w:val="22"/>
          <w:szCs w:val="22"/>
        </w:rPr>
        <w:t>联系电话：029</w:t>
      </w:r>
      <w:r>
        <w:rPr>
          <w:rFonts w:hint="default" w:cs="仿宋"/>
          <w:b/>
          <w:sz w:val="22"/>
          <w:szCs w:val="22"/>
        </w:rPr>
        <w:t>-81873383</w:t>
      </w:r>
    </w:p>
    <w:p w14:paraId="27D32082">
      <w:pPr>
        <w:wordWrap w:val="0"/>
        <w:snapToGrid w:val="0"/>
        <w:spacing w:beforeLines="0" w:afterLines="0" w:line="360" w:lineRule="auto"/>
        <w:ind w:firstLine="442" w:firstLineChars="200"/>
      </w:pPr>
      <w:r>
        <w:rPr>
          <w:rFonts w:hint="eastAsia" w:eastAsia="宋体" w:cs="仿宋"/>
          <w:b/>
          <w:sz w:val="22"/>
          <w:szCs w:val="22"/>
        </w:rPr>
        <w:t xml:space="preserve">签订日期：   年    月   </w:t>
      </w:r>
    </w:p>
    <w:sectPr>
      <w:pgSz w:w="11906" w:h="16838"/>
      <w:pgMar w:top="1440" w:right="1417" w:bottom="1440" w:left="141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6E3488"/>
    <w:multiLevelType w:val="multilevel"/>
    <w:tmpl w:val="8C6E3488"/>
    <w:lvl w:ilvl="0" w:tentative="0">
      <w:start w:val="1"/>
      <w:numFmt w:val="chineseCountingThousand"/>
      <w:lvlText w:val="%1、"/>
      <w:lvlJc w:val="left"/>
      <w:pPr>
        <w:ind w:left="0" w:firstLine="0"/>
      </w:pPr>
      <w:rPr>
        <w:rFonts w:hint="eastAsia"/>
      </w:rPr>
    </w:lvl>
    <w:lvl w:ilvl="1" w:tentative="0">
      <w:start w:val="1"/>
      <w:numFmt w:val="decimal"/>
      <w:isLgl/>
      <w:lvlText w:val="%1.%2"/>
      <w:lvlJc w:val="left"/>
      <w:pPr>
        <w:ind w:left="0" w:firstLine="0"/>
      </w:pPr>
      <w:rPr>
        <w:rFonts w:hint="eastAsia"/>
      </w:rPr>
    </w:lvl>
    <w:lvl w:ilvl="2" w:tentative="0">
      <w:start w:val="1"/>
      <w:numFmt w:val="decimal"/>
      <w:isLgl/>
      <w:lvlText w:val="%1.%2.%3"/>
      <w:lvlJc w:val="left"/>
      <w:pPr>
        <w:ind w:left="0" w:firstLine="0"/>
      </w:pPr>
      <w:rPr>
        <w:rFonts w:hint="eastAsia"/>
      </w:rPr>
    </w:lvl>
    <w:lvl w:ilvl="3" w:tentative="0">
      <w:start w:val="1"/>
      <w:numFmt w:val="decimal"/>
      <w:isLgl/>
      <w:lvlText w:val="%1.%2.%3.%4"/>
      <w:lvlJc w:val="left"/>
      <w:pPr>
        <w:ind w:left="0" w:firstLine="0"/>
      </w:pPr>
      <w:rPr>
        <w:rFonts w:hint="eastAsia"/>
      </w:rPr>
    </w:lvl>
    <w:lvl w:ilvl="4" w:tentative="0">
      <w:start w:val="1"/>
      <w:numFmt w:val="upperLetter"/>
      <w:pStyle w:val="6"/>
      <w:lvlText w:val="%5、"/>
      <w:lvlJc w:val="left"/>
      <w:pPr>
        <w:ind w:left="850" w:leftChars="0" w:hanging="850" w:firstLineChars="0"/>
      </w:pPr>
      <w:rPr>
        <w:rFonts w:hint="eastAsia" w:ascii="宋体" w:hAnsi="宋体" w:eastAsia="宋体" w:cs="宋体"/>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DDCFAF4B"/>
    <w:multiLevelType w:val="multilevel"/>
    <w:tmpl w:val="DDCFAF4B"/>
    <w:lvl w:ilvl="0" w:tentative="0">
      <w:start w:val="1"/>
      <w:numFmt w:val="chineseCounting"/>
      <w:isLgl/>
      <w:lvlText w:val="%1、"/>
      <w:lvlJc w:val="left"/>
      <w:pPr>
        <w:ind w:left="425" w:hanging="425"/>
      </w:pPr>
      <w:rPr>
        <w:rFonts w:hint="eastAsia" w:ascii="宋体" w:hAnsi="宋体" w:eastAsia="宋体" w:cs="宋体"/>
        <w:b/>
        <w:sz w:val="28"/>
        <w:szCs w:val="28"/>
      </w:rPr>
    </w:lvl>
    <w:lvl w:ilvl="1" w:tentative="0">
      <w:start w:val="1"/>
      <w:numFmt w:val="decimal"/>
      <w:lvlText w:val="%2、"/>
      <w:lvlJc w:val="left"/>
      <w:pPr>
        <w:ind w:left="567" w:hanging="567"/>
      </w:pPr>
      <w:rPr>
        <w:rFonts w:hint="eastAsia" w:ascii="黑体" w:hAnsi="黑体" w:eastAsia="黑体" w:cs="黑体"/>
        <w:b/>
        <w:bCs/>
        <w:sz w:val="28"/>
        <w:szCs w:val="32"/>
      </w:rPr>
    </w:lvl>
    <w:lvl w:ilvl="2" w:tentative="0">
      <w:start w:val="1"/>
      <w:numFmt w:val="decimal"/>
      <w:pStyle w:val="4"/>
      <w:isLgl/>
      <w:lvlText w:val="%2.%3、"/>
      <w:lvlJc w:val="left"/>
      <w:pPr>
        <w:ind w:left="709" w:hanging="709"/>
      </w:pPr>
      <w:rPr>
        <w:rFonts w:hint="default" w:ascii="宋体" w:hAnsi="宋体" w:eastAsia="宋体" w:cs="宋体"/>
        <w:sz w:val="28"/>
        <w:szCs w:val="28"/>
      </w:rPr>
    </w:lvl>
    <w:lvl w:ilvl="3" w:tentative="0">
      <w:start w:val="1"/>
      <w:numFmt w:val="decimal"/>
      <w:isLgl/>
      <w:lvlText w:val="%2.%3.%4."/>
      <w:lvlJc w:val="left"/>
      <w:pPr>
        <w:ind w:left="850" w:hanging="850"/>
      </w:pPr>
      <w:rPr>
        <w:rFonts w:hint="default" w:ascii="宋体" w:hAnsi="宋体" w:eastAsia="宋体" w:cs="宋体"/>
        <w:sz w:val="24"/>
      </w:rPr>
    </w:lvl>
    <w:lvl w:ilvl="4" w:tentative="0">
      <w:start w:val="1"/>
      <w:numFmt w:val="decimal"/>
      <w:lvlText w:val="%1.%2.%3.%4.%5."/>
      <w:lvlJc w:val="left"/>
      <w:pPr>
        <w:ind w:left="991" w:hanging="991"/>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5" w:hanging="1275"/>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8" w:hanging="1558"/>
      </w:pPr>
      <w:rPr>
        <w:rFonts w:hint="eastAsia"/>
      </w:rPr>
    </w:lvl>
  </w:abstractNum>
  <w:abstractNum w:abstractNumId="2">
    <w:nsid w:val="EB24F69F"/>
    <w:multiLevelType w:val="multilevel"/>
    <w:tmpl w:val="EB24F69F"/>
    <w:lvl w:ilvl="0" w:tentative="0">
      <w:start w:val="1"/>
      <w:numFmt w:val="chineseCounting"/>
      <w:pStyle w:val="2"/>
      <w:suff w:val="nothing"/>
      <w:lvlText w:val="第%1部分"/>
      <w:lvlJc w:val="left"/>
      <w:pPr>
        <w:tabs>
          <w:tab w:val="left" w:pos="0"/>
        </w:tabs>
        <w:ind w:left="0" w:firstLine="402"/>
      </w:pPr>
      <w:rPr>
        <w:rFonts w:hint="eastAsia" w:ascii="宋体" w:hAnsi="宋体" w:eastAsia="宋体" w:cs="宋体"/>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3">
    <w:nsid w:val="44E72930"/>
    <w:multiLevelType w:val="multilevel"/>
    <w:tmpl w:val="44E72930"/>
    <w:lvl w:ilvl="0" w:tentative="0">
      <w:start w:val="1"/>
      <w:numFmt w:val="decimal"/>
      <w:isLgl/>
      <w:suff w:val="nothing"/>
      <w:lvlText w:val="%1."/>
      <w:lvlJc w:val="left"/>
      <w:pPr>
        <w:tabs>
          <w:tab w:val="left" w:pos="0"/>
        </w:tabs>
        <w:ind w:left="432" w:hanging="432"/>
      </w:pPr>
      <w:rPr>
        <w:rFonts w:hint="default" w:ascii="宋体" w:hAnsi="宋体" w:eastAsia="宋体" w:cs="宋体"/>
        <w:b/>
        <w:sz w:val="28"/>
      </w:rPr>
    </w:lvl>
    <w:lvl w:ilvl="1" w:tentative="0">
      <w:start w:val="1"/>
      <w:numFmt w:val="decimal"/>
      <w:pStyle w:val="5"/>
      <w:isLgl/>
      <w:lvlText w:val="%1.%2."/>
      <w:lvlJc w:val="left"/>
      <w:pPr>
        <w:tabs>
          <w:tab w:val="left" w:pos="420"/>
        </w:tabs>
        <w:ind w:left="575" w:hanging="575"/>
      </w:pPr>
      <w:rPr>
        <w:rFonts w:hint="default" w:ascii="宋体" w:hAnsi="宋体" w:eastAsia="宋体" w:cs="宋体"/>
        <w:sz w:val="2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317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E56A1"/>
    <w:rsid w:val="00F23FEE"/>
    <w:rsid w:val="05471673"/>
    <w:rsid w:val="05EF523E"/>
    <w:rsid w:val="063647C4"/>
    <w:rsid w:val="065D3220"/>
    <w:rsid w:val="09846B73"/>
    <w:rsid w:val="0A5815EB"/>
    <w:rsid w:val="0BAC48E4"/>
    <w:rsid w:val="0C5F0637"/>
    <w:rsid w:val="0FDA00CC"/>
    <w:rsid w:val="1562776B"/>
    <w:rsid w:val="191C63D0"/>
    <w:rsid w:val="197F7673"/>
    <w:rsid w:val="19C51C64"/>
    <w:rsid w:val="1F4036B9"/>
    <w:rsid w:val="237B71AE"/>
    <w:rsid w:val="238C00E7"/>
    <w:rsid w:val="23F9157E"/>
    <w:rsid w:val="24CE027D"/>
    <w:rsid w:val="28645B0B"/>
    <w:rsid w:val="2AAD392A"/>
    <w:rsid w:val="2D694F12"/>
    <w:rsid w:val="2F78318D"/>
    <w:rsid w:val="31C179FB"/>
    <w:rsid w:val="376346A2"/>
    <w:rsid w:val="39397EF6"/>
    <w:rsid w:val="3D4A51A3"/>
    <w:rsid w:val="3DF22E67"/>
    <w:rsid w:val="410820E4"/>
    <w:rsid w:val="44F87590"/>
    <w:rsid w:val="455538D4"/>
    <w:rsid w:val="471145DA"/>
    <w:rsid w:val="488D3FC9"/>
    <w:rsid w:val="4A694FE4"/>
    <w:rsid w:val="50741EE8"/>
    <w:rsid w:val="532F4C11"/>
    <w:rsid w:val="56013898"/>
    <w:rsid w:val="5B8A3C99"/>
    <w:rsid w:val="5CBA5BAE"/>
    <w:rsid w:val="5E8A76F2"/>
    <w:rsid w:val="5F586FA2"/>
    <w:rsid w:val="62F43847"/>
    <w:rsid w:val="63192F76"/>
    <w:rsid w:val="67A93109"/>
    <w:rsid w:val="6926456D"/>
    <w:rsid w:val="6D162EC0"/>
    <w:rsid w:val="6F1A7335"/>
    <w:rsid w:val="6F5E21BF"/>
    <w:rsid w:val="73C06DC2"/>
    <w:rsid w:val="752079FA"/>
    <w:rsid w:val="75543C54"/>
    <w:rsid w:val="7FDD1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9"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spacing w:beforeLines="0" w:afterLines="0"/>
      <w:jc w:val="both"/>
    </w:pPr>
    <w:rPr>
      <w:rFonts w:hint="default"/>
      <w:kern w:val="2"/>
      <w:sz w:val="21"/>
      <w:szCs w:val="24"/>
      <w:lang w:val="en-US" w:eastAsia="zh-CN" w:bidi="ar-SA"/>
    </w:rPr>
  </w:style>
  <w:style w:type="paragraph" w:styleId="2">
    <w:name w:val="heading 1"/>
    <w:basedOn w:val="1"/>
    <w:next w:val="1"/>
    <w:link w:val="19"/>
    <w:qFormat/>
    <w:uiPriority w:val="0"/>
    <w:pPr>
      <w:keepNext/>
      <w:keepLines/>
      <w:numPr>
        <w:ilvl w:val="0"/>
        <w:numId w:val="1"/>
      </w:numPr>
      <w:spacing w:before="340" w:after="330" w:line="578" w:lineRule="auto"/>
      <w:outlineLvl w:val="0"/>
    </w:pPr>
    <w:rPr>
      <w:rFonts w:ascii="Times New Roman" w:hAnsi="Times New Roman" w:eastAsia="宋体" w:cs="Times New Roman"/>
      <w:b/>
      <w:kern w:val="44"/>
      <w:sz w:val="44"/>
      <w:szCs w:val="44"/>
    </w:rPr>
  </w:style>
  <w:style w:type="paragraph" w:styleId="3">
    <w:name w:val="heading 2"/>
    <w:basedOn w:val="1"/>
    <w:next w:val="1"/>
    <w:link w:val="17"/>
    <w:semiHidden/>
    <w:unhideWhenUsed/>
    <w:qFormat/>
    <w:uiPriority w:val="0"/>
    <w:pPr>
      <w:keepNext/>
      <w:keepLines/>
      <w:spacing w:before="160" w:after="160" w:line="360" w:lineRule="auto"/>
      <w:ind w:left="0" w:leftChars="0" w:firstLine="0" w:firstLineChars="0"/>
      <w:jc w:val="center"/>
      <w:outlineLvl w:val="1"/>
    </w:pPr>
    <w:rPr>
      <w:rFonts w:ascii="Cambria" w:hAnsi="Cambria" w:eastAsia="仿宋" w:cs="Times New Roman"/>
      <w:b/>
      <w:sz w:val="32"/>
      <w:szCs w:val="32"/>
    </w:rPr>
  </w:style>
  <w:style w:type="paragraph" w:styleId="4">
    <w:name w:val="heading 3"/>
    <w:basedOn w:val="1"/>
    <w:next w:val="1"/>
    <w:link w:val="15"/>
    <w:semiHidden/>
    <w:unhideWhenUsed/>
    <w:qFormat/>
    <w:uiPriority w:val="0"/>
    <w:pPr>
      <w:keepNext/>
      <w:keepLines/>
      <w:numPr>
        <w:ilvl w:val="2"/>
        <w:numId w:val="2"/>
      </w:numPr>
      <w:spacing w:before="260" w:after="260" w:line="416" w:lineRule="auto"/>
      <w:ind w:left="0" w:firstLine="0" w:firstLineChars="0"/>
      <w:outlineLvl w:val="2"/>
    </w:pPr>
    <w:rPr>
      <w:rFonts w:ascii="Times New Roman" w:hAnsi="Times New Roman" w:eastAsia="宋体" w:cs="Times New Roman"/>
      <w:b/>
      <w:sz w:val="28"/>
      <w:szCs w:val="32"/>
    </w:rPr>
  </w:style>
  <w:style w:type="paragraph" w:styleId="5">
    <w:name w:val="heading 4"/>
    <w:basedOn w:val="1"/>
    <w:next w:val="1"/>
    <w:link w:val="16"/>
    <w:semiHidden/>
    <w:unhideWhenUsed/>
    <w:qFormat/>
    <w:uiPriority w:val="0"/>
    <w:pPr>
      <w:keepNext/>
      <w:keepLines/>
      <w:numPr>
        <w:ilvl w:val="1"/>
        <w:numId w:val="3"/>
      </w:numPr>
      <w:spacing w:line="360" w:lineRule="auto"/>
      <w:ind w:left="210" w:leftChars="100" w:firstLine="0"/>
      <w:jc w:val="left"/>
      <w:outlineLvl w:val="3"/>
    </w:pPr>
    <w:rPr>
      <w:rFonts w:hint="eastAsia" w:ascii="Arial" w:hAnsi="Arial" w:eastAsia="宋体" w:cs="Times New Roman"/>
      <w:sz w:val="28"/>
    </w:rPr>
  </w:style>
  <w:style w:type="paragraph" w:styleId="6">
    <w:name w:val="heading 5"/>
    <w:basedOn w:val="1"/>
    <w:next w:val="1"/>
    <w:semiHidden/>
    <w:unhideWhenUsed/>
    <w:qFormat/>
    <w:uiPriority w:val="0"/>
    <w:pPr>
      <w:keepNext/>
      <w:keepLines/>
      <w:numPr>
        <w:ilvl w:val="4"/>
        <w:numId w:val="4"/>
      </w:numPr>
      <w:spacing w:before="280" w:beforeLines="0" w:beforeAutospacing="0" w:after="290" w:afterLines="0" w:afterAutospacing="0" w:line="372" w:lineRule="auto"/>
      <w:outlineLvl w:val="4"/>
    </w:pPr>
    <w:rPr>
      <w:sz w:val="24"/>
    </w:rPr>
  </w:style>
  <w:style w:type="character" w:default="1" w:styleId="14">
    <w:name w:val="Default Paragraph Font"/>
    <w:semiHidden/>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7">
    <w:name w:val="Normal Indent"/>
    <w:basedOn w:val="1"/>
    <w:next w:val="8"/>
    <w:qFormat/>
    <w:uiPriority w:val="0"/>
    <w:pPr>
      <w:ind w:firstLine="420"/>
    </w:pPr>
    <w:rPr>
      <w:rFonts w:eastAsia="宋体" w:asciiTheme="minorAscii" w:hAnsiTheme="minorAscii"/>
      <w:sz w:val="30"/>
      <w:szCs w:val="30"/>
    </w:rPr>
  </w:style>
  <w:style w:type="paragraph" w:styleId="8">
    <w:name w:val="Body Text First Indent 2"/>
    <w:basedOn w:val="9"/>
    <w:qFormat/>
    <w:uiPriority w:val="0"/>
    <w:pPr>
      <w:ind w:firstLine="420" w:firstLineChars="200"/>
    </w:pPr>
  </w:style>
  <w:style w:type="paragraph" w:styleId="9">
    <w:name w:val="Body Text Indent"/>
    <w:basedOn w:val="1"/>
    <w:qFormat/>
    <w:uiPriority w:val="0"/>
    <w:pPr>
      <w:spacing w:after="120" w:afterLines="0" w:afterAutospacing="0"/>
      <w:ind w:left="420" w:leftChars="200"/>
    </w:pPr>
  </w:style>
  <w:style w:type="paragraph" w:styleId="10">
    <w:name w:val="Body Text"/>
    <w:basedOn w:val="1"/>
    <w:unhideWhenUsed/>
    <w:uiPriority w:val="0"/>
    <w:pPr>
      <w:spacing w:beforeLines="0" w:after="120"/>
    </w:pPr>
    <w:rPr>
      <w:rFonts w:hint="default" w:ascii="Times New Roman" w:hAnsi="Times New Roman" w:eastAsia="宋体"/>
      <w:sz w:val="21"/>
      <w:szCs w:val="24"/>
    </w:rPr>
  </w:style>
  <w:style w:type="paragraph" w:styleId="11">
    <w:name w:val="toc 8"/>
    <w:basedOn w:val="1"/>
    <w:next w:val="1"/>
    <w:unhideWhenUsed/>
    <w:qFormat/>
    <w:uiPriority w:val="39"/>
    <w:pPr>
      <w:spacing w:beforeLines="0" w:afterLines="0"/>
      <w:ind w:left="2940" w:leftChars="1400"/>
    </w:pPr>
    <w:rPr>
      <w:rFonts w:hint="default"/>
      <w:sz w:val="21"/>
      <w:szCs w:val="24"/>
    </w:rPr>
  </w:style>
  <w:style w:type="paragraph" w:styleId="12">
    <w:name w:val="footer"/>
    <w:basedOn w:val="1"/>
    <w:next w:val="11"/>
    <w:unhideWhenUsed/>
    <w:uiPriority w:val="0"/>
    <w:pPr>
      <w:tabs>
        <w:tab w:val="center" w:pos="4153"/>
        <w:tab w:val="right" w:pos="8306"/>
      </w:tabs>
      <w:snapToGrid w:val="0"/>
      <w:spacing w:beforeLines="0" w:afterLines="0"/>
      <w:jc w:val="left"/>
    </w:pPr>
    <w:rPr>
      <w:rFonts w:hint="default" w:ascii="Times New Roman" w:hAnsi="Times New Roman" w:eastAsia="宋体"/>
      <w:sz w:val="18"/>
      <w:szCs w:val="24"/>
    </w:rPr>
  </w:style>
  <w:style w:type="character" w:customStyle="1" w:styleId="15">
    <w:name w:val="标题 3 字符"/>
    <w:link w:val="4"/>
    <w:qFormat/>
    <w:uiPriority w:val="9"/>
    <w:rPr>
      <w:rFonts w:ascii="Times New Roman" w:hAnsi="Times New Roman" w:eastAsia="宋体" w:cs="Times New Roman"/>
      <w:bCs/>
      <w:kern w:val="2"/>
      <w:sz w:val="28"/>
      <w:szCs w:val="32"/>
      <w:lang w:val="en-US" w:eastAsia="zh-CN" w:bidi="ar-SA"/>
    </w:rPr>
  </w:style>
  <w:style w:type="character" w:customStyle="1" w:styleId="16">
    <w:name w:val="标题 4 Char"/>
    <w:link w:val="5"/>
    <w:qFormat/>
    <w:uiPriority w:val="99"/>
    <w:rPr>
      <w:rFonts w:ascii="Arial" w:hAnsi="Arial" w:eastAsia="宋体" w:cs="Times New Roman"/>
      <w:b/>
      <w:sz w:val="28"/>
      <w:szCs w:val="24"/>
    </w:rPr>
  </w:style>
  <w:style w:type="character" w:customStyle="1" w:styleId="17">
    <w:name w:val="标题 2 Char"/>
    <w:basedOn w:val="14"/>
    <w:link w:val="3"/>
    <w:qFormat/>
    <w:uiPriority w:val="0"/>
    <w:rPr>
      <w:rFonts w:ascii="Cambria" w:hAnsi="Cambria" w:eastAsia="仿宋" w:cs="Times New Roman"/>
      <w:b/>
      <w:bCs/>
      <w:kern w:val="2"/>
      <w:sz w:val="32"/>
      <w:szCs w:val="32"/>
    </w:rPr>
  </w:style>
  <w:style w:type="paragraph" w:customStyle="1" w:styleId="18">
    <w:name w:val="Table Text"/>
    <w:basedOn w:val="1"/>
    <w:unhideWhenUsed/>
    <w:qFormat/>
    <w:uiPriority w:val="0"/>
    <w:pPr>
      <w:spacing w:beforeLines="0" w:afterLines="0"/>
    </w:pPr>
    <w:rPr>
      <w:rFonts w:hint="eastAsia" w:ascii="宋体" w:hAnsi="宋体" w:eastAsia="宋体" w:cs="宋体"/>
      <w:sz w:val="21"/>
      <w:szCs w:val="21"/>
      <w:lang w:eastAsia="en-US"/>
    </w:rPr>
  </w:style>
  <w:style w:type="character" w:customStyle="1" w:styleId="19">
    <w:name w:val="标题 1 Char"/>
    <w:link w:val="2"/>
    <w:unhideWhenUsed/>
    <w:uiPriority w:val="0"/>
    <w:rPr>
      <w:rFonts w:hint="default" w:ascii="Times New Roman" w:hAnsi="Times New Roman" w:eastAsia="宋体"/>
      <w:b/>
      <w:kern w:val="44"/>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7</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2025-06-19T02:05:00Z</dcterms:created>
  <dc:creator>Administrator</dc:creator>
  <cp:lastModifiedBy>Administrator</cp:lastModifiedBy>
  <dcterms:modified xsi:type="dcterms:W3CDTF">2025-06-19T02:21:38Z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833D82D848AA461692C71BD672B14F6E_11</vt:lpwstr>
  </property>
  <property fmtid="{D5CDD505-2E9C-101B-9397-08002B2CF9AE}" pid="4" name="KSOTemplateDocerSaveRecord">
    <vt:lpwstr>eyJoZGlkIjoiNDQ4YWIxNzliMTU3ZTA0NTk5NzBjZmJlMTU3NmU2ZDgiLCJ1c2VySWQiOiIzMTU4NTgwMjQifQ==</vt:lpwstr>
  </property>
</Properties>
</file>