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版本号：SCZD2025-ZB-1554-00120250721002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脑电生物反馈治疗仪的采购项目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SCZD2025-ZB-1554-001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脑电生物反馈治疗仪的采购项目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SCZD2025-ZB-1554-001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脑电生物反馈治疗仪的采购项目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脑电生物反馈治疗是通过现代生理化科学仪器去改变大脑的局部生理电生理代谢环境，促进脑部微循环，改善神经递 质传导功能，达到改善睡眠、调节情绪、促进认知功能恢复的作用。患者通过生理或者病理信息的自身反馈加以特殊引导 和训练，正性和良性反馈作用加强，使其心理机能得到进一步改善，身心得到充分放松，从而起到缓解焦虑、紧张、恐 惧，降低唤醒水平，达到治疗的效果。从生理学的角度分析，人类的心理活动可以通过内分泌系统、神经系统和免疫系统 等多系统作用，影响各器官组织的机能状况。脑电生物反馈就是通过改善患者的心理活动，改善其情绪、行为、注意力、 言语 记忆、视觉记忆、学习能力、注意察觉、抽象思维能力，促进神经元代偿和，促使大脑神经元正向改变。</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魏博芸、雷鹏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脑电生物反馈治疗是通过现代生理化科学仪器去改变大脑的局部生理电生理代谢环境，促进脑部微循环，改善神经递质传导功能，达到改善睡眠、调节情绪、促进认知功能恢复的作用。患者通过生理或者病理信息的自身反馈加以特殊引导和训练，正性和良性反馈作用加强，使其心理机能得到进一步改善，身心得到充分放松，从而起到缓解焦虑、紧张、恐惧，降低唤醒水平，达到治疗的效果。从生理学的角度分析，人类的心理活动可以通过内分泌系统、神经系统和免疫系统等多系统作用，影响各器官组织的机能状况。脑电生物反馈就是通过改善患者的心理活动，改善其情绪、行为、注意力、言语 记忆、视觉记忆、学习能力、注意察觉、抽象思维能力，促进神经元代偿和，促使大脑神经元正向改变。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脑电生物反馈治疗仪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标的名称：脑电生物反馈治疗仪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脑电生物反馈仪</w:t>
            </w:r>
            <w:r>
              <w:rPr>
                <w:rFonts w:ascii="仿宋_GB2312" w:hAnsi="仿宋_GB2312" w:cs="仿宋_GB2312" w:eastAsia="仿宋_GB2312"/>
                <w:sz w:val="24"/>
              </w:rPr>
              <w:t>项目需求</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jc w:val="both"/>
            </w:pPr>
            <w:r>
              <w:rPr>
                <w:rFonts w:ascii="仿宋_GB2312" w:hAnsi="仿宋_GB2312" w:cs="仿宋_GB2312" w:eastAsia="仿宋_GB2312"/>
                <w:sz w:val="24"/>
              </w:rPr>
              <w:t>脑电生物反馈治疗是通过现代生理化科学仪器去改变大脑的局部生理电生理代谢环境，促进脑部微循环，改善神经递质传导功能，达到改善睡眠、调节情绪、促进认知功能恢复的作用。患者通过生理或者病理信息的自身反馈加以特殊引导和训练，正性和良性反馈作用加强，使其心理机能得到进一步改善，身心得到充分放松，从而起到缓解焦虑、紧张、恐惧，降低唤醒水平，达到治疗的效果。从生理学的角度分析，人类的心理活动可以通过内分泌系统、神经系统和免疫系统等多系统作用，影响各器官组织的机能状况。脑电生物反馈就是通过改善患者的心理活动，改善其情绪、行为、注意力、言语</w:t>
            </w:r>
            <w:r>
              <w:rPr>
                <w:rFonts w:ascii="仿宋_GB2312" w:hAnsi="仿宋_GB2312" w:cs="仿宋_GB2312" w:eastAsia="仿宋_GB2312"/>
                <w:sz w:val="24"/>
              </w:rPr>
              <w:t>记忆、视觉记忆、学习能力、注意察觉、抽象思维能力，促进神经元代偿和，促使大脑神经元正向改变。</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采购内容（包括采购品目、规格和数量）</w:t>
            </w:r>
          </w:p>
          <w:p>
            <w:pPr>
              <w:pStyle w:val="null3"/>
              <w:jc w:val="both"/>
            </w:pPr>
            <w:r>
              <w:rPr>
                <w:rFonts w:ascii="仿宋_GB2312" w:hAnsi="仿宋_GB2312" w:cs="仿宋_GB2312" w:eastAsia="仿宋_GB2312"/>
                <w:sz w:val="24"/>
              </w:rPr>
              <w:t>脑电生物反馈仪</w:t>
            </w:r>
            <w:r>
              <w:rPr>
                <w:rFonts w:ascii="仿宋_GB2312" w:hAnsi="仿宋_GB2312" w:cs="仿宋_GB2312" w:eastAsia="仿宋_GB2312"/>
                <w:sz w:val="24"/>
              </w:rPr>
              <w:t>1套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（一）所投产品</w:t>
            </w:r>
            <w:r>
              <w:rPr>
                <w:rFonts w:ascii="仿宋_GB2312" w:hAnsi="仿宋_GB2312" w:cs="仿宋_GB2312" w:eastAsia="仿宋_GB2312"/>
                <w:sz w:val="24"/>
              </w:rPr>
              <w:t>必须是医药行业标准</w:t>
            </w:r>
            <w:r>
              <w:rPr>
                <w:rFonts w:ascii="仿宋_GB2312" w:hAnsi="仿宋_GB2312" w:cs="仿宋_GB2312" w:eastAsia="仿宋_GB2312"/>
                <w:sz w:val="24"/>
              </w:rPr>
              <w:t>YY0903-2013《脑电生物反馈仪》起草单位或符合此标准的生产厂家。（带附件）</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信号采集器参数：</w:t>
            </w:r>
          </w:p>
          <w:p>
            <w:pPr>
              <w:pStyle w:val="null3"/>
              <w:jc w:val="both"/>
            </w:pPr>
            <w:r>
              <w:rPr>
                <w:rFonts w:ascii="仿宋_GB2312" w:hAnsi="仿宋_GB2312" w:cs="仿宋_GB2312" w:eastAsia="仿宋_GB2312"/>
                <w:sz w:val="24"/>
              </w:rPr>
              <w:t>1、脑电(EEG):</w:t>
            </w:r>
          </w:p>
          <w:p>
            <w:pPr>
              <w:pStyle w:val="null3"/>
              <w:jc w:val="both"/>
            </w:pPr>
            <w:r>
              <w:rPr>
                <w:rFonts w:ascii="仿宋_GB2312" w:hAnsi="仿宋_GB2312" w:cs="仿宋_GB2312" w:eastAsia="仿宋_GB2312"/>
                <w:sz w:val="24"/>
              </w:rPr>
              <w:t>噪声电平：</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xml:space="preserve">uV；      </w:t>
            </w:r>
          </w:p>
          <w:p>
            <w:pPr>
              <w:pStyle w:val="null3"/>
              <w:jc w:val="both"/>
            </w:pPr>
            <w:r>
              <w:rPr>
                <w:rFonts w:ascii="仿宋_GB2312" w:hAnsi="仿宋_GB2312" w:cs="仿宋_GB2312" w:eastAsia="仿宋_GB2312"/>
                <w:sz w:val="24"/>
              </w:rPr>
              <w:t>共模抑制比：</w:t>
            </w:r>
            <w:r>
              <w:rPr>
                <w:rFonts w:ascii="仿宋_GB2312" w:hAnsi="仿宋_GB2312" w:cs="仿宋_GB2312" w:eastAsia="仿宋_GB2312"/>
                <w:sz w:val="24"/>
              </w:rPr>
              <w:t>≥80dB。</w:t>
            </w:r>
          </w:p>
          <w:p>
            <w:pPr>
              <w:pStyle w:val="null3"/>
              <w:jc w:val="both"/>
            </w:pPr>
            <w:r>
              <w:rPr>
                <w:rFonts w:ascii="仿宋_GB2312" w:hAnsi="仿宋_GB2312" w:cs="仿宋_GB2312" w:eastAsia="仿宋_GB2312"/>
                <w:sz w:val="24"/>
              </w:rPr>
              <w:t>输入范围：</w:t>
            </w:r>
            <w:r>
              <w:rPr>
                <w:rFonts w:ascii="仿宋_GB2312" w:hAnsi="仿宋_GB2312" w:cs="仿宋_GB2312" w:eastAsia="仿宋_GB2312"/>
                <w:sz w:val="24"/>
              </w:rPr>
              <w:t>≥±500uV。</w:t>
            </w:r>
          </w:p>
          <w:p>
            <w:pPr>
              <w:pStyle w:val="null3"/>
              <w:jc w:val="both"/>
            </w:pPr>
            <w:r>
              <w:rPr>
                <w:rFonts w:ascii="仿宋_GB2312" w:hAnsi="仿宋_GB2312" w:cs="仿宋_GB2312" w:eastAsia="仿宋_GB2312"/>
                <w:sz w:val="24"/>
              </w:rPr>
              <w:t>放大倍数：</w:t>
            </w:r>
            <w:r>
              <w:rPr>
                <w:rFonts w:ascii="仿宋_GB2312" w:hAnsi="仿宋_GB2312" w:cs="仿宋_GB2312" w:eastAsia="仿宋_GB2312"/>
                <w:sz w:val="24"/>
              </w:rPr>
              <w:t>1</w:t>
            </w:r>
            <w:r>
              <w:rPr>
                <w:rFonts w:ascii="仿宋_GB2312" w:hAnsi="仿宋_GB2312" w:cs="仿宋_GB2312" w:eastAsia="仿宋_GB2312"/>
                <w:sz w:val="24"/>
              </w:rPr>
              <w:t>0000</w:t>
            </w:r>
            <w:r>
              <w:rPr>
                <w:rFonts w:ascii="仿宋_GB2312" w:hAnsi="仿宋_GB2312" w:cs="仿宋_GB2312" w:eastAsia="仿宋_GB2312"/>
                <w:sz w:val="24"/>
              </w:rPr>
              <w:t>倍，误差不超过</w:t>
            </w:r>
            <w:r>
              <w:rPr>
                <w:rFonts w:ascii="仿宋_GB2312" w:hAnsi="仿宋_GB2312" w:cs="仿宋_GB2312" w:eastAsia="仿宋_GB2312"/>
                <w:sz w:val="24"/>
              </w:rPr>
              <w:t>±10%。</w:t>
            </w:r>
          </w:p>
          <w:p>
            <w:pPr>
              <w:pStyle w:val="null3"/>
              <w:jc w:val="both"/>
            </w:pPr>
            <w:r>
              <w:rPr>
                <w:rFonts w:ascii="仿宋_GB2312" w:hAnsi="仿宋_GB2312" w:cs="仿宋_GB2312" w:eastAsia="仿宋_GB2312"/>
                <w:sz w:val="24"/>
              </w:rPr>
              <w:t>静态工作点：＜</w:t>
            </w:r>
            <w:r>
              <w:rPr>
                <w:rFonts w:ascii="仿宋_GB2312" w:hAnsi="仿宋_GB2312" w:cs="仿宋_GB2312" w:eastAsia="仿宋_GB2312"/>
                <w:sz w:val="24"/>
              </w:rPr>
              <w:t>200 Uv。</w:t>
            </w:r>
          </w:p>
          <w:p>
            <w:pPr>
              <w:pStyle w:val="null3"/>
              <w:jc w:val="both"/>
            </w:pPr>
            <w:r>
              <w:rPr>
                <w:rFonts w:ascii="仿宋_GB2312" w:hAnsi="仿宋_GB2312" w:cs="仿宋_GB2312" w:eastAsia="仿宋_GB2312"/>
                <w:sz w:val="24"/>
              </w:rPr>
              <w:t>电压测量：误差不超过</w:t>
            </w:r>
            <w:r>
              <w:rPr>
                <w:rFonts w:ascii="仿宋_GB2312" w:hAnsi="仿宋_GB2312" w:cs="仿宋_GB2312" w:eastAsia="仿宋_GB2312"/>
                <w:sz w:val="24"/>
              </w:rPr>
              <w:t>±10%。</w:t>
            </w:r>
          </w:p>
          <w:p>
            <w:pPr>
              <w:pStyle w:val="null3"/>
              <w:jc w:val="both"/>
            </w:pPr>
            <w:r>
              <w:rPr>
                <w:rFonts w:ascii="仿宋_GB2312" w:hAnsi="仿宋_GB2312" w:cs="仿宋_GB2312" w:eastAsia="仿宋_GB2312"/>
                <w:sz w:val="24"/>
              </w:rPr>
              <w:t>时间间隔：误差不超过</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时间常数：</w:t>
            </w:r>
            <w:r>
              <w:rPr>
                <w:rFonts w:ascii="仿宋_GB2312" w:hAnsi="仿宋_GB2312" w:cs="仿宋_GB2312" w:eastAsia="仿宋_GB2312"/>
                <w:sz w:val="24"/>
              </w:rPr>
              <w:t>0.1S，误差不超过±20%。</w:t>
            </w:r>
          </w:p>
          <w:p>
            <w:pPr>
              <w:pStyle w:val="null3"/>
              <w:jc w:val="both"/>
            </w:pPr>
            <w:r>
              <w:rPr>
                <w:rFonts w:ascii="仿宋_GB2312" w:hAnsi="仿宋_GB2312" w:cs="仿宋_GB2312" w:eastAsia="仿宋_GB2312"/>
                <w:sz w:val="24"/>
              </w:rPr>
              <w:t>高频截止频率：</w:t>
            </w:r>
            <w:r>
              <w:rPr>
                <w:rFonts w:ascii="仿宋_GB2312" w:hAnsi="仿宋_GB2312" w:cs="仿宋_GB2312" w:eastAsia="仿宋_GB2312"/>
                <w:sz w:val="24"/>
              </w:rPr>
              <w:t>30Hz，符合A0.9≥0.7</w:t>
            </w:r>
            <w:r>
              <w:rPr>
                <w:rFonts w:ascii="仿宋_GB2312" w:hAnsi="仿宋_GB2312" w:cs="仿宋_GB2312" w:eastAsia="仿宋_GB2312"/>
                <w:sz w:val="24"/>
              </w:rPr>
              <w:t>Fc、</w:t>
            </w:r>
            <w:r>
              <w:rPr>
                <w:rFonts w:ascii="仿宋_GB2312" w:hAnsi="仿宋_GB2312" w:cs="仿宋_GB2312" w:eastAsia="仿宋_GB2312"/>
                <w:sz w:val="24"/>
              </w:rPr>
              <w:t xml:space="preserve"> A10≥A1.1 Fc要求。</w:t>
            </w:r>
          </w:p>
          <w:p>
            <w:pPr>
              <w:pStyle w:val="null3"/>
              <w:jc w:val="both"/>
            </w:pPr>
            <w:r>
              <w:rPr>
                <w:rFonts w:ascii="仿宋_GB2312" w:hAnsi="仿宋_GB2312" w:cs="仿宋_GB2312" w:eastAsia="仿宋_GB2312"/>
                <w:sz w:val="24"/>
              </w:rPr>
              <w:t>耐极化电压：加</w:t>
            </w:r>
            <w:r>
              <w:rPr>
                <w:rFonts w:ascii="仿宋_GB2312" w:hAnsi="仿宋_GB2312" w:cs="仿宋_GB2312" w:eastAsia="仿宋_GB2312"/>
                <w:sz w:val="24"/>
              </w:rPr>
              <w:t>±300mV的直流极化电压，偏差为±5%。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脑电电极的生物相容性（国家强制性必检项目）：</w:t>
            </w:r>
            <w:r>
              <w:rPr>
                <w:rFonts w:ascii="仿宋_GB2312" w:hAnsi="仿宋_GB2312" w:cs="仿宋_GB2312" w:eastAsia="仿宋_GB2312"/>
                <w:sz w:val="24"/>
              </w:rPr>
              <w:t>（带检验报告）</w:t>
            </w:r>
          </w:p>
          <w:p>
            <w:pPr>
              <w:pStyle w:val="null3"/>
              <w:jc w:val="both"/>
            </w:pPr>
            <w:r>
              <w:rPr>
                <w:rFonts w:ascii="仿宋_GB2312" w:hAnsi="仿宋_GB2312" w:cs="仿宋_GB2312" w:eastAsia="仿宋_GB2312"/>
                <w:sz w:val="24"/>
              </w:rPr>
              <w:t>与患者接触的材料无细胞毒性、迟发型超敏反应和皮内反应。该材料必须进行生物相容性的试验或评价。</w:t>
            </w:r>
          </w:p>
          <w:p>
            <w:pPr>
              <w:pStyle w:val="null3"/>
              <w:jc w:val="both"/>
            </w:pPr>
            <w:r>
              <w:rPr>
                <w:rFonts w:ascii="仿宋_GB2312" w:hAnsi="仿宋_GB2312" w:cs="仿宋_GB2312" w:eastAsia="仿宋_GB2312"/>
                <w:sz w:val="24"/>
              </w:rPr>
              <w:t>细胞毒性</w:t>
            </w:r>
            <w:r>
              <w:rPr>
                <w:rFonts w:ascii="仿宋_GB2312" w:hAnsi="仿宋_GB2312" w:cs="仿宋_GB2312" w:eastAsia="仿宋_GB2312"/>
                <w:sz w:val="24"/>
              </w:rPr>
              <w:t>:≤1级。</w:t>
            </w:r>
          </w:p>
          <w:p>
            <w:pPr>
              <w:pStyle w:val="null3"/>
              <w:jc w:val="both"/>
            </w:pPr>
            <w:r>
              <w:rPr>
                <w:rFonts w:ascii="仿宋_GB2312" w:hAnsi="仿宋_GB2312" w:cs="仿宋_GB2312" w:eastAsia="仿宋_GB2312"/>
                <w:sz w:val="24"/>
              </w:rPr>
              <w:t>迟发型超敏反应：无迟发型超敏反应。</w:t>
            </w:r>
          </w:p>
          <w:p>
            <w:pPr>
              <w:pStyle w:val="null3"/>
              <w:jc w:val="both"/>
            </w:pPr>
            <w:r>
              <w:rPr>
                <w:rFonts w:ascii="仿宋_GB2312" w:hAnsi="仿宋_GB2312" w:cs="仿宋_GB2312" w:eastAsia="仿宋_GB2312"/>
                <w:sz w:val="24"/>
              </w:rPr>
              <w:t>皮内反应</w:t>
            </w:r>
            <w:r>
              <w:rPr>
                <w:rFonts w:ascii="仿宋_GB2312" w:hAnsi="仿宋_GB2312" w:cs="仿宋_GB2312" w:eastAsia="仿宋_GB2312"/>
                <w:sz w:val="24"/>
              </w:rPr>
              <w:t>:试验样品和溶剂对照平均积分之差≤1.0。</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软件配置：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脑电参数可进行单独反馈，以达到通过不同病症的脑电图的改变而采取不同治疗方案的点对点的直接治疗及训练。</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可调节脑电反馈的频段，针对某一频段或某几段的脑电波进行增加或减弱训练，</w:t>
            </w:r>
            <w:r>
              <w:rPr>
                <w:rFonts w:ascii="仿宋_GB2312" w:hAnsi="仿宋_GB2312" w:cs="仿宋_GB2312" w:eastAsia="仿宋_GB2312"/>
                <w:sz w:val="24"/>
              </w:rPr>
              <w:t>α、β、θ、δ四个波段的分别训练及四个波段的组合训练。</w:t>
            </w:r>
          </w:p>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w:t>
            </w:r>
            <w:r>
              <w:rPr>
                <w:rFonts w:ascii="仿宋_GB2312" w:hAnsi="仿宋_GB2312" w:cs="仿宋_GB2312" w:eastAsia="仿宋_GB2312"/>
                <w:sz w:val="24"/>
              </w:rPr>
              <w:t>一台服务器可以集中控制</w:t>
            </w:r>
            <w:r>
              <w:rPr>
                <w:rFonts w:ascii="仿宋_GB2312" w:hAnsi="仿宋_GB2312" w:cs="仿宋_GB2312" w:eastAsia="仿宋_GB2312"/>
                <w:sz w:val="24"/>
                <w:b/>
              </w:rPr>
              <w:t>≥</w:t>
            </w:r>
            <w:r>
              <w:rPr>
                <w:rFonts w:ascii="仿宋_GB2312" w:hAnsi="仿宋_GB2312" w:cs="仿宋_GB2312" w:eastAsia="仿宋_GB2312"/>
                <w:sz w:val="24"/>
              </w:rPr>
              <w:t>10个</w:t>
            </w:r>
            <w:r>
              <w:rPr>
                <w:rFonts w:ascii="仿宋_GB2312" w:hAnsi="仿宋_GB2312" w:cs="仿宋_GB2312" w:eastAsia="仿宋_GB2312"/>
                <w:sz w:val="24"/>
              </w:rPr>
              <w:t>终端。</w:t>
            </w:r>
          </w:p>
          <w:p>
            <w:pPr>
              <w:pStyle w:val="null3"/>
              <w:jc w:val="both"/>
            </w:pPr>
            <w:r>
              <w:rPr>
                <w:rFonts w:ascii="仿宋_GB2312" w:hAnsi="仿宋_GB2312" w:cs="仿宋_GB2312" w:eastAsia="仿宋_GB2312"/>
                <w:sz w:val="24"/>
              </w:rPr>
              <w:t>4. 操作人员可以通过服务器统一或自由设定终端训练方式。</w:t>
            </w:r>
          </w:p>
          <w:p>
            <w:pPr>
              <w:pStyle w:val="null3"/>
              <w:jc w:val="both"/>
            </w:pPr>
            <w:r>
              <w:rPr>
                <w:rFonts w:ascii="仿宋_GB2312" w:hAnsi="仿宋_GB2312" w:cs="仿宋_GB2312" w:eastAsia="仿宋_GB2312"/>
                <w:sz w:val="24"/>
              </w:rPr>
              <w:t>5. 通过服务器可以查询、打印</w:t>
            </w:r>
            <w:r>
              <w:rPr>
                <w:rFonts w:ascii="仿宋_GB2312" w:hAnsi="仿宋_GB2312" w:cs="仿宋_GB2312" w:eastAsia="仿宋_GB2312"/>
                <w:sz w:val="24"/>
              </w:rPr>
              <w:t>病人</w:t>
            </w:r>
            <w:r>
              <w:rPr>
                <w:rFonts w:ascii="仿宋_GB2312" w:hAnsi="仿宋_GB2312" w:cs="仿宋_GB2312" w:eastAsia="仿宋_GB2312"/>
                <w:sz w:val="24"/>
              </w:rPr>
              <w:t>治疗报告等。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1"/>
              </w:rPr>
              <w:t>▲</w:t>
            </w:r>
            <w:r>
              <w:rPr>
                <w:rFonts w:ascii="仿宋_GB2312" w:hAnsi="仿宋_GB2312" w:cs="仿宋_GB2312" w:eastAsia="仿宋_GB2312"/>
                <w:sz w:val="24"/>
              </w:rPr>
              <w:t>任何终端均可分离当作独立单机使用(带检验报告）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任何终端可进行不同病症的治疗，可同时为不同患者提供不同的动画进行治疗，</w:t>
            </w:r>
            <w:r>
              <w:rPr>
                <w:rFonts w:ascii="仿宋_GB2312" w:hAnsi="仿宋_GB2312" w:cs="仿宋_GB2312" w:eastAsia="仿宋_GB2312"/>
                <w:sz w:val="24"/>
              </w:rPr>
              <w:t>针对不同疾病的训练方案。</w:t>
            </w:r>
          </w:p>
          <w:p>
            <w:pPr>
              <w:pStyle w:val="null3"/>
              <w:jc w:val="both"/>
            </w:pPr>
            <w:r>
              <w:rPr>
                <w:rFonts w:ascii="仿宋_GB2312" w:hAnsi="仿宋_GB2312" w:cs="仿宋_GB2312" w:eastAsia="仿宋_GB2312"/>
                <w:sz w:val="24"/>
              </w:rPr>
              <w:t>8、在治疗过程中，所有的训练信息都会被存储，以便医生能够对数据进行进一步的分析。</w:t>
            </w:r>
          </w:p>
          <w:p>
            <w:pPr>
              <w:pStyle w:val="null3"/>
              <w:jc w:val="both"/>
            </w:pPr>
            <w:r>
              <w:rPr>
                <w:rFonts w:ascii="仿宋_GB2312" w:hAnsi="仿宋_GB2312" w:cs="仿宋_GB2312" w:eastAsia="仿宋_GB2312"/>
                <w:sz w:val="24"/>
              </w:rPr>
              <w:t>9、本仪器还具备了一个巨大的数据分析平台，对患者的病情进行了跟踪性的记录和分析。为医师提供大量的数据，保证决策支持的正确性。</w:t>
            </w:r>
          </w:p>
          <w:p>
            <w:pPr>
              <w:pStyle w:val="null3"/>
              <w:jc w:val="both"/>
            </w:pPr>
            <w:r>
              <w:rPr>
                <w:rFonts w:ascii="仿宋_GB2312" w:hAnsi="仿宋_GB2312" w:cs="仿宋_GB2312" w:eastAsia="仿宋_GB2312"/>
                <w:sz w:val="24"/>
              </w:rPr>
              <w:t>10、可输出疗效报告、原始波形、波形分离、小波分析、快速傅里叶变化（FFT）、时频分析、趋势分析等。</w:t>
            </w:r>
          </w:p>
          <w:p>
            <w:pPr>
              <w:pStyle w:val="null3"/>
              <w:jc w:val="both"/>
            </w:pPr>
            <w:r>
              <w:rPr>
                <w:rFonts w:ascii="仿宋_GB2312" w:hAnsi="仿宋_GB2312" w:cs="仿宋_GB2312" w:eastAsia="仿宋_GB2312"/>
                <w:sz w:val="24"/>
              </w:rPr>
              <w:t>11、丰富灵活的动画种类：该产品提供了多种类型的动画，能针对患者的情况采用相应的动画类型进行治疗，与患者协同互动，达到病情需求和动画的无缝链接。打破了其它治疗仪动画类型单一无味的局面。</w:t>
            </w:r>
          </w:p>
          <w:p>
            <w:pPr>
              <w:pStyle w:val="null3"/>
              <w:jc w:val="both"/>
            </w:pPr>
            <w:r>
              <w:rPr>
                <w:rFonts w:ascii="仿宋_GB2312" w:hAnsi="仿宋_GB2312" w:cs="仿宋_GB2312" w:eastAsia="仿宋_GB2312"/>
                <w:sz w:val="24"/>
              </w:rPr>
              <w:t>12、内含</w:t>
            </w:r>
            <w:r>
              <w:rPr>
                <w:rFonts w:ascii="仿宋_GB2312" w:hAnsi="仿宋_GB2312" w:cs="仿宋_GB2312" w:eastAsia="仿宋_GB2312"/>
                <w:sz w:val="24"/>
                <w:b/>
              </w:rPr>
              <w:t>≥</w:t>
            </w:r>
            <w:r>
              <w:rPr>
                <w:rFonts w:ascii="仿宋_GB2312" w:hAnsi="仿宋_GB2312" w:cs="仿宋_GB2312" w:eastAsia="仿宋_GB2312"/>
                <w:sz w:val="24"/>
              </w:rPr>
              <w:t>20种</w:t>
            </w:r>
            <w:r>
              <w:rPr>
                <w:rFonts w:ascii="仿宋_GB2312" w:hAnsi="仿宋_GB2312" w:cs="仿宋_GB2312" w:eastAsia="仿宋_GB2312"/>
                <w:sz w:val="24"/>
              </w:rPr>
              <w:t>精神心理量表。</w:t>
            </w:r>
          </w:p>
          <w:p>
            <w:pPr>
              <w:pStyle w:val="null3"/>
              <w:jc w:val="both"/>
            </w:pPr>
            <w:r>
              <w:rPr>
                <w:rFonts w:ascii="仿宋_GB2312" w:hAnsi="仿宋_GB2312" w:cs="仿宋_GB2312" w:eastAsia="仿宋_GB2312"/>
                <w:sz w:val="24"/>
              </w:rPr>
              <w:t>13、含视听整合测评系统。</w:t>
            </w:r>
          </w:p>
          <w:p>
            <w:pPr>
              <w:pStyle w:val="null3"/>
              <w:ind w:right="600"/>
              <w:jc w:val="both"/>
            </w:pPr>
            <w:r>
              <w:rPr>
                <w:rFonts w:ascii="仿宋_GB2312" w:hAnsi="仿宋_GB2312" w:cs="仿宋_GB2312" w:eastAsia="仿宋_GB2312"/>
                <w:sz w:val="24"/>
              </w:rPr>
              <w:t>（四）</w:t>
            </w:r>
            <w:r>
              <w:rPr>
                <w:rFonts w:ascii="仿宋_GB2312" w:hAnsi="仿宋_GB2312" w:cs="仿宋_GB2312" w:eastAsia="仿宋_GB2312"/>
                <w:sz w:val="24"/>
              </w:rPr>
              <w:t>硬件配置：</w:t>
            </w:r>
          </w:p>
          <w:tbl>
            <w:tblPr>
              <w:tblBorders>
                <w:top w:val="none" w:color="000000" w:sz="4"/>
                <w:left w:val="none" w:color="000000" w:sz="4"/>
                <w:bottom w:val="none" w:color="000000" w:sz="4"/>
                <w:right w:val="none" w:color="000000" w:sz="4"/>
                <w:insideH w:val="none"/>
                <w:insideV w:val="none"/>
              </w:tblBorders>
            </w:tblPr>
            <w:tblGrid>
              <w:gridCol w:w="263"/>
              <w:gridCol w:w="1498"/>
              <w:gridCol w:w="432"/>
              <w:gridCol w:w="360"/>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p>
              </w:tc>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服务器（主机、品牌显示器）</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网线</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条</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无线路由器</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21英寸</w:t>
                  </w:r>
                  <w:r>
                    <w:rPr>
                      <w:rFonts w:ascii="仿宋_GB2312" w:hAnsi="仿宋_GB2312" w:cs="仿宋_GB2312" w:eastAsia="仿宋_GB2312"/>
                      <w:sz w:val="24"/>
                    </w:rPr>
                    <w:t>品牌显示器</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治疗终端机</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电源适配器</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电极帽（易损件）</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干性电极（耗材）</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耳机</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副</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所有货物到达甲方指定地点，安装、调试完毕，设备运转正常并验收合格后，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设备正式运行服务期满后，如无任何质量、服务等问题时，终验收合格后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安装调试验收合格后三年。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详见附件：新建 DOCX 文档.docx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