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版本号：慧科ZX-CF01160BH20250623001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西安市杨家村第三军休所军休干部2025年八一、2026年春节慰问品采购项目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慧科ZX-CF01160BH</w:t>
      </w:r>
      <w:r>
        <w:br/>
      </w:r>
      <w:r>
        <w:br/>
      </w:r>
      <w:r>
        <w:br/>
      </w:r>
    </w:p>
    <w:p>
      <w:pPr>
        <w:pStyle w:val="null3"/>
        <w:jc w:val="center"/>
        <w:outlineLvl w:val="2"/>
      </w:pPr>
      <w:r>
        <w:rPr>
          <w:rFonts w:ascii="仿宋_GB2312" w:hAnsi="仿宋_GB2312" w:cs="仿宋_GB2312" w:eastAsia="仿宋_GB2312"/>
          <w:sz w:val="28"/>
          <w:b/>
        </w:rPr>
        <w:t>西安市杨家村第三军队离休退休干部休养所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西安市杨家村第三军队离休退休干部休养所</w:t>
      </w:r>
      <w:r>
        <w:rPr>
          <w:rFonts w:ascii="仿宋_GB2312" w:hAnsi="仿宋_GB2312" w:cs="仿宋_GB2312" w:eastAsia="仿宋_GB2312"/>
        </w:rPr>
        <w:t>委托，拟对</w:t>
      </w:r>
      <w:r>
        <w:rPr>
          <w:rFonts w:ascii="仿宋_GB2312" w:hAnsi="仿宋_GB2312" w:cs="仿宋_GB2312" w:eastAsia="仿宋_GB2312"/>
        </w:rPr>
        <w:t>西安市杨家村第三军休所军休干部2025年八一、2026年春节慰问品采购项目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慧科ZX-CF01160BH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西安市杨家村第三军休所军休干部2025年八一、2026年春节慰问品采购项目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西安市杨家村第三军队离休退休干部休养所拟对军休干部2025年八一、2026年春节慰问品进行采购，每人每批500元固定标准。本项目核心产品为食用油。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1、许可证明：供应商为生产厂家的须提供《食品生产许可证》；代理商须提供本单位《食品经营许可证》或《预包装食品经营者备案表》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4、法定代表人授权委托书：法定代表人参加磋商的，须提供本人身份证复印件（附在响应文件中）；法定代表人授权他人参加磋商的，须提供法定代表人授权委托书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5、非联合体：本项目不接受联合体磋商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西安市杨家村第三军队离休退休干部休养所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陕西省西安市高新区锦业一路西安研祥城市广场C座3楼C－306号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关于招标代理服务收费有关问题的通知》（发改办价格〔2003〕857号）文件规定标准收取，成交单位在领取成交通知书时向代理机构支付代理服务费。 缴纳账户如下： 收款单位： 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西安市杨家村第三军队离休退休干部休养所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西安市杨家村第三军队离休退休干部休养所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以采购文件和合同约定为标准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联系人：李小刚</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地址：陕西省西安市高新区锦业一路西安研祥城市广场C座3楼C－306号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西安市杨家村第三军队离休退休干部休养所拟对军休干部2025年八一、2026年春节慰问品进行采购，每人每批500元固定标准。本项目核心产品为食用油。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食用油、面粉、大米、杂粮干菜礼盒</w:t>
            </w:r>
          </w:p>
        </w:tc>
        <w:tc>
          <w:tcPr>
            <w:tcW w:type="dxa" w:w="831"/>
          </w:tcPr>
          <w:p>
            <w:pPr>
              <w:pStyle w:val="null3"/>
              <w:jc w:val="right"/>
            </w:pPr>
            <w:r>
              <w:rPr>
                <w:rFonts w:ascii="仿宋_GB2312" w:hAnsi="仿宋_GB2312" w:cs="仿宋_GB2312" w:eastAsia="仿宋_GB2312"/>
              </w:rPr>
              <w:t>1,360.00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份</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标的名称：食用油、面粉、大米、杂粮干菜礼盒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color w:val="000000"/>
              </w:rPr>
              <w:t>1、为保证慰问品的采购质量，按每人500元标准进行采购，即结算金额500元/人</w:t>
            </w:r>
            <w:r>
              <w:rPr>
                <w:rFonts w:ascii="仿宋_GB2312" w:hAnsi="仿宋_GB2312" w:cs="仿宋_GB2312" w:eastAsia="仿宋_GB2312"/>
                <w:sz w:val="20"/>
                <w:color w:val="000000"/>
              </w:rPr>
              <w:t>/批</w:t>
            </w:r>
            <w:r>
              <w:rPr>
                <w:rFonts w:ascii="仿宋_GB2312" w:hAnsi="仿宋_GB2312" w:cs="仿宋_GB2312" w:eastAsia="仿宋_GB2312"/>
                <w:sz w:val="20"/>
                <w:color w:val="000000"/>
              </w:rPr>
              <w:t>，预计</w:t>
            </w:r>
            <w:r>
              <w:rPr>
                <w:rFonts w:ascii="仿宋_GB2312" w:hAnsi="仿宋_GB2312" w:cs="仿宋_GB2312" w:eastAsia="仿宋_GB2312"/>
                <w:sz w:val="20"/>
                <w:color w:val="000000"/>
              </w:rPr>
              <w:t>680</w:t>
            </w:r>
            <w:r>
              <w:rPr>
                <w:rFonts w:ascii="仿宋_GB2312" w:hAnsi="仿宋_GB2312" w:cs="仿宋_GB2312" w:eastAsia="仿宋_GB2312"/>
                <w:sz w:val="20"/>
                <w:color w:val="000000"/>
              </w:rPr>
              <w:t>人，后期若人员变动，按</w:t>
            </w:r>
            <w:r>
              <w:rPr>
                <w:rFonts w:ascii="仿宋_GB2312" w:hAnsi="仿宋_GB2312" w:cs="仿宋_GB2312" w:eastAsia="仿宋_GB2312"/>
                <w:sz w:val="20"/>
                <w:color w:val="000000"/>
              </w:rPr>
              <w:t>500元每人</w:t>
            </w:r>
            <w:r>
              <w:rPr>
                <w:rFonts w:ascii="仿宋_GB2312" w:hAnsi="仿宋_GB2312" w:cs="仿宋_GB2312" w:eastAsia="仿宋_GB2312"/>
                <w:sz w:val="20"/>
                <w:color w:val="000000"/>
              </w:rPr>
              <w:t>每批</w:t>
            </w:r>
            <w:r>
              <w:rPr>
                <w:rFonts w:ascii="仿宋_GB2312" w:hAnsi="仿宋_GB2312" w:cs="仿宋_GB2312" w:eastAsia="仿宋_GB2312"/>
                <w:sz w:val="20"/>
                <w:color w:val="000000"/>
              </w:rPr>
              <w:t>据实结算，结算不超过采购预算。</w:t>
            </w:r>
          </w:p>
          <w:p>
            <w:pPr>
              <w:pStyle w:val="null3"/>
              <w:jc w:val="left"/>
            </w:pPr>
            <w:r>
              <w:rPr>
                <w:rFonts w:ascii="仿宋_GB2312" w:hAnsi="仿宋_GB2312" w:cs="仿宋_GB2312" w:eastAsia="仿宋_GB2312"/>
                <w:sz w:val="20"/>
                <w:color w:val="000000"/>
              </w:rPr>
              <w:t>2、交货期：自合同签订之日起至所有货物供货完成之日止。（货物分批次配送，批次不定，每次接到采购人通知2日内完成配送。）</w:t>
            </w:r>
          </w:p>
          <w:p>
            <w:pPr>
              <w:pStyle w:val="null3"/>
              <w:jc w:val="left"/>
            </w:pPr>
            <w:r>
              <w:rPr>
                <w:rFonts w:ascii="仿宋_GB2312" w:hAnsi="仿宋_GB2312" w:cs="仿宋_GB2312" w:eastAsia="仿宋_GB2312"/>
                <w:sz w:val="20"/>
                <w:color w:val="000000"/>
              </w:rPr>
              <w:t>3、交货地点：最终交货地点为接到采购人通知后分批配送至各军休点，部分须邮寄。</w:t>
            </w:r>
          </w:p>
          <w:p>
            <w:pPr>
              <w:pStyle w:val="null3"/>
              <w:jc w:val="left"/>
            </w:pPr>
            <w:r>
              <w:rPr>
                <w:rFonts w:ascii="仿宋_GB2312" w:hAnsi="仿宋_GB2312" w:cs="仿宋_GB2312" w:eastAsia="仿宋_GB2312"/>
                <w:sz w:val="20"/>
                <w:color w:val="000000"/>
              </w:rPr>
              <w:t>4、质保期：保证从交货时间起算剩余质保期≥2/3质保期。</w:t>
            </w:r>
          </w:p>
          <w:p>
            <w:pPr>
              <w:pStyle w:val="null3"/>
              <w:jc w:val="left"/>
            </w:pPr>
            <w:r>
              <w:rPr>
                <w:rFonts w:ascii="仿宋_GB2312" w:hAnsi="仿宋_GB2312" w:cs="仿宋_GB2312" w:eastAsia="仿宋_GB2312"/>
                <w:sz w:val="20"/>
                <w:color w:val="000000"/>
              </w:rPr>
              <w:t>5、包装要求：独立包装，便于运输储存，外包符合国家食品包装规范。</w:t>
            </w:r>
          </w:p>
          <w:p>
            <w:pPr>
              <w:pStyle w:val="null3"/>
              <w:jc w:val="left"/>
            </w:pPr>
            <w:r>
              <w:rPr>
                <w:rFonts w:ascii="仿宋_GB2312" w:hAnsi="仿宋_GB2312" w:cs="仿宋_GB2312" w:eastAsia="仿宋_GB2312"/>
                <w:sz w:val="20"/>
                <w:color w:val="000000"/>
              </w:rPr>
              <w:t>6、质量要求：严格按照《食品安全法》的规定保证质量。严禁添加剂、防腐剂和一些可能危害身体健康的元素含量超标。由于产品质量引起的一切责任由供货商承担，采购人有权终止合同。</w:t>
            </w:r>
          </w:p>
          <w:p>
            <w:pPr>
              <w:pStyle w:val="null3"/>
              <w:jc w:val="left"/>
            </w:pPr>
            <w:r>
              <w:rPr>
                <w:rFonts w:ascii="仿宋_GB2312" w:hAnsi="仿宋_GB2312" w:cs="仿宋_GB2312" w:eastAsia="仿宋_GB2312"/>
                <w:sz w:val="20"/>
                <w:color w:val="000000"/>
              </w:rPr>
              <w:t>7、必须提供具有注册商标的商品，有生产厂家，独立包装的商品（拒绝分装、散装商品）；必须符合《食品法》要求的商品。</w:t>
            </w:r>
          </w:p>
          <w:p>
            <w:pPr>
              <w:pStyle w:val="null3"/>
              <w:jc w:val="left"/>
            </w:pPr>
            <w:r>
              <w:rPr>
                <w:rFonts w:ascii="仿宋_GB2312" w:hAnsi="仿宋_GB2312" w:cs="仿宋_GB2312" w:eastAsia="仿宋_GB2312"/>
                <w:sz w:val="20"/>
                <w:color w:val="000000"/>
              </w:rPr>
              <w:t>8、供应商需具备相应的仓储条件。</w:t>
            </w:r>
          </w:p>
          <w:p>
            <w:pPr>
              <w:pStyle w:val="null3"/>
              <w:jc w:val="both"/>
            </w:pPr>
            <w:r>
              <w:rPr>
                <w:rFonts w:ascii="仿宋_GB2312" w:hAnsi="仿宋_GB2312" w:cs="仿宋_GB2312" w:eastAsia="仿宋_GB2312"/>
                <w:sz w:val="20"/>
                <w:color w:val="000000"/>
              </w:rPr>
              <w:t>9、验收：合同签订后，乙方提供满足甲方要求的数量的货物，统一集中放在乙方仓储地，由甲方进行验收，验收合格后，进行封货。（后期根据甲方的供货需求按时进行供货）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30"/>
              <w:jc w:val="left"/>
            </w:pPr>
            <w:r>
              <w:rPr>
                <w:rFonts w:ascii="仿宋_GB2312" w:hAnsi="仿宋_GB2312" w:cs="仿宋_GB2312" w:eastAsia="仿宋_GB2312"/>
                <w:sz w:val="20"/>
                <w:color w:val="000000"/>
              </w:rPr>
              <w:t>产品技术参数要求：</w:t>
            </w:r>
          </w:p>
          <w:tbl>
            <w:tblPr>
              <w:tblBorders>
                <w:top w:val="none" w:color="000000" w:sz="4"/>
                <w:left w:val="none" w:color="000000" w:sz="4"/>
                <w:bottom w:val="none" w:color="000000" w:sz="4"/>
                <w:right w:val="none" w:color="000000" w:sz="4"/>
                <w:insideH w:val="none"/>
                <w:insideV w:val="none"/>
              </w:tblBorders>
            </w:tblPr>
            <w:tblGrid>
              <w:gridCol w:w="396"/>
              <w:gridCol w:w="693"/>
              <w:gridCol w:w="1463"/>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参数要求</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食用油</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1、净含量：≥5L</w:t>
                  </w:r>
                </w:p>
                <w:p>
                  <w:pPr>
                    <w:pStyle w:val="null3"/>
                    <w:jc w:val="center"/>
                  </w:pPr>
                  <w:r>
                    <w:rPr>
                      <w:rFonts w:ascii="仿宋_GB2312" w:hAnsi="仿宋_GB2312" w:cs="仿宋_GB2312" w:eastAsia="仿宋_GB2312"/>
                      <w:sz w:val="20"/>
                      <w:color w:val="000000"/>
                    </w:rPr>
                    <w:t>2、亚麻籽油</w:t>
                  </w:r>
                  <w:r>
                    <w:rPr>
                      <w:rFonts w:ascii="仿宋_GB2312" w:hAnsi="仿宋_GB2312" w:cs="仿宋_GB2312" w:eastAsia="仿宋_GB2312"/>
                      <w:sz w:val="20"/>
                      <w:color w:val="000000"/>
                    </w:rPr>
                    <w:t>、</w:t>
                  </w:r>
                  <w:r>
                    <w:rPr>
                      <w:rFonts w:ascii="仿宋_GB2312" w:hAnsi="仿宋_GB2312" w:cs="仿宋_GB2312" w:eastAsia="仿宋_GB2312"/>
                      <w:sz w:val="20"/>
                      <w:color w:val="000000"/>
                    </w:rPr>
                    <w:t>菜籽油等</w:t>
                  </w:r>
                  <w:r>
                    <w:rPr>
                      <w:rFonts w:ascii="仿宋_GB2312" w:hAnsi="仿宋_GB2312" w:cs="仿宋_GB2312" w:eastAsia="仿宋_GB2312"/>
                      <w:sz w:val="20"/>
                      <w:color w:val="000000"/>
                    </w:rPr>
                    <w:t>；</w:t>
                  </w:r>
                </w:p>
                <w:p>
                  <w:pPr>
                    <w:pStyle w:val="null3"/>
                    <w:jc w:val="center"/>
                  </w:pPr>
                  <w:r>
                    <w:rPr>
                      <w:rFonts w:ascii="仿宋_GB2312" w:hAnsi="仿宋_GB2312" w:cs="仿宋_GB2312" w:eastAsia="仿宋_GB2312"/>
                      <w:sz w:val="20"/>
                      <w:color w:val="000000"/>
                    </w:rPr>
                    <w:t>3、物理压榨；</w:t>
                  </w:r>
                </w:p>
                <w:p>
                  <w:pPr>
                    <w:pStyle w:val="null3"/>
                    <w:jc w:val="center"/>
                  </w:pPr>
                  <w:r>
                    <w:rPr>
                      <w:rFonts w:ascii="仿宋_GB2312" w:hAnsi="仿宋_GB2312" w:cs="仿宋_GB2312" w:eastAsia="仿宋_GB2312"/>
                      <w:sz w:val="20"/>
                      <w:color w:val="000000"/>
                    </w:rPr>
                    <w:t>4、执行标准：GB/T8235；</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面粉</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1、净含量≥5kg；</w:t>
                  </w:r>
                </w:p>
                <w:p>
                  <w:pPr>
                    <w:pStyle w:val="null3"/>
                    <w:jc w:val="center"/>
                  </w:pPr>
                  <w:r>
                    <w:rPr>
                      <w:rFonts w:ascii="仿宋_GB2312" w:hAnsi="仿宋_GB2312" w:cs="仿宋_GB2312" w:eastAsia="仿宋_GB2312"/>
                      <w:sz w:val="20"/>
                      <w:color w:val="000000"/>
                    </w:rPr>
                    <w:t>2、执行标准：GB/T 1355。</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大米</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1、净含量：≥5kg；</w:t>
                  </w:r>
                </w:p>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执行标准：GB/T19266；</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杂粮干菜礼盒</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1、种类≥8种</w:t>
                  </w:r>
                </w:p>
                <w:p>
                  <w:pPr>
                    <w:pStyle w:val="null3"/>
                    <w:jc w:val="center"/>
                  </w:pPr>
                  <w:r>
                    <w:rPr>
                      <w:rFonts w:ascii="仿宋_GB2312" w:hAnsi="仿宋_GB2312" w:cs="仿宋_GB2312" w:eastAsia="仿宋_GB2312"/>
                      <w:sz w:val="20"/>
                      <w:color w:val="000000"/>
                    </w:rPr>
                    <w:t>2、净含量：≥2500g；</w:t>
                  </w:r>
                </w:p>
                <w:p>
                  <w:pPr>
                    <w:pStyle w:val="null3"/>
                    <w:jc w:val="center"/>
                  </w:pPr>
                  <w:r>
                    <w:rPr>
                      <w:rFonts w:ascii="仿宋_GB2312" w:hAnsi="仿宋_GB2312" w:cs="仿宋_GB2312" w:eastAsia="仿宋_GB2312"/>
                      <w:sz w:val="20"/>
                      <w:color w:val="000000"/>
                    </w:rPr>
                    <w:t>3、礼盒装。</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left"/>
            </w:pPr>
            <w:r>
              <w:rPr>
                <w:rFonts w:ascii="仿宋_GB2312" w:hAnsi="仿宋_GB2312" w:cs="仿宋_GB2312" w:eastAsia="仿宋_GB2312"/>
                <w:sz w:val="20"/>
                <w:b/>
                <w:color w:val="000000"/>
              </w:rPr>
              <w:t>样品要求</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1）提供拟投每种产品样品各一份参与评审；规格与</w:t>
            </w:r>
            <w:r>
              <w:rPr>
                <w:rFonts w:ascii="仿宋_GB2312" w:hAnsi="仿宋_GB2312" w:cs="仿宋_GB2312" w:eastAsia="仿宋_GB2312"/>
                <w:sz w:val="20"/>
                <w:color w:val="000000"/>
              </w:rPr>
              <w:t>采购</w:t>
            </w:r>
            <w:r>
              <w:rPr>
                <w:rFonts w:ascii="仿宋_GB2312" w:hAnsi="仿宋_GB2312" w:cs="仿宋_GB2312" w:eastAsia="仿宋_GB2312"/>
                <w:sz w:val="20"/>
                <w:color w:val="000000"/>
              </w:rPr>
              <w:t>文件要求相一致。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样品提供不全或未提供，样品评审不得分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3）样品提交的相关事宜：</w:t>
            </w:r>
          </w:p>
          <w:p>
            <w:pPr>
              <w:pStyle w:val="null3"/>
              <w:jc w:val="left"/>
            </w:pPr>
            <w:r>
              <w:rPr>
                <w:rFonts w:ascii="仿宋_GB2312" w:hAnsi="仿宋_GB2312" w:cs="仿宋_GB2312" w:eastAsia="仿宋_GB2312"/>
                <w:sz w:val="20"/>
                <w:color w:val="000000"/>
              </w:rPr>
              <w:t>①所提供样品需要密封，在密封包装上注明项目名称、项目编号、供应商名称等内容，并加盖单位公章。</w:t>
            </w:r>
          </w:p>
          <w:p>
            <w:pPr>
              <w:pStyle w:val="null3"/>
              <w:jc w:val="left"/>
            </w:pPr>
            <w:r>
              <w:rPr>
                <w:rFonts w:ascii="仿宋_GB2312" w:hAnsi="仿宋_GB2312" w:cs="仿宋_GB2312" w:eastAsia="仿宋_GB2312"/>
                <w:sz w:val="20"/>
                <w:color w:val="000000"/>
              </w:rPr>
              <w:t>②采购人及评审小组不对样品进行封装且不支付所拆验样品的费用。</w:t>
            </w:r>
          </w:p>
          <w:p>
            <w:pPr>
              <w:pStyle w:val="null3"/>
              <w:jc w:val="left"/>
            </w:pPr>
            <w:r>
              <w:rPr>
                <w:rFonts w:ascii="仿宋_GB2312" w:hAnsi="仿宋_GB2312" w:cs="仿宋_GB2312" w:eastAsia="仿宋_GB2312"/>
                <w:sz w:val="20"/>
                <w:color w:val="000000"/>
              </w:rPr>
              <w:t>③包装上印制的图案、品名、产地、净含量等符合国家食品包装规范。</w:t>
            </w:r>
          </w:p>
          <w:p>
            <w:pPr>
              <w:pStyle w:val="null3"/>
              <w:jc w:val="left"/>
            </w:pPr>
            <w:r>
              <w:rPr>
                <w:rFonts w:ascii="仿宋_GB2312" w:hAnsi="仿宋_GB2312" w:cs="仿宋_GB2312" w:eastAsia="仿宋_GB2312"/>
                <w:sz w:val="20"/>
                <w:color w:val="000000"/>
              </w:rPr>
              <w:t>④</w:t>
            </w:r>
            <w:r>
              <w:rPr>
                <w:rFonts w:ascii="仿宋_GB2312" w:hAnsi="仿宋_GB2312" w:cs="仿宋_GB2312" w:eastAsia="仿宋_GB2312"/>
                <w:sz w:val="20"/>
                <w:color w:val="000000"/>
              </w:rPr>
              <w:t>投标产品需打开后进行评审，无偿供评标专家鉴别商品质量，已启封（食品类）投标商品样品不退，如未中标供应商要求退还自家样品，在中标结果公示后</w:t>
            </w:r>
            <w:r>
              <w:rPr>
                <w:rFonts w:ascii="仿宋_GB2312" w:hAnsi="仿宋_GB2312" w:cs="仿宋_GB2312" w:eastAsia="仿宋_GB2312"/>
                <w:sz w:val="20"/>
                <w:color w:val="000000"/>
              </w:rPr>
              <w:t>3个工作日内到代理公司进行领取，中标供应商样品</w:t>
            </w:r>
            <w:r>
              <w:rPr>
                <w:rFonts w:ascii="仿宋_GB2312" w:hAnsi="仿宋_GB2312" w:cs="仿宋_GB2312" w:eastAsia="仿宋_GB2312"/>
                <w:sz w:val="20"/>
                <w:color w:val="000000"/>
              </w:rPr>
              <w:t>作为验收依据由采购人进行保管。</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4）样品类型：食用油≥5L、面粉≥5kg、大米≥5kg、杂粮干菜礼盒≥2500g。样品于磋商文件递交截止时间前送</w:t>
            </w:r>
            <w:r>
              <w:rPr>
                <w:rFonts w:ascii="仿宋_GB2312" w:hAnsi="仿宋_GB2312" w:cs="仿宋_GB2312" w:eastAsia="仿宋_GB2312"/>
                <w:sz w:val="20"/>
                <w:color w:val="000000"/>
              </w:rPr>
              <w:t>至</w:t>
            </w:r>
            <w:r>
              <w:rPr>
                <w:rFonts w:ascii="仿宋_GB2312" w:hAnsi="仿宋_GB2312" w:cs="仿宋_GB2312" w:eastAsia="仿宋_GB2312"/>
                <w:sz w:val="20"/>
                <w:color w:val="000000"/>
              </w:rPr>
              <w:t>陕西慧科工程管理咨询有限公司</w:t>
            </w:r>
            <w:r>
              <w:rPr>
                <w:rFonts w:ascii="仿宋_GB2312" w:hAnsi="仿宋_GB2312" w:cs="仿宋_GB2312" w:eastAsia="仿宋_GB2312"/>
                <w:sz w:val="20"/>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自合同签订之日起至所有货物供货完成之日止。（货物分批次配送，批次不定，每次接到采购人通知2日内完成配送。）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最终交货地点为接到采购人通知后分批次配送到各军休点，部分需邮寄。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合同签订后，2025年八一慰问品供货结束，经甲方验收合格后，根据实际需求数量，按照500元/人/批标准，据实进行结算已供货款。乙方须开具足额发票给甲方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2026年春节慰问品供货结束，经甲方验收合格后，根据实际需求数量，按照500元/人/批标准，据实进行结算已供货款，最终结算额不超过采购预算。乙方须开具足额发票给甲方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205号)。合同签订后，乙方提供满足甲方要求的数量的货物，统一集中放在乙方仓储地，由甲方进行验收，验收合格后，进行封货。（后期根据甲方的供货需求按时进行供货）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质保期：保证从交货时间起算剩余质保期≥2/3质保期。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1、本项目为500元/人/批固定标准，不作调整，价格不竞争。 二次报价环节需与一次保持一致，为500元/人/批。同时上传附件。 2、供应商需要在线提交所有通过电子化交易平台实施的政府采购项目的响应文件。 3、本项目核心产品为食用油。 4、成交通知书发出后，成交供应商须向采购人提交竞争性磋商响应文件纸质版一正一副（纸质版响应文件与电子版响应文件保持一致）。 5、采购文件2.6.1内容为电子化交易系统采购文件模板，无法修改。根据陕西省财政厅关于持续优化政府采购营商环境有关事项的通知--陕财办采〔2024〕9 号的要求，采购人应在中标(成交)通知书发出之日起25日内，按照采购文件确定的事项与中标(成交)供应商签订政府采购合同。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参与的供应商服务全部由符合政策要求的大中小企业承接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本项目为固定标准500元/人/批，价格不竞争</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分项报价表.docx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分项报价表.docx 产品技术参数表 供应商应提交的相关资格证明材料.docx 中小企业声明函 残疾人福利性单位声明函 商务应答表 标的清单 报价表 响应函 监狱企业的证明文件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根据供应商提供的“▲”项（序号2中）产品技术参数的响应情况，满足磋商文件要求的得14分，参数中净含量负偏离的，每1项扣2分，其余参数每负偏离1项扣1分，扣完为止，不计负分。 评审依据：以提供的相关证明资料（如产品宣传、产品图片、相关检测报告等其他材料任选其一）和产品技术参数表为准，予以证明参数的技术响应性。若未提供视为负偏离。 注：若虚假响应按无效投标处理。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供应商提供的实施方案，（1）合理清晰满足采购需求的产品选型及搭配方案。 ①方案详细，合理性可行性强，计5分； ②方案较详细，合理性可行性较强，计3分； ③方案较差，合理性可行性差，计1分。 ④未提供不计分。 （2）组织机构及人员配置方案。 ①方案详细，合理性可行性强，计4分； ②方案较详细，合理性可行性较强，计2分； ③方案较差，合理性可行性差，计1分。 ④未提供不计分。 （3）实施进度计划。 ①计划安排详细，合理性可行性强，计5分； ②计划安排较详细，合理性可行性较强，计3分； ③计划安排较差，合理性可行性差，计1分。 ④未提供不计分。 （4）实施服务保障措施。 ①措施详细，合理性可行性强，计4分； ②措施较详细，合理性可行性较强，计2分； ③措施较差，合理性可行性差，计1分。 ④未提供不计分。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配送、发放及验收方案</w:t>
            </w:r>
          </w:p>
        </w:tc>
        <w:tc>
          <w:tcPr>
            <w:tcW w:type="dxa" w:w="2492"/>
          </w:tcPr>
          <w:p>
            <w:pPr>
              <w:pStyle w:val="null3"/>
            </w:pPr>
            <w:r>
              <w:rPr>
                <w:rFonts w:ascii="仿宋_GB2312" w:hAnsi="仿宋_GB2312" w:cs="仿宋_GB2312" w:eastAsia="仿宋_GB2312"/>
              </w:rPr>
              <w:t>供应商应提供合理可行的配送、发放及验收方案。至少包含： （1）配送及发放(含邮寄)方案。 ①方案详细，合理性可行性强，计4分； ②方案较详细，合理性可行性较强，计2分； ③方案较差，合理性可行性差，计1分。 ④未提供不计分。 （2）产品验收方案。 ①方案详细，合理性可行性强，计4分； ②方案较详细，合理性可行性较强，计2分； ③方案较差，合理性可行性差，计1分。 ④未提供不计分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（1）提供的物资有明确的质量保证措施及承诺，承诺保质、保量、包换、包退，确保供应的产品无质量问题。 ①措施及承诺具体，合理性可行性强，计5分； ②措施及承诺较详细，合理性可行性较强，计3分； ③措施及承诺较差，合理性可行性差，计1分。 ④未提供不计分。 （2）供应商须提供产品来源渠道合法证明材料（提供销售协议或代理协议或原厂授权书等证明材料）每提供1个产品的来源渠道合法证明材料，得1分，最高计4分。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包含①售后服务机构及人员安排情况、②售后服务响应时间与处理时间、③售后服务质量保证措施、④服务承诺、⑤对于食品出现质量问题时，有切实可行的应对方案。 以上五项内容，分别进行详细评审。 ①每项方案内容明确、全面、针对性强，得3分。 ②每项方案内容一般、较全面、针对性较强，得2分。 ③每项方案差计1分。 ④未提供计0分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根据供应商提供的2022年1月1日以来类似项目业绩（以合同复印件加盖公章为准），每提供一份得3分，最高得15分。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1、大米： （1）大米品质 ①品质颗粒饱满，没有生霉、无其他杂质、碎米，色泽、气味正常计2分； ②颗粒较饱满，色泽较差，计1分。 ③产品质量差及其他情况不得分。 （2）产品包装 ①包装规范、标识齐全、表述清晰，营养成分标注符合国家标准计2分。 ②包装一般，标识较齐全，产品信息描述简单，计1分。 ③其他情况不得分。 2、面粉 （1）面粉品质 ①面粉颜色自然白净、颗粒均匀、粉质细腻、无其他杂质、计2分； ②面粉颜色较白净、颗粒较均匀、粉质较细腻，计1分。 ③面粉颜色发黄、粉质粗糙等其他情况不得分。 （2）产品包装 ①包装规范、标识齐全表述清晰，营养成分、配料标注符合国家标准计2分； ② 包装一般，标识较齐全，产品信息描述简单，计1分。 ③其他情况不得分。 3、食用油： （1）产品质量 ①无酸败、焦糊及其他异味，色泽透明均匀，不含异物计2分； ②色泽较透明均匀，计1分； ③其他情况不得分。 （2）产品包装 ①产品包装规范、标识齐全表述清晰，营养成分、配料标注符合国家标准计2分； ②包装一般，标识较齐全，产品信息描述简单，计1分。 ③其他情况不得分。 4、杂粮干菜礼盒 （1）产品品质 ①种类多、色泽、气味正常、品质好计2分；②种类较多，品质一般，计1分。 ③其他情况不得分。 （2）产品包装 ①产品包装规范、标识齐全表述清晰，计2分； ②包装一般，标识较齐全，产品信息描述简单，计1分。 ③其他情况不得分。 5、其他要求：样品提供不全或未提供，样品评审不得分。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应急处置措施</w:t>
            </w:r>
          </w:p>
        </w:tc>
        <w:tc>
          <w:tcPr>
            <w:tcW w:type="dxa" w:w="2492"/>
          </w:tcPr>
          <w:p>
            <w:pPr>
              <w:pStyle w:val="null3"/>
            </w:pPr>
            <w:r>
              <w:rPr>
                <w:rFonts w:ascii="仿宋_GB2312" w:hAnsi="仿宋_GB2312" w:cs="仿宋_GB2312" w:eastAsia="仿宋_GB2312"/>
              </w:rPr>
              <w:t>针对供应商的突发事件处置预案进行综合评审，包括服务供货过程中可能发生的紧急事件分析及应对措施等。 ①方案详细，合理性可行性强，计5分； ②方案较详细，合理性可行性较强，计3分； ③方案较差，合理性可行性差，计1分。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详见附件：产品技术参数表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