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版本号：SXDY-2O25-13320250619001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洗地机及扫地机采购项目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SXDY-2O25-133</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洗地机及扫地机采购项目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SXDY-2O25-133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洗地机及扫地机采购项目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洗地机及扫地机采购项目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采购包1（洗地机及扫地机采购项目）：属于专门面向中小企业采购。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2、参加政府采购活动前3年内在经营活动中没有重大违法记录：参加政府采购活动前3年内在经营活动中没有重大违法记录；供应商需在项目电子化交易系统中按要求上传相应证明文件并进行电子签章；</w:t>
      </w:r>
    </w:p>
    <w:p>
      <w:pPr>
        <w:pStyle w:val="null3"/>
      </w:pPr>
      <w:r>
        <w:rPr>
          <w:rFonts w:ascii="仿宋_GB2312" w:hAnsi="仿宋_GB2312" w:cs="仿宋_GB2312" w:eastAsia="仿宋_GB2312"/>
        </w:rPr>
        <w:t>3、信用主体查询：供应商未被列入“中国执行信息公开网”网站（http://zxgk.court.gov.cn/shixin/）记录“失信被执行人”“重大税收违法案件当事人名单”；不处于中国政府采购网（www.ccgp.gov.cn）政府采购严重违法失信行为信息记录中的禁止参加政府采购活动期间；供应商应提供网站查询截图；</w:t>
      </w:r>
    </w:p>
    <w:p>
      <w:pPr>
        <w:pStyle w:val="null3"/>
      </w:pPr>
      <w:r>
        <w:rPr>
          <w:rFonts w:ascii="仿宋_GB2312" w:hAnsi="仿宋_GB2312" w:cs="仿宋_GB2312" w:eastAsia="仿宋_GB2312"/>
        </w:rPr>
        <w:t>4、财务状况报告：提供2023年或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提供投标截止之日起前6个月内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提供投标截止之日起前6个月内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本项目不接受联合体响应，不允许分包：本项目不接受联合体响应，不允许分包：供应商提供《非联合体、不分包投标声明》，视为独立响应，不分包；供应商应提供承诺书，格式及内容具体参见“响应文件格式”；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张鹏英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85431623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陕西省西安市雁塔区西三交村长丰园I区1幢C单元11层1110室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朱娟娟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18509212907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采购包1：537,600.00元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 ：代理服务费参照《国家计委关于印发&lt;招标代理服务收费管理暂行办法&gt;的通知》（计价格[2002]1980号）规定标准下浮10%按标段收取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联系人：朱娟娟</w:t>
      </w:r>
    </w:p>
    <w:p>
      <w:pPr>
        <w:pStyle w:val="null3"/>
      </w:pPr>
      <w:r>
        <w:rPr>
          <w:rFonts w:ascii="仿宋_GB2312" w:hAnsi="仿宋_GB2312" w:cs="仿宋_GB2312" w:eastAsia="仿宋_GB2312"/>
        </w:rPr>
        <w:t>联系电话：18509212907</w:t>
      </w:r>
    </w:p>
    <w:p>
      <w:pPr>
        <w:pStyle w:val="null3"/>
      </w:pPr>
      <w:r>
        <w:rPr>
          <w:rFonts w:ascii="仿宋_GB2312" w:hAnsi="仿宋_GB2312" w:cs="仿宋_GB2312" w:eastAsia="仿宋_GB2312"/>
        </w:rPr>
        <w:t>地址：陕西省西安市雁塔区西三交村长丰园I区1幢C单元11层1110室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洗地机及扫地机采购项目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537,600.00</w:t>
      </w:r>
    </w:p>
    <w:p>
      <w:pPr>
        <w:pStyle w:val="null3"/>
      </w:pPr>
      <w:r>
        <w:rPr>
          <w:rFonts w:ascii="仿宋_GB2312" w:hAnsi="仿宋_GB2312" w:cs="仿宋_GB2312" w:eastAsia="仿宋_GB2312"/>
        </w:rPr>
        <w:t>采购包最高限价（元）: 537,600.00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洗地机及扫地机采购项目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标的名称：洗地机及扫地机采购项目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一、采购内容：</w:t>
            </w:r>
          </w:p>
          <w:p>
            <w:pPr>
              <w:pStyle w:val="null3"/>
              <w:spacing w:before="120"/>
              <w:jc w:val="both"/>
            </w:pPr>
            <w:r>
              <w:rPr>
                <w:rFonts w:ascii="仿宋_GB2312" w:hAnsi="仿宋_GB2312" w:cs="仿宋_GB2312" w:eastAsia="仿宋_GB2312"/>
                <w:sz w:val="21"/>
                <w:b/>
              </w:rPr>
              <w:t>1.智慧型驾驶式洗地机技术参数 3台</w:t>
            </w:r>
          </w:p>
          <w:p>
            <w:pPr>
              <w:pStyle w:val="null3"/>
              <w:jc w:val="both"/>
            </w:pPr>
            <w:r>
              <w:rPr>
                <w:rFonts w:ascii="仿宋_GB2312" w:hAnsi="仿宋_GB2312" w:cs="仿宋_GB2312" w:eastAsia="仿宋_GB2312"/>
                <w:sz w:val="21"/>
              </w:rPr>
              <w:t>1.硬件主要要求：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锂电新能源电池，电压36V；电瓶最大重量35kg*6（2）、清水箱≥160L+污水箱≥180L；（3）、配置高压水枪；（4）、前置LED大灯+后警示灯；（5）、铝铸弧形吸水扒，吸水扒配置防撞轮；吸扒宽≥1100mm（6）、刷盘电机:≥2*450W、驱动电机≥650W、吸水电机≥730W；（7）、地刷直径:≥2*450mm；</w:t>
            </w:r>
          </w:p>
          <w:p>
            <w:pPr>
              <w:pStyle w:val="null3"/>
              <w:jc w:val="both"/>
            </w:pPr>
            <w:r>
              <w:rPr>
                <w:rFonts w:ascii="仿宋_GB2312" w:hAnsi="仿宋_GB2312" w:cs="仿宋_GB2312" w:eastAsia="仿宋_GB2312"/>
                <w:sz w:val="21"/>
              </w:rPr>
              <w:t>2.主要性能要求：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1）、刷盘转速≥300rmp；（2）、爬坡能力≥15%；（3）、寿命≥2500小时 （4）最大速度:6.5km/h；（5）工作效率:≥5900㎡／H；（6）清洗宽≥850mm</w:t>
            </w:r>
          </w:p>
          <w:p>
            <w:pPr>
              <w:pStyle w:val="null3"/>
              <w:jc w:val="both"/>
            </w:pPr>
            <w:r>
              <w:rPr>
                <w:rFonts w:ascii="仿宋_GB2312" w:hAnsi="仿宋_GB2312" w:cs="仿宋_GB2312" w:eastAsia="仿宋_GB2312"/>
                <w:sz w:val="21"/>
              </w:rPr>
              <w:t>3.具有以下功能：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转弯自动减速；（2）、自动升降功能（吸水扒，刷盘自动升）降；（3）、电子驻车功能；（4）、污水箱配有满水停机装置（5）、实时监控工作状态、工作成果、追踪设备轨迹、查看设备电量、了解设备故障</w:t>
            </w:r>
          </w:p>
          <w:p>
            <w:pPr>
              <w:pStyle w:val="null3"/>
              <w:spacing w:before="120"/>
              <w:jc w:val="both"/>
            </w:pPr>
            <w:r>
              <w:rPr>
                <w:rFonts w:ascii="仿宋_GB2312" w:hAnsi="仿宋_GB2312" w:cs="仿宋_GB2312" w:eastAsia="仿宋_GB2312"/>
                <w:sz w:val="21"/>
                <w:b/>
              </w:rPr>
              <w:t>2.半封闭驾驶式扫地机技术参数  2台</w:t>
            </w:r>
          </w:p>
          <w:p>
            <w:pPr>
              <w:pStyle w:val="null3"/>
              <w:spacing w:before="120"/>
              <w:jc w:val="both"/>
            </w:pPr>
            <w:r>
              <w:rPr>
                <w:rFonts w:ascii="仿宋_GB2312" w:hAnsi="仿宋_GB2312" w:cs="仿宋_GB2312" w:eastAsia="仿宋_GB2312"/>
                <w:sz w:val="21"/>
              </w:rPr>
              <w:t>1.硬件主要要求：</w:t>
            </w:r>
          </w:p>
          <w:p>
            <w:pPr>
              <w:pStyle w:val="null3"/>
              <w:spacing w:before="120"/>
              <w:jc w:val="both"/>
            </w:pPr>
            <w:r>
              <w:rPr>
                <w:rFonts w:ascii="仿宋_GB2312" w:hAnsi="仿宋_GB2312" w:cs="仿宋_GB2312" w:eastAsia="仿宋_GB2312"/>
                <w:sz w:val="21"/>
              </w:rPr>
              <w:t>（</w:t>
            </w:r>
            <w:r>
              <w:rPr>
                <w:rFonts w:ascii="仿宋_GB2312" w:hAnsi="仿宋_GB2312" w:cs="仿宋_GB2312" w:eastAsia="仿宋_GB2312"/>
                <w:sz w:val="21"/>
              </w:rPr>
              <w:t>1）清水箱≥150L，集尘箱≥200L；（2）驱动电机≥1800W，电压：48V（3）主刷宽度≥800*350mm*2；</w:t>
            </w:r>
          </w:p>
          <w:p>
            <w:pPr>
              <w:pStyle w:val="null3"/>
              <w:spacing w:before="120"/>
              <w:jc w:val="both"/>
            </w:pPr>
            <w:r>
              <w:rPr>
                <w:rFonts w:ascii="仿宋_GB2312" w:hAnsi="仿宋_GB2312" w:cs="仿宋_GB2312" w:eastAsia="仿宋_GB2312"/>
                <w:sz w:val="21"/>
              </w:rPr>
              <w:t>2.主要性能要求：</w:t>
            </w:r>
          </w:p>
          <w:p>
            <w:pPr>
              <w:pStyle w:val="null3"/>
              <w:spacing w:before="120"/>
              <w:jc w:val="both"/>
            </w:pPr>
            <w:r>
              <w:rPr>
                <w:rFonts w:ascii="仿宋_GB2312" w:hAnsi="仿宋_GB2312" w:cs="仿宋_GB2312" w:eastAsia="仿宋_GB2312"/>
                <w:sz w:val="21"/>
              </w:rPr>
              <w:t>（</w:t>
            </w:r>
            <w:r>
              <w:rPr>
                <w:rFonts w:ascii="仿宋_GB2312" w:hAnsi="仿宋_GB2312" w:cs="仿宋_GB2312" w:eastAsia="仿宋_GB2312"/>
                <w:sz w:val="21"/>
              </w:rPr>
              <w:t>1）1小时清扫≥12000㎡；（2）最大爬坡25%；（3）工作时间≥6H；（4）行走速度：8km/h；（5）清扫宽度≥1500mm；</w:t>
            </w:r>
          </w:p>
          <w:p>
            <w:pPr>
              <w:pStyle w:val="null3"/>
              <w:jc w:val="both"/>
            </w:pPr>
            <w:r>
              <w:rPr>
                <w:rFonts w:ascii="仿宋_GB2312" w:hAnsi="仿宋_GB2312" w:cs="仿宋_GB2312" w:eastAsia="仿宋_GB2312"/>
                <w:sz w:val="21"/>
                <w:b/>
              </w:rPr>
              <w:t>二、技术要求：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、在产品质保间，服务方需定期对设备进行全面检查保养，以达到让设备更加良好的运作。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、服务方方须根据甲方的需要，无偿对洗地机的操作使用进行指导或培训。</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、当设备出现故障时，乙方在接到甲方的维修确认电话</w:t>
            </w:r>
            <w:r>
              <w:rPr>
                <w:rFonts w:ascii="仿宋_GB2312" w:hAnsi="仿宋_GB2312" w:cs="仿宋_GB2312" w:eastAsia="仿宋_GB2312"/>
                <w:sz w:val="21"/>
              </w:rPr>
              <w:t>2</w:t>
            </w:r>
            <w:r>
              <w:rPr>
                <w:rFonts w:ascii="仿宋_GB2312" w:hAnsi="仿宋_GB2312" w:cs="仿宋_GB2312" w:eastAsia="仿宋_GB2312"/>
                <w:sz w:val="21"/>
              </w:rPr>
              <w:t>小时内响应，</w:t>
            </w:r>
            <w:r>
              <w:rPr>
                <w:rFonts w:ascii="仿宋_GB2312" w:hAnsi="仿宋_GB2312" w:cs="仿宋_GB2312" w:eastAsia="仿宋_GB2312"/>
                <w:sz w:val="21"/>
              </w:rPr>
              <w:t>4</w:t>
            </w:r>
            <w:r>
              <w:rPr>
                <w:rFonts w:ascii="仿宋_GB2312" w:hAnsi="仿宋_GB2312" w:cs="仿宋_GB2312" w:eastAsia="仿宋_GB2312"/>
                <w:sz w:val="21"/>
              </w:rPr>
              <w:t>小时内根据故障情况委派专业技术人员到达现场处理问题。</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、遇重大节日时，服务方需要有专人根据甲方需求现场值守，以保障设备正常的运行及故障维修。</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、在服务期间，设备故障需更换相关元器件时，须经过甲方认可后，方可更换，并保证其更换配件保修时间在一年以上。</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、在服务期间，有超出原有服务费用的情况，须无条件配合接受甲方的申请付款流程。</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、维修保养过程中所提供的配品配件，符合国内相关标准，须出具相关合格证书或检测报告。</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、质保期配置的维保人员齐全、组成合理、职责分工明确。</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、供应商应设立</w:t>
            </w:r>
            <w:r>
              <w:rPr>
                <w:rFonts w:ascii="仿宋_GB2312" w:hAnsi="仿宋_GB2312" w:cs="仿宋_GB2312" w:eastAsia="仿宋_GB2312"/>
                <w:sz w:val="21"/>
              </w:rPr>
              <w:t xml:space="preserve">24 </w:t>
            </w:r>
            <w:r>
              <w:rPr>
                <w:rFonts w:ascii="仿宋_GB2312" w:hAnsi="仿宋_GB2312" w:cs="仿宋_GB2312" w:eastAsia="仿宋_GB2312"/>
                <w:sz w:val="21"/>
              </w:rPr>
              <w:t>小时值班电话，有安全有效的故障处理措施。</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、根据供应商售后服务保障体系、维护响应计划进。</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、本项目所涉及设备的维护维保有针对性的措施。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合同签订后10个工作日完成产品配送到位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合同签订后，甲方在10日内，向乙方支付合同总金额的50%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乙方送货调试完毕，且经甲方最终验收合格后，甲方在30日内，向乙方支付剩余合同总金额的50%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4、质保期满后：由乙方出具质保期运行质量报告，作为质保金支付依据，若存在质量问题，应按相应规定协商处理。 5、验收依据： 5-1、合同文本、合同附件、招标文件、投标文件。 5-2、国内相应的标准、规范。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（1）所有产品质量必须符合现行的国家标准或国家行政部门颁布的法律法规、规章制度等。没有国家标准的，可以参考行业标准。所有设备及辅材必须是未使用过的新产品，质量优良、渠道正当，配置合理。 （2）质保期设备自最终验收合格之日起，免费保修24个月。免费质保期从货物供货、安装、调试正常且经采购人最终验收合格后开始计算。免费质保期内对所投产品进行免费维修，免费质保期满后，供应商负责终身维修，其产生的维修费用由采购人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果协商开始后六十（60）天还不能解决，双方可依以下一种方式解决：①双方达成仲裁协议，向约定的仲裁委员会申请仲裁；②向甲方住所地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2022年1月1日至今（以合同签订日期为准），类似项目业绩。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中国执行信息公开网”网站（http://zxgk.court.gov.cn/shixin/）记录“失信被执行人”“重大税收违法案件当事人名单”；不处于中国政府采购网（www.ccgp.gov.cn）政府采购严重违法失信行为信息记录中的禁止参加政府采购活动期间；供应商应提供网站查询截图；</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起前6个月内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起前6个月内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承诺书，格式及内容具体参见“响应文件格式”；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业绩一览表.docx 投标人认为有必要说明、阐述的事项或其他材料.docx 中小企业声明函 商务应答表 质疑函.docx 偏离表.docx 投标人应提交的相关资格证明材料 投诉书.docx 产品技术参数表 分项报价表.docx 投标函 残疾人福利性单位声明函 标的清单 投标人资格证明文件.docx 投标文件封面 实施方案.docx 货物简要说明一览表.docx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技术参数明确配置齐全、功能满足招标文件要求，对每个要求逐条进行明确响应，技术指标全部响应，没有负偏离得基础分20分； 2、如评审小组认为供应商出现复制粘贴招标文件技术要求的情况，每出现一处扣1分，最高不超过5分。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（一）评审内容 根据本项目实际需求及特点，制定合同主要条款，合同主要条款内容包含①到货时间付款②交货③验收、售后服务等方面进行响应说明 （二）评审标准 1、完整性：方案须全面，对评审内容中的各项要求有详细描述及说明； 2、可实施性：切合本项目实际情况，实施步骤清晰、合理； 3、针对性：方案能够紧扣项目实际情况，内容科学合理。 （三）赋分标准（满分9分） ①项到货时间付款：每完全满足一项评审标准得1分，满分3分； ②交货：每完全满足一项评审标准得1分，满分3分； ③验收、售后服务：每完全满足一项评审标准得1分，满分3分。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根据本项目实际需求及特点，制定实施方案，实施方案内容包含①项目实施图及布局图、进度计划；②供货、安装、调试；③验收措施计划。 （二）评审标准 1、完整性：方案须全面，对评审内容中的各项要求有详细描述及说明； 2、可实施性：切合本项目实际情况，实施步骤清晰、合理； 3、针对性：方案能够紧扣项目实际情况，内容科学合理。 （三）赋分标准（满分9分） ①项目实施图及布局图、进度计划：每完全满足一项评审标准得1分，满分3分； ②供货、安装、调试：每完全满足一项评审标准得1分，满分3分； ③验收措施计划：每完全满足一项评审标准得1分，满分3分。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针对本项目提供保障措施，包括但不限于①合理的进度计划安排②质量保障措施及承诺③安全保证措施完善。 （二）评审标准 1、完整性：方案须全面，对评审内容中的各项要求有详细描述及说明； 2、可实施性：切合本项目实际情况，实施步骤清晰、合理； 3、针对性：方案能够紧扣项目实际情况，内容科学合理。 （三）赋分标准（满分9分） ①合理的进度计划安排：每完全满足一项评审标准得1分，满分3分； ②质量保障措施及承诺：每完全满足一项评审标准得1分，满分3分； ③安全保证措施完善：每完全满足一项评审标准得1分，满分3分。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根据本项目特点制定应急方案，方案应包括但不限于①应急供货方案②其他应急突发状况处置措施。 （二）评审标准 1、完整性：方案须全面，对评审内容中的各项要求有详细描述及说明； 2、可实施性：切合本项目实际情况，实施步骤清晰、合理； 3、针对性：方案能够紧扣项目实际情况，内容科学合理。 （三）赋分标准（满分6分） ①应急供货方案：每完全满足一项评审标准得1分，满分3分； ②其他应急突发状况处置措施：每完全满足一项评审标准得1分，满分3分；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根据本项目制定培训，方案应包括但不限于①培训方案②培训内容、方式等。 （二）评审标准 1、完整性：方案须全面，对评审内容中的各项要求有详细描述及说明； 2、可实施性：切合本项目实际情况，实施步骤清晰、合理； 3、针对性：方案能够紧扣项目实际情况，内容科学合理。 （三）赋分标准（满分6分） ①培训方案：每完全满足一项评审标准得1分，满分3分； ②培训内容、方式等：每完全满足一项评审标准得1分，满分3分；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针对本项目提供具体可行的售后服务，包括：①针对本项目的售后质量保证方案及承诺；②具有建全的售后服务机构、配备专职配送人员及应急处理人员。 （二）评审标准 1、完整性：方案须全面，对评审内容中的各项要求有详细描述及说明； 2、可实施性：切合本项目实际情况，实施步骤清晰、合理； 3、针对性：方案能够紧扣项目实际情况，内容科学合理。 （三）赋分标准（满分6分） ①针对本项目的售后质量保证方案及承诺；：每完全满足一项评审标准得1分，满分3分； ②具有建全的售后服务机构、配备专职配送人员及应急处理人员：每完全满足一项评审标准得1分，满分3分；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提供供应商2022年1月1日至截标时间前类似项目业绩（以合同签订日期为准）每1份符合类似项目业绩合同计1分，满分5分。 备注：业绩证明（以合同为准，须在投标文件中附合同扫描件加盖单位公章）弄虚作假者，取消其中标资格。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详见附件：投标人认为有必要说明、阐述的事项或其他材料.docx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