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版本号：SXLXFW-2025-02520250623001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2025年西安地区地面沉降地裂缝及地下水监测项目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SXLXFW-2025-025</w:t>
      </w:r>
      <w:r>
        <w:br/>
      </w:r>
      <w:r>
        <w:br/>
      </w:r>
      <w:r>
        <w:br/>
      </w:r>
    </w:p>
    <w:p>
      <w:pPr>
        <w:pStyle w:val="null3"/>
        <w:jc w:val="center"/>
        <w:outlineLvl w:val="5"/>
      </w:pPr>
      <w:r>
        <w:rPr>
          <w:rFonts w:ascii="仿宋_GB2312" w:hAnsi="仿宋_GB2312" w:cs="仿宋_GB2312" w:eastAsia="仿宋_GB2312"/>
          <w:sz w:val="15"/>
          <w:b/>
        </w:rPr>
        <w:t>西安市自然资源和规划局（本级）</w:t>
      </w:r>
    </w:p>
    <w:p>
      <w:pPr>
        <w:pStyle w:val="null3"/>
        <w:jc w:val="center"/>
        <w:outlineLvl w:val="5"/>
      </w:pPr>
      <w:r>
        <w:rPr>
          <w:rFonts w:ascii="仿宋_GB2312" w:hAnsi="仿宋_GB2312" w:cs="仿宋_GB2312" w:eastAsia="仿宋_GB2312"/>
          <w:sz w:val="15"/>
          <w:b/>
        </w:rPr>
        <w:t>陕西立信工程项目管理有限公司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2025年西安地区地面沉降地裂缝及地下水监测项目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SXLXFW-2025-025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2025年西安地区地面沉降地裂缝及地下水监测项目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西安地区地面沉降地裂缝及地下水监测项目主要是对全市主城区(西起西绕城，东至西韩公路；北起渭河，南至环山公路)约1200平方公里范围内的地面沉降、地裂缝及地下水变化进行监测。通过监测，获取地面变形、地裂缝活动及地下水动态变化监测数据，分析评价地面沉降、地裂缝活动性及地下水水位变化特征，研究地下水、地面沉降、地裂缝三者之间时空分布联系、活动性的影响制约关系及演化规律等，为城市工程规划建设、防灾减灾以及科学利用地下水资源提供技术支撑和科学依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 ：供应商应授权合法的人员参加全过程，其中法定代表人直接参加的，须出具法人身份证，并与营业执照上信息一致。法定代表人授权代表参加的，须出具法定代表人授权书。</w:t>
      </w:r>
    </w:p>
    <w:p>
      <w:pPr>
        <w:pStyle w:val="null3"/>
      </w:pPr>
      <w:r>
        <w:rPr>
          <w:rFonts w:ascii="仿宋_GB2312" w:hAnsi="仿宋_GB2312" w:cs="仿宋_GB2312" w:eastAsia="仿宋_GB2312"/>
        </w:rPr>
        <w:t>2、单位负责人为同一人或者存在直接控股、管理关系的不同供应商不得参加同一合同项下的政府采购活动； 为本项目提供整体设计、规范编制或者项目管理、监理、检测等服务的供应商，不得再参加该采购项目的其他采购活动。 ：供应商需在项目电子化交易系统中按要求填写《投标函》完成承诺并进行电子签章。</w:t>
      </w:r>
    </w:p>
    <w:p>
      <w:pPr>
        <w:pStyle w:val="null3"/>
      </w:pPr>
      <w:r>
        <w:rPr>
          <w:rFonts w:ascii="仿宋_GB2312" w:hAnsi="仿宋_GB2312" w:cs="仿宋_GB2312" w:eastAsia="仿宋_GB2312"/>
        </w:rPr>
        <w:t>3、财务状况 ：须提供2023或2024年度的财务报告；或其基本开户银行出具的资信证明；或担保函（以上三种形式的资料提供任何一种即可）</w:t>
      </w:r>
    </w:p>
    <w:p>
      <w:pPr>
        <w:pStyle w:val="null3"/>
      </w:pPr>
      <w:r>
        <w:rPr>
          <w:rFonts w:ascii="仿宋_GB2312" w:hAnsi="仿宋_GB2312" w:cs="仿宋_GB2312" w:eastAsia="仿宋_GB2312"/>
        </w:rPr>
        <w:t>4、依法缴纳税收和社会保障资金的良好记录： 依法缴纳税收和社会保障资金的良好记录。依法缴纳税收的良好记录（提供提交响应文件截止时间前12个月内任一月份的缴费凭据,依法免税的单位应提供相关证明材料）；依法缴纳社会保障资金的良好记录（提供提交响应文件截止时间前12个月内任一月份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5、资质证书 ：须具备具备测绘行政主管部门颁发的甲级测绘资质</w:t>
      </w:r>
    </w:p>
    <w:p>
      <w:pPr>
        <w:pStyle w:val="null3"/>
      </w:pPr>
      <w:r>
        <w:rPr>
          <w:rFonts w:ascii="仿宋_GB2312" w:hAnsi="仿宋_GB2312" w:cs="仿宋_GB2312" w:eastAsia="仿宋_GB2312"/>
        </w:rPr>
        <w:t>6、项目负责人资质 ：供应商拟派项目负责人和技术负责人具有地质/岩土/测绘/水工环专业高级技术职称，且为本单位在册员工。</w:t>
      </w:r>
    </w:p>
    <w:p>
      <w:pPr>
        <w:pStyle w:val="null3"/>
      </w:pPr>
      <w:r>
        <w:rPr>
          <w:rFonts w:ascii="仿宋_GB2312" w:hAnsi="仿宋_GB2312" w:cs="仿宋_GB2312" w:eastAsia="仿宋_GB2312"/>
        </w:rPr>
        <w:t>7、信用记录 ：供应商不得为“信用中国”网站（www.creditchina.gov.cn）中列入失信被执行人（中国执行信息公开网http://zxgk.court.gov.cn/shixin/）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8、承诺书 ：提供具有履行合同所必需的设备和专业技术能力的承诺</w:t>
      </w:r>
    </w:p>
    <w:p>
      <w:pPr>
        <w:pStyle w:val="null3"/>
      </w:pPr>
      <w:r>
        <w:rPr>
          <w:rFonts w:ascii="仿宋_GB2312" w:hAnsi="仿宋_GB2312" w:cs="仿宋_GB2312" w:eastAsia="仿宋_GB2312"/>
        </w:rPr>
        <w:t>9、从业经验 ：近三年（2022.1.1-至今）具有相关业绩或相关经验</w:t>
      </w:r>
    </w:p>
    <w:p>
      <w:pPr>
        <w:pStyle w:val="null3"/>
      </w:pPr>
      <w:r>
        <w:rPr>
          <w:rFonts w:ascii="仿宋_GB2312" w:hAnsi="仿宋_GB2312" w:cs="仿宋_GB2312" w:eastAsia="仿宋_GB2312"/>
        </w:rPr>
        <w:t>10、书面声明 ：供应商参加政府采购活动前3年内在经营活动中没有重大违法记录的书面声明</w:t>
      </w:r>
    </w:p>
    <w:p>
      <w:pPr>
        <w:pStyle w:val="null3"/>
      </w:pPr>
      <w:r>
        <w:rPr>
          <w:rFonts w:ascii="仿宋_GB2312" w:hAnsi="仿宋_GB2312" w:cs="仿宋_GB2312" w:eastAsia="仿宋_GB2312"/>
        </w:rPr>
        <w:t>11、本项目不接受联合体投标，不允许分包 ：本项目不接受联合体投标，不允许分包。供应商提供《非联合体不分包投标声明》，视为独立投标，不分包。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许仁刚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029-86786950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陕西省西安市雁塔区太白南路39号金石柏朗大厦12层1201、1202、1205室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佟钰铭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采购包1：3,544,720.00元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采购包1：3,544,720.00元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金额参照《国家计委关于印发招标代理服务收费管理暂行办法的通知》（计价格〔2002〕1980号）和《国家发展改革委关于降低部分建设项目收费标准规范收费行为等有关问题的通知》（发改办价格[2011]534号）规定计取。 2、成交单位在领取成交通知书之前，须向代理机构支付招标代理服务费。 3、招标代理服务费以转账或现金形式缴纳至以下账户： 户名：陕西立信工程项目管理有限公司 账号：129903881810301 开户行：招商银行西安朝阳门支行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1、单一来源采购文件、单一来源响应文件、澄清表（函）； 2、本合同及附件文本；3、国家相应的标准、规范。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西安地区地面沉降地裂缝及地下水监测项目主要是对全市主城区（西起西绕城，东至西韩公路；北起渭河，南至环山公路）约1200平方公里范围内的地面沉降、地裂缝及地下水变化进行监测。通过监测，获取地面变形、地裂缝活动及地下水动态变化监测数据，分析评价地面沉降、地裂缝活动性及地下水水位变化特征，研究地下水、地面沉降、地裂缝三者之间时空分布联系、活动性的影响制约关系及演化规律等，为城市工程规划建设、防灾减灾以及科学利用地下水资源提供技术支撑和科学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3,544,720.00</w:t>
      </w:r>
    </w:p>
    <w:p>
      <w:pPr>
        <w:pStyle w:val="null3"/>
      </w:pPr>
      <w:r>
        <w:rPr>
          <w:rFonts w:ascii="仿宋_GB2312" w:hAnsi="仿宋_GB2312" w:cs="仿宋_GB2312" w:eastAsia="仿宋_GB2312"/>
        </w:rPr>
        <w:t>采购包最高限价（元）: 3,544,720.00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2025年西安地区地面沉降地裂缝及地下水监测项目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3,544,720.00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标的名称：2025年西安地区地面沉降地裂缝及地下水监测项目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1"/>
              <w:jc w:val="both"/>
            </w:pPr>
            <w:r>
              <w:rPr>
                <w:rFonts w:ascii="仿宋_GB2312" w:hAnsi="仿宋_GB2312" w:cs="仿宋_GB2312" w:eastAsia="仿宋_GB2312"/>
                <w:sz w:val="20"/>
                <w:b/>
                <w:color w:val="000000"/>
              </w:rPr>
              <w:t>一、项目概况</w:t>
            </w:r>
          </w:p>
          <w:p>
            <w:pPr>
              <w:pStyle w:val="null3"/>
              <w:jc w:val="both"/>
            </w:pPr>
            <w:r>
              <w:rPr>
                <w:rFonts w:ascii="仿宋_GB2312" w:hAnsi="仿宋_GB2312" w:cs="仿宋_GB2312" w:eastAsia="仿宋_GB2312"/>
                <w:sz w:val="20"/>
                <w:color w:val="000000"/>
              </w:rPr>
              <w:t xml:space="preserve">        202</w:t>
            </w:r>
            <w:r>
              <w:rPr>
                <w:rFonts w:ascii="仿宋_GB2312" w:hAnsi="仿宋_GB2312" w:cs="仿宋_GB2312" w:eastAsia="仿宋_GB2312"/>
                <w:sz w:val="20"/>
                <w:color w:val="000000"/>
              </w:rPr>
              <w:t>5</w:t>
            </w:r>
            <w:r>
              <w:rPr>
                <w:rFonts w:ascii="仿宋_GB2312" w:hAnsi="仿宋_GB2312" w:cs="仿宋_GB2312" w:eastAsia="仿宋_GB2312"/>
                <w:sz w:val="20"/>
                <w:color w:val="000000"/>
              </w:rPr>
              <w:t>年西安地区地面沉降地裂缝及地下水监测项目主要是对全市主城区（西起西绕城，东至西韩公路；北起渭河，南至环山公路）约1200平方公里范围内的地面沉降、地裂缝及地下水变化进行监测。通过监测，获取地面变形、地裂缝活动及地下水动态变化监测数据，分析评价地面沉降、地裂缝活动性及地下水水位变化特征，研究地下水、地面沉降、地裂缝三者之间时空分布联系、活动性的影响制约关系及演化规律等，为城市工程规划建设、防灾减灾以及科学利用地下水资源提供技术支撑和科学依据。</w:t>
            </w:r>
          </w:p>
          <w:p>
            <w:pPr>
              <w:pStyle w:val="null3"/>
              <w:jc w:val="both"/>
            </w:pPr>
            <w:r>
              <w:rPr>
                <w:rFonts w:ascii="仿宋_GB2312" w:hAnsi="仿宋_GB2312" w:cs="仿宋_GB2312" w:eastAsia="仿宋_GB2312"/>
                <w:b/>
              </w:rPr>
              <w:t xml:space="preserve">           二、</w:t>
            </w:r>
            <w:r>
              <w:rPr>
                <w:rFonts w:ascii="仿宋_GB2312" w:hAnsi="仿宋_GB2312" w:cs="仿宋_GB2312" w:eastAsia="仿宋_GB2312"/>
                <w:sz w:val="20"/>
                <w:b/>
                <w:color w:val="000000"/>
              </w:rPr>
              <w:t>服务内容</w:t>
            </w:r>
          </w:p>
          <w:p>
            <w:pPr>
              <w:pStyle w:val="null3"/>
              <w:ind w:firstLine="400"/>
              <w:jc w:val="both"/>
            </w:pPr>
            <w:r>
              <w:rPr>
                <w:rFonts w:ascii="仿宋_GB2312" w:hAnsi="仿宋_GB2312" w:cs="仿宋_GB2312" w:eastAsia="仿宋_GB2312"/>
                <w:sz w:val="20"/>
                <w:color w:val="000000"/>
              </w:rPr>
              <w:t>（1）工作范围：西起西绕城，东到西韩公路；北起渭河，南到环山公路，面积约1200平方公里。</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2）工作内容：</w:t>
            </w:r>
            <w:r>
              <w:rPr>
                <w:rFonts w:ascii="仿宋_GB2312" w:hAnsi="仿宋_GB2312" w:cs="仿宋_GB2312" w:eastAsia="仿宋_GB2312"/>
                <w:sz w:val="20"/>
                <w:color w:val="000000"/>
              </w:rPr>
              <w:t>对工作范围内1200平方公里范围进行地面沉降监测，对12条地裂缝69处监测场每季度进行一次监测，预计二等水准测量单程</w:t>
            </w:r>
            <w:r>
              <w:rPr>
                <w:rFonts w:ascii="仿宋_GB2312" w:hAnsi="仿宋_GB2312" w:cs="仿宋_GB2312" w:eastAsia="仿宋_GB2312"/>
                <w:sz w:val="20"/>
                <w:color w:val="000000"/>
              </w:rPr>
              <w:t>859</w:t>
            </w:r>
            <w:r>
              <w:rPr>
                <w:rFonts w:ascii="仿宋_GB2312" w:hAnsi="仿宋_GB2312" w:cs="仿宋_GB2312" w:eastAsia="仿宋_GB2312"/>
                <w:sz w:val="20"/>
                <w:color w:val="000000"/>
              </w:rPr>
              <w:t>公里；对工作范围内288眼监测井每月进行2次水位观测。</w:t>
            </w:r>
            <w:r>
              <w:rPr>
                <w:rFonts w:ascii="仿宋_GB2312" w:hAnsi="仿宋_GB2312" w:cs="仿宋_GB2312" w:eastAsia="仿宋_GB2312"/>
                <w:sz w:val="21"/>
              </w:rPr>
              <w:t xml:space="preserve"> </w:t>
            </w:r>
          </w:p>
          <w:p>
            <w:pPr>
              <w:pStyle w:val="null3"/>
              <w:ind w:firstLine="401"/>
              <w:jc w:val="both"/>
            </w:pPr>
            <w:r>
              <w:rPr>
                <w:rFonts w:ascii="仿宋_GB2312" w:hAnsi="仿宋_GB2312" w:cs="仿宋_GB2312" w:eastAsia="仿宋_GB2312"/>
                <w:sz w:val="20"/>
                <w:b/>
                <w:color w:val="000000"/>
              </w:rPr>
              <w:t>三、服务</w:t>
            </w:r>
            <w:r>
              <w:rPr>
                <w:rFonts w:ascii="仿宋_GB2312" w:hAnsi="仿宋_GB2312" w:cs="仿宋_GB2312" w:eastAsia="仿宋_GB2312"/>
                <w:sz w:val="20"/>
                <w:b/>
                <w:color w:val="000000"/>
              </w:rPr>
              <w:t>要求</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人员</w:t>
            </w:r>
          </w:p>
          <w:p>
            <w:pPr>
              <w:pStyle w:val="null3"/>
              <w:ind w:firstLine="400"/>
              <w:jc w:val="both"/>
            </w:pPr>
            <w:r>
              <w:rPr>
                <w:rFonts w:ascii="仿宋_GB2312" w:hAnsi="仿宋_GB2312" w:cs="仿宋_GB2312" w:eastAsia="仿宋_GB2312"/>
                <w:sz w:val="20"/>
                <w:color w:val="000000"/>
              </w:rPr>
              <w:t>地质、岩土</w:t>
            </w:r>
            <w:r>
              <w:rPr>
                <w:rFonts w:ascii="仿宋_GB2312" w:hAnsi="仿宋_GB2312" w:cs="仿宋_GB2312" w:eastAsia="仿宋_GB2312"/>
                <w:sz w:val="20"/>
                <w:color w:val="000000"/>
              </w:rPr>
              <w:t>、</w:t>
            </w:r>
            <w:r>
              <w:rPr>
                <w:rFonts w:ascii="仿宋_GB2312" w:hAnsi="仿宋_GB2312" w:cs="仿宋_GB2312" w:eastAsia="仿宋_GB2312"/>
                <w:sz w:val="20"/>
                <w:color w:val="000000"/>
              </w:rPr>
              <w:t>测绘</w:t>
            </w:r>
            <w:r>
              <w:rPr>
                <w:rFonts w:ascii="仿宋_GB2312" w:hAnsi="仿宋_GB2312" w:cs="仿宋_GB2312" w:eastAsia="仿宋_GB2312"/>
                <w:sz w:val="20"/>
                <w:color w:val="000000"/>
              </w:rPr>
              <w:t>或水工环</w:t>
            </w:r>
            <w:r>
              <w:rPr>
                <w:rFonts w:ascii="仿宋_GB2312" w:hAnsi="仿宋_GB2312" w:cs="仿宋_GB2312" w:eastAsia="仿宋_GB2312"/>
                <w:sz w:val="20"/>
                <w:color w:val="000000"/>
              </w:rPr>
              <w:t>专业技术人员不少于10人，其中高级职称不少于5人，中级职称不少于5人。</w:t>
            </w:r>
          </w:p>
          <w:p>
            <w:pPr>
              <w:pStyle w:val="null3"/>
              <w:ind w:firstLine="400"/>
              <w:jc w:val="both"/>
            </w:pPr>
            <w:r>
              <w:rPr>
                <w:rFonts w:ascii="仿宋_GB2312" w:hAnsi="仿宋_GB2312" w:cs="仿宋_GB2312" w:eastAsia="仿宋_GB2312"/>
                <w:sz w:val="20"/>
                <w:color w:val="000000"/>
              </w:rPr>
              <w:t>（2）服务标准</w:t>
            </w:r>
          </w:p>
          <w:p>
            <w:pPr>
              <w:pStyle w:val="null3"/>
              <w:ind w:firstLine="400"/>
              <w:jc w:val="both"/>
            </w:pPr>
            <w:r>
              <w:rPr>
                <w:rFonts w:ascii="仿宋_GB2312" w:hAnsi="仿宋_GB2312" w:cs="仿宋_GB2312" w:eastAsia="仿宋_GB2312"/>
                <w:sz w:val="20"/>
                <w:color w:val="000000"/>
              </w:rPr>
              <w:t>完成的相关</w:t>
            </w:r>
            <w:r>
              <w:rPr>
                <w:rFonts w:ascii="仿宋_GB2312" w:hAnsi="仿宋_GB2312" w:cs="仿宋_GB2312" w:eastAsia="仿宋_GB2312"/>
                <w:sz w:val="20"/>
                <w:color w:val="000000"/>
              </w:rPr>
              <w:t>成果、</w:t>
            </w:r>
            <w:r>
              <w:rPr>
                <w:rFonts w:ascii="仿宋_GB2312" w:hAnsi="仿宋_GB2312" w:cs="仿宋_GB2312" w:eastAsia="仿宋_GB2312"/>
                <w:sz w:val="20"/>
                <w:color w:val="000000"/>
              </w:rPr>
              <w:t>图件应能通过专家审查要求。</w:t>
            </w:r>
          </w:p>
          <w:p>
            <w:pPr>
              <w:pStyle w:val="null3"/>
              <w:ind w:firstLine="400"/>
              <w:jc w:val="both"/>
            </w:pPr>
            <w:r>
              <w:rPr>
                <w:rFonts w:ascii="仿宋_GB2312" w:hAnsi="仿宋_GB2312" w:cs="仿宋_GB2312" w:eastAsia="仿宋_GB2312"/>
                <w:sz w:val="20"/>
                <w:color w:val="000000"/>
              </w:rPr>
              <w:t>（3）技术服务要求</w:t>
            </w:r>
          </w:p>
          <w:p>
            <w:pPr>
              <w:pStyle w:val="null3"/>
              <w:ind w:firstLine="400"/>
              <w:jc w:val="both"/>
            </w:pPr>
            <w:r>
              <w:rPr>
                <w:rFonts w:ascii="仿宋_GB2312" w:hAnsi="仿宋_GB2312" w:cs="仿宋_GB2312" w:eastAsia="仿宋_GB2312"/>
                <w:sz w:val="20"/>
                <w:color w:val="000000"/>
              </w:rPr>
              <w:t>1.地下水动态监测</w:t>
            </w:r>
          </w:p>
          <w:p>
            <w:pPr>
              <w:pStyle w:val="null3"/>
              <w:ind w:firstLine="400"/>
              <w:jc w:val="both"/>
            </w:pPr>
            <w:r>
              <w:rPr>
                <w:rFonts w:ascii="仿宋_GB2312" w:hAnsi="仿宋_GB2312" w:cs="仿宋_GB2312" w:eastAsia="仿宋_GB2312"/>
                <w:sz w:val="20"/>
                <w:color w:val="000000"/>
              </w:rPr>
              <w:t>①满足在不同水文地质单元布设至少3个观测井；</w:t>
            </w:r>
          </w:p>
          <w:p>
            <w:pPr>
              <w:pStyle w:val="null3"/>
              <w:ind w:firstLine="400"/>
              <w:jc w:val="both"/>
            </w:pPr>
            <w:r>
              <w:rPr>
                <w:rFonts w:ascii="仿宋_GB2312" w:hAnsi="仿宋_GB2312" w:cs="仿宋_GB2312" w:eastAsia="仿宋_GB2312"/>
                <w:sz w:val="20"/>
                <w:color w:val="000000"/>
              </w:rPr>
              <w:t>②观测井密度满足市区每100KM2≥7个，郊区每100KM2≥3个；</w:t>
            </w:r>
          </w:p>
          <w:p>
            <w:pPr>
              <w:pStyle w:val="null3"/>
              <w:ind w:firstLine="400"/>
              <w:jc w:val="both"/>
            </w:pPr>
            <w:r>
              <w:rPr>
                <w:rFonts w:ascii="仿宋_GB2312" w:hAnsi="仿宋_GB2312" w:cs="仿宋_GB2312" w:eastAsia="仿宋_GB2312"/>
                <w:sz w:val="20"/>
                <w:color w:val="000000"/>
              </w:rPr>
              <w:t>③地貌变化大、地质构造复杂地段、地下水越流地段及地下水补给、排泄边界等，加密观测点。</w:t>
            </w:r>
          </w:p>
          <w:p>
            <w:pPr>
              <w:pStyle w:val="null3"/>
              <w:ind w:firstLine="400"/>
              <w:jc w:val="both"/>
            </w:pPr>
            <w:r>
              <w:rPr>
                <w:rFonts w:ascii="仿宋_GB2312" w:hAnsi="仿宋_GB2312" w:cs="仿宋_GB2312" w:eastAsia="仿宋_GB2312"/>
                <w:sz w:val="20"/>
                <w:color w:val="000000"/>
              </w:rPr>
              <w:t>④观测水位每月观测2次，对水位变化不大的远郊地区观测井减少为每季度一次</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⑤水位观测以米为单位，并测记至小数点后三位；人工观测水位时，同一测次应量两次，间隔时间不应少于1min，并应取两次水位的平均值为观测结果，两次测量允许偏差影小于10mm；每次测量结果应当场核查，出现异常时应及时补测。</w:t>
            </w:r>
          </w:p>
          <w:p>
            <w:pPr>
              <w:pStyle w:val="null3"/>
              <w:ind w:firstLine="400"/>
              <w:jc w:val="both"/>
            </w:pPr>
            <w:r>
              <w:rPr>
                <w:rFonts w:ascii="仿宋_GB2312" w:hAnsi="仿宋_GB2312" w:cs="仿宋_GB2312" w:eastAsia="仿宋_GB2312"/>
                <w:sz w:val="20"/>
                <w:color w:val="000000"/>
              </w:rPr>
              <w:t>2.地面沉降和地裂缝监测</w:t>
            </w:r>
          </w:p>
          <w:p>
            <w:pPr>
              <w:pStyle w:val="null3"/>
              <w:ind w:firstLine="400"/>
              <w:jc w:val="both"/>
            </w:pPr>
            <w:r>
              <w:rPr>
                <w:rFonts w:ascii="仿宋_GB2312" w:hAnsi="仿宋_GB2312" w:cs="仿宋_GB2312" w:eastAsia="仿宋_GB2312"/>
                <w:sz w:val="20"/>
                <w:color w:val="000000"/>
              </w:rPr>
              <w:t>①地面沉降及地裂缝监测按《国家一、二等水准测量规范》的二等水准要求执行，监测网应布设二等水准结点网，水准点点间距一般控制在2.0公里左右为宜。</w:t>
            </w:r>
          </w:p>
          <w:p>
            <w:pPr>
              <w:pStyle w:val="null3"/>
              <w:ind w:firstLine="400"/>
              <w:jc w:val="both"/>
            </w:pPr>
            <w:r>
              <w:rPr>
                <w:rFonts w:ascii="仿宋_GB2312" w:hAnsi="仿宋_GB2312" w:cs="仿宋_GB2312" w:eastAsia="仿宋_GB2312"/>
                <w:sz w:val="20"/>
                <w:color w:val="000000"/>
              </w:rPr>
              <w:t>②新设的水准路线与已测的水准点连(接)测时，若该水准点的前后观测时间超过三个月，须进行检测；</w:t>
            </w:r>
          </w:p>
          <w:p>
            <w:pPr>
              <w:pStyle w:val="null3"/>
              <w:ind w:firstLine="400"/>
              <w:jc w:val="both"/>
            </w:pPr>
            <w:r>
              <w:rPr>
                <w:rFonts w:ascii="仿宋_GB2312" w:hAnsi="仿宋_GB2312" w:cs="仿宋_GB2312" w:eastAsia="仿宋_GB2312"/>
                <w:sz w:val="20"/>
                <w:color w:val="000000"/>
              </w:rPr>
              <w:t>③地裂缝每个监测场中布置的监测点应成一条直线，该条监测线应尽量垂直于地缝的走向；</w:t>
            </w:r>
          </w:p>
          <w:p>
            <w:pPr>
              <w:pStyle w:val="null3"/>
              <w:ind w:firstLine="400"/>
              <w:jc w:val="both"/>
            </w:pPr>
            <w:r>
              <w:rPr>
                <w:rFonts w:ascii="仿宋_GB2312" w:hAnsi="仿宋_GB2312" w:cs="仿宋_GB2312" w:eastAsia="仿宋_GB2312"/>
                <w:sz w:val="20"/>
                <w:color w:val="000000"/>
              </w:rPr>
              <w:t>④地裂缝两侧监测的范围控制在15～20m范围，地裂缝上盘和下盘监测点分别应达到3～5个且不应少于3个；</w:t>
            </w:r>
          </w:p>
          <w:p>
            <w:pPr>
              <w:pStyle w:val="null3"/>
              <w:ind w:firstLine="400"/>
              <w:jc w:val="both"/>
            </w:pPr>
            <w:r>
              <w:rPr>
                <w:rFonts w:ascii="仿宋_GB2312" w:hAnsi="仿宋_GB2312" w:cs="仿宋_GB2312" w:eastAsia="仿宋_GB2312"/>
                <w:sz w:val="20"/>
                <w:color w:val="000000"/>
              </w:rPr>
              <w:t>⑤监测点平面距离布设应从地裂缝向两侧2.0、3.0m、5.0m、5.0m 10.0m，以上距离可根据场地条件适当调整；</w:t>
            </w:r>
          </w:p>
          <w:p>
            <w:pPr>
              <w:pStyle w:val="null3"/>
              <w:jc w:val="both"/>
            </w:pPr>
            <w:r>
              <w:rPr>
                <w:rFonts w:ascii="仿宋_GB2312" w:hAnsi="仿宋_GB2312" w:cs="仿宋_GB2312" w:eastAsia="仿宋_GB2312"/>
                <w:sz w:val="20"/>
                <w:color w:val="000000"/>
              </w:rPr>
              <w:t xml:space="preserve">        ⑥地裂缝沉降观测每季度观测一次。</w:t>
            </w:r>
          </w:p>
          <w:p>
            <w:pPr>
              <w:pStyle w:val="null3"/>
              <w:jc w:val="both"/>
            </w:pPr>
            <w:r>
              <w:rPr>
                <w:rFonts w:ascii="仿宋_GB2312" w:hAnsi="仿宋_GB2312" w:cs="仿宋_GB2312" w:eastAsia="仿宋_GB2312"/>
              </w:rPr>
              <w:t xml:space="preserve">        四、</w:t>
            </w:r>
            <w:r>
              <w:rPr>
                <w:rFonts w:ascii="仿宋_GB2312" w:hAnsi="仿宋_GB2312" w:cs="仿宋_GB2312" w:eastAsia="仿宋_GB2312"/>
                <w:sz w:val="20"/>
                <w:b/>
                <w:color w:val="000000"/>
              </w:rPr>
              <w:t>商务要求（如服务期限、款项结算等）</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1）服务期限：</w:t>
            </w:r>
            <w:r>
              <w:rPr>
                <w:rFonts w:ascii="仿宋_GB2312" w:hAnsi="仿宋_GB2312" w:cs="仿宋_GB2312" w:eastAsia="仿宋_GB2312"/>
                <w:sz w:val="20"/>
              </w:rPr>
              <w:t>1</w:t>
            </w:r>
            <w:r>
              <w:rPr>
                <w:rFonts w:ascii="仿宋_GB2312" w:hAnsi="仿宋_GB2312" w:cs="仿宋_GB2312" w:eastAsia="仿宋_GB2312"/>
                <w:sz w:val="20"/>
              </w:rPr>
              <w:t>年，具体以合同签订日期为准</w:t>
            </w:r>
            <w:r>
              <w:rPr>
                <w:rFonts w:ascii="仿宋_GB2312" w:hAnsi="仿宋_GB2312" w:cs="仿宋_GB2312" w:eastAsia="仿宋_GB2312"/>
                <w:sz w:val="20"/>
                <w:color w:val="FF0000"/>
              </w:rPr>
              <w:t>。</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2）款项结算</w:t>
            </w:r>
          </w:p>
          <w:p>
            <w:pPr>
              <w:pStyle w:val="null3"/>
              <w:jc w:val="both"/>
            </w:pPr>
            <w:r>
              <w:rPr>
                <w:rFonts w:ascii="仿宋_GB2312" w:hAnsi="仿宋_GB2312" w:cs="仿宋_GB2312" w:eastAsia="仿宋_GB2312"/>
                <w:sz w:val="21"/>
              </w:rPr>
              <w:t xml:space="preserve">          分三次支付，第一次为合同签订后</w:t>
            </w:r>
            <w:r>
              <w:rPr>
                <w:rFonts w:ascii="仿宋_GB2312" w:hAnsi="仿宋_GB2312" w:cs="仿宋_GB2312" w:eastAsia="仿宋_GB2312"/>
                <w:sz w:val="21"/>
              </w:rPr>
              <w:t>30</w:t>
            </w:r>
            <w:r>
              <w:rPr>
                <w:rFonts w:ascii="仿宋_GB2312" w:hAnsi="仿宋_GB2312" w:cs="仿宋_GB2312" w:eastAsia="仿宋_GB2312"/>
                <w:sz w:val="21"/>
              </w:rPr>
              <w:t>日内支付合同总金额</w:t>
            </w:r>
            <w:r>
              <w:rPr>
                <w:rFonts w:ascii="仿宋_GB2312" w:hAnsi="仿宋_GB2312" w:cs="仿宋_GB2312" w:eastAsia="仿宋_GB2312"/>
                <w:sz w:val="21"/>
              </w:rPr>
              <w:t>40%;</w:t>
            </w:r>
            <w:r>
              <w:rPr>
                <w:rFonts w:ascii="仿宋_GB2312" w:hAnsi="仿宋_GB2312" w:cs="仿宋_GB2312" w:eastAsia="仿宋_GB2312"/>
                <w:sz w:val="21"/>
              </w:rPr>
              <w:t>第二次为完成外业工作并进行数据资料质检合格后支付合同总金额</w:t>
            </w:r>
            <w:r>
              <w:rPr>
                <w:rFonts w:ascii="仿宋_GB2312" w:hAnsi="仿宋_GB2312" w:cs="仿宋_GB2312" w:eastAsia="仿宋_GB2312"/>
                <w:sz w:val="21"/>
              </w:rPr>
              <w:t>30%;</w:t>
            </w:r>
            <w:r>
              <w:rPr>
                <w:rFonts w:ascii="仿宋_GB2312" w:hAnsi="仿宋_GB2312" w:cs="仿宋_GB2312" w:eastAsia="仿宋_GB2312"/>
                <w:sz w:val="21"/>
              </w:rPr>
              <w:t>第三次为完成全部工作并提交审核合格的报告后支付合同总金额</w:t>
            </w:r>
            <w:r>
              <w:rPr>
                <w:rFonts w:ascii="仿宋_GB2312" w:hAnsi="仿宋_GB2312" w:cs="仿宋_GB2312" w:eastAsia="仿宋_GB2312"/>
                <w:sz w:val="21"/>
              </w:rPr>
              <w:t>30%</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五、 </w:t>
            </w:r>
            <w:r>
              <w:rPr>
                <w:rFonts w:ascii="仿宋_GB2312" w:hAnsi="仿宋_GB2312" w:cs="仿宋_GB2312" w:eastAsia="仿宋_GB2312"/>
                <w:sz w:val="20"/>
                <w:b/>
                <w:color w:val="000000"/>
              </w:rPr>
              <w:t>其他</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进度要求</w:t>
            </w:r>
          </w:p>
          <w:p>
            <w:pPr>
              <w:pStyle w:val="null3"/>
              <w:ind w:firstLine="400"/>
              <w:jc w:val="both"/>
            </w:pPr>
            <w:r>
              <w:rPr>
                <w:rFonts w:ascii="仿宋_GB2312" w:hAnsi="仿宋_GB2312" w:cs="仿宋_GB2312" w:eastAsia="仿宋_GB2312"/>
                <w:sz w:val="20"/>
                <w:color w:val="000000"/>
              </w:rPr>
              <w:t>2025年12月15日前完成全部外业工作，并进行数据资料质检；2026年3月31日完成内业整理、报告编写并提交甲方。</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成果交付要求</w:t>
            </w:r>
          </w:p>
          <w:p>
            <w:pPr>
              <w:pStyle w:val="null3"/>
              <w:ind w:firstLine="400"/>
              <w:jc w:val="both"/>
            </w:pPr>
            <w:r>
              <w:rPr>
                <w:rFonts w:ascii="仿宋_GB2312" w:hAnsi="仿宋_GB2312" w:cs="仿宋_GB2312" w:eastAsia="仿宋_GB2312"/>
                <w:sz w:val="20"/>
                <w:color w:val="000000"/>
              </w:rPr>
              <w:t>《西安地区地面沉降地裂缝及地下水监测报告》文本及相应的附图、附表各10套，电子数据3套。</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质量验收标准或规范</w:t>
            </w:r>
          </w:p>
          <w:p>
            <w:pPr>
              <w:pStyle w:val="null3"/>
              <w:ind w:firstLine="400"/>
              <w:jc w:val="both"/>
            </w:pPr>
            <w:r>
              <w:rPr>
                <w:rFonts w:ascii="仿宋_GB2312" w:hAnsi="仿宋_GB2312" w:cs="仿宋_GB2312" w:eastAsia="仿宋_GB2312"/>
                <w:sz w:val="20"/>
                <w:color w:val="000000"/>
              </w:rPr>
              <w:t>符合技术要求，并通过专家评审会。</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《国家一、二等水准测量规范》GB12897-2006；</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《城市测量规范》CJJ/T8-2011；</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《测绘成果质量检查与验收》GB/T 24356-2009；</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《城市地下水动态观测规程》CJJ76-2012；</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国家、行业现行的规范或者相关标准；</w:t>
            </w:r>
          </w:p>
          <w:p>
            <w:pPr>
              <w:pStyle w:val="null3"/>
              <w:jc w:val="both"/>
            </w:pPr>
            <w:r>
              <w:rPr>
                <w:rFonts w:ascii="仿宋_GB2312" w:hAnsi="仿宋_GB2312" w:cs="仿宋_GB2312" w:eastAsia="仿宋_GB2312"/>
                <w:sz w:val="20"/>
                <w:color w:val="000000"/>
              </w:rPr>
              <w:t xml:space="preserve">      （6）</w:t>
            </w:r>
            <w:r>
              <w:rPr>
                <w:rFonts w:ascii="仿宋_GB2312" w:hAnsi="仿宋_GB2312" w:cs="仿宋_GB2312" w:eastAsia="仿宋_GB2312"/>
                <w:sz w:val="20"/>
                <w:color w:val="000000"/>
              </w:rPr>
              <w:t>经甲方审定的本项目实施方案。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地质、岩土及测绘专业技术人员不少于10人，其中高级职称不少于5人，中级职称不少于5人</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一年，具体以合同签订日期为准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完成外业工作并进行数据资料质检合格后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完成全部工作并提交审核合格的报告后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（1）《国家一、二等水准测量规范》GB12897-2006； （2）《城市测量规范》CJJ/T8-2011； （3）《测绘成果质量检查与验收》GB/T 24356-2009； （4）《城市地下水动态观测规程》CJJ76-2012； （5） 国家、行业现行的规范或者相关标准； （6） 经甲方审定的本项目实施方案。</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甲方：对于乙方提供的成果，甲方有义务严格按国家相关法律法规管理和使用，否则由此造成的法律后果由甲方承担。 乙方：（1）、乙方提供的成果质量不符合甲方要求或不合格，或因乙方其他原因导致验收无法通过的，乙方应负责在甲方规定的期限内无偿给予重测或采取补救措施，直到达到甲方要求及质量要求。若乙方拒绝整改或者无偿给予重测或采取补救措施后，仍不能达到甲方及质量要求的，甲方有权单方面解除本合同。甲方解除合同的，乙方除返还已收取的价款外，还应向甲方支付本合同总金额20%的违约金，并及时赔偿由此给甲方造成的全部损失，包括但不限于直接损失、间接损失、律师费、诉讼费、保全费等。 （2）、乙方逾期交付本合同约定的成果资料的，每逾期一天，乙方向甲方支付合同总金额万分之五的违约金，逾期超过七日的，甲方有权解除本合同。甲方解除本合同的，乙方除退还甲方已支付的全部款项和向甲方支付本合同总金额20%的违约金外，还应及时赔偿因此给甲方造成的所有损失。 （3）、乙方未经甲方书面同意擅自对服务项目进行分包的,甲方有权单方解除合同，甲方解除合同的，乙方应退还甲方已支付的全部款项，和向甲方支付本合同总金额20%的违约金，还应及时赔偿由此给甲方造成的全部损失。 （4）、本合同项下，若乙方违约，给甲方造成的损失，范围包括给甲方造成的实际损失、间接损失、可预期利益、因委托第三方而支付的费用，以及甲方因维权所产生的诉讼费、律师费、公证费、保全费、差旅费等全部相关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1.2025年12月15日前完成全部外业工作，并进行数据资料质检。 2.2026年3月31日完成内业整理、报告编写并提交甲方。 3、成果交付要求 《西安地区地面沉降地裂缝及地下水监测报告》文本及相应的附图、附表各10套，电子数据3套。 4、质量验收标准或规范 符合第三条技术要求，并通过专家评审会。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供应商应授权合法的人员参加全过程，其中法定代表人直接参加的，须出具法人身份证，并与营业执照上信息一致。法定代表人授权代表参加的，须出具法定代表人授权书。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须提供2023或2024年度的财务报告；或其基本开户银行出具的资信证明；或担保函（以上三种形式的资料提供任何一种即可）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 xml:space="preserve"> 依法缴纳税收和社会保障资金的良好记录。依法缴纳税收的良好记录（提供提交响应文件截止时间前12个月内任一月份的缴费凭据,依法免税的单位应提供相关证明材料）；依法缴纳社会保障资金的良好记录（提供提交响应文件截止时间前12个月内任一月份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须具备具备测绘行政主管部门颁发的甲级测绘资质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供应商拟派项目负责人和技术负责人具有地质/岩土/测绘/水工环专业高级技术职称，且为本单位在册员工。</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从业经验</w:t>
            </w:r>
          </w:p>
        </w:tc>
        <w:tc>
          <w:tcPr>
            <w:tcW w:type="dxa" w:w="3322"/>
          </w:tcPr>
          <w:p>
            <w:pPr>
              <w:pStyle w:val="null3"/>
            </w:pPr>
            <w:r>
              <w:rPr>
                <w:rFonts w:ascii="仿宋_GB2312" w:hAnsi="仿宋_GB2312" w:cs="仿宋_GB2312" w:eastAsia="仿宋_GB2312"/>
              </w:rPr>
              <w:t>近三年（2022.1.1-至今）具有相关业绩或相关经验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符合竞采购文件要求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响应文件无无效响应情形</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