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556655">
      <w:pPr>
        <w:pStyle w:val="10"/>
        <w:jc w:val="center"/>
        <w:outlineLvl w:val="1"/>
        <w:rPr>
          <w:color w:val="auto"/>
          <w:highlight w:val="none"/>
        </w:rPr>
      </w:pPr>
      <w:r>
        <w:rPr>
          <w:b/>
          <w:color w:val="auto"/>
          <w:sz w:val="36"/>
          <w:highlight w:val="none"/>
        </w:rPr>
        <w:t xml:space="preserve"> 拟签订采购合同文本</w:t>
      </w:r>
    </w:p>
    <w:p w14:paraId="2E163352">
      <w:pPr>
        <w:spacing w:line="560" w:lineRule="exact"/>
        <w:jc w:val="left"/>
        <w:rPr>
          <w:rFonts w:ascii="宋体" w:hAnsi="宋体" w:cs="宋体"/>
          <w:b/>
          <w:bCs/>
          <w:color w:val="auto"/>
          <w:sz w:val="36"/>
          <w:szCs w:val="36"/>
          <w:highlight w:val="none"/>
        </w:rPr>
      </w:pPr>
      <w:r>
        <w:rPr>
          <w:color w:val="auto"/>
          <w:highlight w:val="none"/>
        </w:rPr>
        <w:t xml:space="preserve"> </w:t>
      </w:r>
      <w:r>
        <w:rPr>
          <w:color w:val="auto"/>
          <w:highlight w:val="none"/>
        </w:rPr>
        <w:br w:type="textWrapping"/>
      </w:r>
    </w:p>
    <w:p w14:paraId="096C8F8B">
      <w:pPr>
        <w:pStyle w:val="2"/>
        <w:rPr>
          <w:color w:val="auto"/>
          <w:highlight w:val="none"/>
        </w:rPr>
      </w:pPr>
    </w:p>
    <w:p w14:paraId="048BB701">
      <w:pPr>
        <w:spacing w:line="560" w:lineRule="exact"/>
        <w:jc w:val="left"/>
        <w:rPr>
          <w:rFonts w:hint="eastAsia" w:ascii="宋体" w:hAnsi="宋体" w:eastAsia="宋体" w:cs="宋体"/>
          <w:b/>
          <w:bCs/>
          <w:color w:val="auto"/>
          <w:sz w:val="32"/>
          <w:szCs w:val="32"/>
          <w:highlight w:val="none"/>
          <w:lang w:eastAsia="zh-CN"/>
        </w:rPr>
      </w:pPr>
      <w:r>
        <w:rPr>
          <w:rFonts w:hint="eastAsia" w:ascii="宋体" w:hAnsi="宋体" w:cs="宋体"/>
          <w:b/>
          <w:bCs/>
          <w:color w:val="auto"/>
          <w:sz w:val="32"/>
          <w:szCs w:val="32"/>
          <w:highlight w:val="none"/>
        </w:rPr>
        <w:t>项目名称：</w:t>
      </w:r>
      <w:r>
        <w:rPr>
          <w:rFonts w:hint="eastAsia" w:ascii="宋体" w:hAnsi="宋体" w:cs="宋体"/>
          <w:b/>
          <w:bCs/>
          <w:color w:val="auto"/>
          <w:sz w:val="32"/>
          <w:szCs w:val="32"/>
          <w:highlight w:val="none"/>
          <w:lang w:eastAsia="zh-CN"/>
        </w:rPr>
        <w:t>2025年西安地区地面沉降地裂缝及地下水监测项目</w:t>
      </w:r>
    </w:p>
    <w:p w14:paraId="3AA27009">
      <w:pPr>
        <w:spacing w:line="560" w:lineRule="exact"/>
        <w:jc w:val="left"/>
        <w:rPr>
          <w:rFonts w:ascii="宋体" w:hAnsi="宋体" w:cs="宋体"/>
          <w:b/>
          <w:bCs/>
          <w:color w:val="auto"/>
          <w:sz w:val="32"/>
          <w:szCs w:val="32"/>
          <w:highlight w:val="none"/>
        </w:rPr>
      </w:pPr>
      <w:r>
        <w:rPr>
          <w:rFonts w:hint="eastAsia" w:ascii="宋体" w:hAnsi="宋体" w:cs="宋体"/>
          <w:b/>
          <w:bCs/>
          <w:color w:val="auto"/>
          <w:sz w:val="32"/>
          <w:szCs w:val="32"/>
          <w:highlight w:val="none"/>
        </w:rPr>
        <w:t xml:space="preserve">项目编号: </w:t>
      </w:r>
      <w:r>
        <w:rPr>
          <w:rFonts w:hint="eastAsia"/>
          <w:b/>
          <w:sz w:val="28"/>
          <w:lang w:eastAsia="zh-CN"/>
        </w:rPr>
        <w:t>SXLXFW-2025-025</w:t>
      </w:r>
    </w:p>
    <w:p w14:paraId="3D83D506">
      <w:pPr>
        <w:spacing w:line="560" w:lineRule="exact"/>
        <w:rPr>
          <w:rFonts w:ascii="宋体" w:hAnsi="宋体" w:cs="宋体"/>
          <w:b/>
          <w:bCs/>
          <w:color w:val="auto"/>
          <w:spacing w:val="-20"/>
          <w:sz w:val="24"/>
          <w:highlight w:val="none"/>
        </w:rPr>
      </w:pPr>
    </w:p>
    <w:p w14:paraId="063A6CCB">
      <w:pPr>
        <w:spacing w:line="560" w:lineRule="exact"/>
        <w:rPr>
          <w:rFonts w:ascii="宋体" w:hAnsi="宋体" w:cs="宋体"/>
          <w:b/>
          <w:bCs/>
          <w:color w:val="auto"/>
          <w:spacing w:val="-20"/>
          <w:sz w:val="24"/>
          <w:highlight w:val="none"/>
        </w:rPr>
      </w:pPr>
    </w:p>
    <w:p w14:paraId="69604708">
      <w:pPr>
        <w:spacing w:line="560" w:lineRule="exact"/>
        <w:rPr>
          <w:rFonts w:ascii="宋体" w:hAnsi="宋体" w:cs="宋体"/>
          <w:b/>
          <w:bCs/>
          <w:color w:val="auto"/>
          <w:spacing w:val="-20"/>
          <w:sz w:val="24"/>
          <w:highlight w:val="none"/>
        </w:rPr>
      </w:pPr>
    </w:p>
    <w:p w14:paraId="6410027E">
      <w:pPr>
        <w:pStyle w:val="2"/>
        <w:rPr>
          <w:color w:val="auto"/>
          <w:highlight w:val="none"/>
        </w:rPr>
      </w:pPr>
    </w:p>
    <w:p w14:paraId="0EDF68A3">
      <w:pPr>
        <w:spacing w:line="560" w:lineRule="exact"/>
        <w:rPr>
          <w:rFonts w:ascii="宋体" w:hAnsi="宋体" w:cs="宋体"/>
          <w:b/>
          <w:bCs/>
          <w:color w:val="auto"/>
          <w:spacing w:val="-20"/>
          <w:sz w:val="24"/>
          <w:highlight w:val="none"/>
        </w:rPr>
      </w:pPr>
    </w:p>
    <w:p w14:paraId="4F872E34">
      <w:pPr>
        <w:pStyle w:val="6"/>
        <w:numPr>
          <w:ilvl w:val="0"/>
          <w:numId w:val="0"/>
        </w:numPr>
        <w:spacing w:before="312" w:after="312"/>
        <w:rPr>
          <w:rFonts w:ascii="宋体" w:hAnsi="宋体" w:eastAsia="宋体" w:cs="宋体"/>
          <w:b/>
          <w:bCs/>
          <w:color w:val="auto"/>
          <w:sz w:val="48"/>
          <w:szCs w:val="48"/>
          <w:highlight w:val="none"/>
        </w:rPr>
      </w:pPr>
      <w:bookmarkStart w:id="0" w:name="_Toc9200"/>
      <w:r>
        <w:rPr>
          <w:rFonts w:hint="eastAsia" w:ascii="宋体" w:hAnsi="宋体" w:eastAsia="宋体" w:cs="宋体"/>
          <w:b/>
          <w:bCs/>
          <w:color w:val="auto"/>
          <w:sz w:val="48"/>
          <w:szCs w:val="48"/>
          <w:highlight w:val="none"/>
        </w:rPr>
        <w:t>政 府 采 购 合 同</w:t>
      </w:r>
      <w:bookmarkEnd w:id="0"/>
    </w:p>
    <w:p w14:paraId="03A46B12">
      <w:pPr>
        <w:jc w:val="center"/>
        <w:rPr>
          <w:rFonts w:ascii="宋体" w:hAnsi="宋体" w:cs="宋体"/>
          <w:b/>
          <w:bCs/>
          <w:color w:val="auto"/>
          <w:sz w:val="24"/>
          <w:highlight w:val="none"/>
        </w:rPr>
      </w:pPr>
    </w:p>
    <w:p w14:paraId="79EF357D">
      <w:pPr>
        <w:jc w:val="center"/>
        <w:rPr>
          <w:rFonts w:ascii="宋体" w:hAnsi="宋体" w:cs="宋体"/>
          <w:b/>
          <w:bCs/>
          <w:color w:val="auto"/>
          <w:sz w:val="24"/>
          <w:highlight w:val="none"/>
        </w:rPr>
      </w:pPr>
    </w:p>
    <w:p w14:paraId="4701575C">
      <w:pPr>
        <w:pStyle w:val="2"/>
        <w:rPr>
          <w:rFonts w:ascii="宋体" w:hAnsi="宋体" w:cs="宋体"/>
          <w:b/>
          <w:bCs/>
          <w:color w:val="auto"/>
          <w:sz w:val="24"/>
          <w:szCs w:val="24"/>
          <w:highlight w:val="none"/>
        </w:rPr>
      </w:pPr>
    </w:p>
    <w:p w14:paraId="6FCF7D67">
      <w:pPr>
        <w:pStyle w:val="4"/>
        <w:rPr>
          <w:rFonts w:ascii="宋体" w:hAnsi="宋体" w:cs="宋体"/>
          <w:b/>
          <w:bCs/>
          <w:color w:val="auto"/>
          <w:sz w:val="24"/>
          <w:highlight w:val="none"/>
        </w:rPr>
      </w:pPr>
    </w:p>
    <w:p w14:paraId="0EB512A7">
      <w:pPr>
        <w:rPr>
          <w:rFonts w:ascii="宋体" w:hAnsi="宋体" w:cs="宋体"/>
          <w:b/>
          <w:bCs/>
          <w:color w:val="auto"/>
          <w:sz w:val="24"/>
          <w:highlight w:val="none"/>
        </w:rPr>
      </w:pPr>
    </w:p>
    <w:p w14:paraId="394DEDCA">
      <w:pPr>
        <w:pStyle w:val="2"/>
        <w:rPr>
          <w:color w:val="auto"/>
          <w:highlight w:val="none"/>
        </w:rPr>
      </w:pPr>
    </w:p>
    <w:p w14:paraId="2E0BDC18">
      <w:pPr>
        <w:pStyle w:val="3"/>
        <w:rPr>
          <w:rFonts w:ascii="宋体" w:hAnsi="宋体" w:cs="宋体"/>
          <w:color w:val="auto"/>
          <w:sz w:val="24"/>
          <w:highlight w:val="none"/>
        </w:rPr>
      </w:pPr>
    </w:p>
    <w:p w14:paraId="64D0C14F">
      <w:pPr>
        <w:rPr>
          <w:rFonts w:ascii="宋体" w:hAnsi="宋体" w:cs="宋体"/>
          <w:color w:val="auto"/>
          <w:sz w:val="24"/>
          <w:highlight w:val="none"/>
        </w:rPr>
      </w:pPr>
    </w:p>
    <w:p w14:paraId="6A73C1EE">
      <w:pPr>
        <w:spacing w:line="480" w:lineRule="auto"/>
        <w:ind w:firstLine="800" w:firstLineChars="250"/>
        <w:rPr>
          <w:rFonts w:ascii="宋体" w:hAnsi="宋体" w:cs="宋体"/>
          <w:color w:val="auto"/>
          <w:sz w:val="32"/>
          <w:szCs w:val="32"/>
          <w:highlight w:val="none"/>
        </w:rPr>
      </w:pPr>
      <w:r>
        <w:rPr>
          <w:rFonts w:hint="eastAsia" w:ascii="宋体" w:hAnsi="宋体" w:cs="宋体"/>
          <w:color w:val="auto"/>
          <w:sz w:val="32"/>
          <w:szCs w:val="32"/>
          <w:highlight w:val="none"/>
        </w:rPr>
        <w:t>甲  方：西安市自然资源和规划局</w:t>
      </w:r>
    </w:p>
    <w:p w14:paraId="5BCFB108">
      <w:pPr>
        <w:spacing w:line="480" w:lineRule="auto"/>
        <w:ind w:firstLine="800" w:firstLineChars="250"/>
        <w:rPr>
          <w:rFonts w:ascii="宋体" w:hAnsi="宋体" w:cs="宋体"/>
          <w:color w:val="auto"/>
          <w:sz w:val="32"/>
          <w:szCs w:val="32"/>
          <w:highlight w:val="none"/>
        </w:rPr>
      </w:pPr>
      <w:r>
        <w:rPr>
          <w:rFonts w:hint="eastAsia" w:ascii="宋体" w:hAnsi="宋体" w:cs="宋体"/>
          <w:color w:val="auto"/>
          <w:sz w:val="32"/>
          <w:szCs w:val="32"/>
          <w:highlight w:val="none"/>
        </w:rPr>
        <w:t>乙  方：</w:t>
      </w:r>
    </w:p>
    <w:p w14:paraId="6318A6B7">
      <w:pPr>
        <w:rPr>
          <w:rFonts w:ascii="宋体" w:hAnsi="宋体" w:cs="宋体"/>
          <w:color w:val="auto"/>
          <w:sz w:val="32"/>
          <w:szCs w:val="32"/>
          <w:highlight w:val="none"/>
        </w:rPr>
      </w:pPr>
    </w:p>
    <w:p w14:paraId="35304CC5">
      <w:pPr>
        <w:spacing w:line="480" w:lineRule="auto"/>
        <w:jc w:val="center"/>
        <w:rPr>
          <w:rFonts w:ascii="宋体" w:hAnsi="宋体" w:cs="宋体"/>
          <w:color w:val="auto"/>
          <w:sz w:val="32"/>
          <w:szCs w:val="32"/>
          <w:highlight w:val="none"/>
        </w:rPr>
      </w:pPr>
      <w:r>
        <w:rPr>
          <w:rFonts w:hint="eastAsia" w:ascii="宋体" w:hAnsi="宋体" w:cs="宋体"/>
          <w:color w:val="auto"/>
          <w:sz w:val="32"/>
          <w:szCs w:val="32"/>
          <w:highlight w:val="none"/>
        </w:rPr>
        <w:t>二零二</w:t>
      </w:r>
      <w:r>
        <w:rPr>
          <w:rFonts w:hint="eastAsia" w:ascii="宋体" w:hAnsi="宋体" w:cs="宋体"/>
          <w:color w:val="auto"/>
          <w:sz w:val="32"/>
          <w:szCs w:val="32"/>
          <w:highlight w:val="none"/>
          <w:lang w:eastAsia="zh-CN"/>
        </w:rPr>
        <w:t>五</w:t>
      </w:r>
      <w:r>
        <w:rPr>
          <w:rFonts w:hint="eastAsia" w:ascii="宋体" w:hAnsi="宋体" w:cs="宋体"/>
          <w:color w:val="auto"/>
          <w:sz w:val="32"/>
          <w:szCs w:val="32"/>
          <w:highlight w:val="none"/>
        </w:rPr>
        <w:t>年   月</w:t>
      </w:r>
    </w:p>
    <w:p w14:paraId="1A63C74A">
      <w:pPr>
        <w:tabs>
          <w:tab w:val="left" w:pos="480"/>
        </w:tabs>
        <w:spacing w:line="480" w:lineRule="auto"/>
        <w:jc w:val="center"/>
        <w:rPr>
          <w:rFonts w:ascii="宋体" w:hAnsi="宋体" w:cs="宋体"/>
          <w:color w:val="auto"/>
          <w:sz w:val="32"/>
          <w:szCs w:val="32"/>
          <w:highlight w:val="none"/>
        </w:rPr>
      </w:pPr>
      <w:r>
        <w:rPr>
          <w:rFonts w:hint="eastAsia" w:ascii="宋体" w:hAnsi="宋体" w:cs="宋体"/>
          <w:color w:val="auto"/>
          <w:sz w:val="32"/>
          <w:szCs w:val="32"/>
          <w:highlight w:val="none"/>
        </w:rPr>
        <w:t>中国  西安</w:t>
      </w:r>
    </w:p>
    <w:p w14:paraId="4F6A89A7">
      <w:pPr>
        <w:spacing w:line="480" w:lineRule="auto"/>
        <w:ind w:right="23"/>
        <w:rPr>
          <w:rFonts w:ascii="宋体" w:hAnsi="宋体" w:cs="宋体"/>
          <w:b/>
          <w:color w:val="auto"/>
          <w:sz w:val="24"/>
          <w:highlight w:val="none"/>
        </w:rPr>
      </w:pPr>
      <w:r>
        <w:rPr>
          <w:rFonts w:hint="eastAsia" w:ascii="宋体" w:hAnsi="宋体" w:cs="宋体"/>
          <w:b/>
          <w:color w:val="auto"/>
          <w:sz w:val="24"/>
          <w:highlight w:val="none"/>
        </w:rPr>
        <w:br w:type="page"/>
      </w:r>
    </w:p>
    <w:p w14:paraId="3CDD2707">
      <w:pPr>
        <w:spacing w:line="480" w:lineRule="auto"/>
        <w:ind w:right="23"/>
        <w:rPr>
          <w:rFonts w:ascii="宋体" w:hAnsi="宋体" w:cs="宋体"/>
          <w:b/>
          <w:color w:val="auto"/>
          <w:sz w:val="24"/>
          <w:highlight w:val="none"/>
        </w:rPr>
      </w:pPr>
      <w:r>
        <w:rPr>
          <w:rFonts w:hint="eastAsia" w:ascii="宋体" w:hAnsi="宋体" w:cs="宋体"/>
          <w:b/>
          <w:color w:val="auto"/>
          <w:sz w:val="24"/>
          <w:highlight w:val="none"/>
        </w:rPr>
        <w:t>甲方（采购人）：西安市自然资源和规划局</w:t>
      </w:r>
    </w:p>
    <w:p w14:paraId="132532C9">
      <w:pPr>
        <w:tabs>
          <w:tab w:val="left" w:pos="7920"/>
        </w:tabs>
        <w:spacing w:line="480" w:lineRule="auto"/>
        <w:ind w:right="23"/>
        <w:rPr>
          <w:rFonts w:ascii="宋体" w:hAnsi="宋体" w:cs="宋体"/>
          <w:b/>
          <w:color w:val="auto"/>
          <w:sz w:val="24"/>
          <w:highlight w:val="none"/>
        </w:rPr>
      </w:pPr>
      <w:r>
        <w:rPr>
          <w:rFonts w:hint="eastAsia" w:ascii="宋体" w:hAnsi="宋体" w:cs="宋体"/>
          <w:b/>
          <w:color w:val="auto"/>
          <w:sz w:val="24"/>
          <w:highlight w:val="none"/>
        </w:rPr>
        <w:t>乙方（供应商）：</w:t>
      </w:r>
    </w:p>
    <w:p w14:paraId="184D0A5F">
      <w:pPr>
        <w:tabs>
          <w:tab w:val="left" w:pos="7920"/>
        </w:tabs>
        <w:spacing w:line="480" w:lineRule="auto"/>
        <w:ind w:right="23"/>
        <w:rPr>
          <w:rFonts w:ascii="宋体" w:hAnsi="宋体" w:cs="宋体"/>
          <w:b/>
          <w:color w:val="auto"/>
          <w:sz w:val="24"/>
          <w:highlight w:val="none"/>
        </w:rPr>
      </w:pPr>
      <w:r>
        <w:rPr>
          <w:rFonts w:hint="eastAsia" w:ascii="宋体" w:hAnsi="宋体" w:cs="宋体"/>
          <w:b/>
          <w:color w:val="auto"/>
          <w:sz w:val="24"/>
          <w:highlight w:val="none"/>
        </w:rPr>
        <w:t>签订地点：西安市</w:t>
      </w:r>
    </w:p>
    <w:p w14:paraId="744F1B55">
      <w:pPr>
        <w:adjustRightInd w:val="0"/>
        <w:snapToGrid w:val="0"/>
        <w:spacing w:line="500" w:lineRule="exact"/>
        <w:ind w:firstLine="475" w:firstLineChars="198"/>
        <w:rPr>
          <w:rFonts w:ascii="宋体" w:hAnsi="宋体" w:cs="宋体"/>
          <w:color w:val="auto"/>
          <w:sz w:val="24"/>
          <w:highlight w:val="none"/>
        </w:rPr>
      </w:pPr>
      <w:r>
        <w:rPr>
          <w:rFonts w:hint="eastAsia" w:ascii="宋体" w:hAnsi="宋体" w:cs="宋体"/>
          <w:color w:val="auto"/>
          <w:sz w:val="24"/>
          <w:highlight w:val="none"/>
        </w:rPr>
        <w:t>根据《中华人民共和国民法典》、《中华人民共和国测绘法》、《中华人民共和国政府采购法》等有关法律法规规定，遵循平等、自愿、公平和诚信的原则，双方就下述项目范围内相关服务事项协商一致，订立本合同。</w:t>
      </w:r>
    </w:p>
    <w:p w14:paraId="76E6726C">
      <w:pPr>
        <w:spacing w:before="156" w:beforeLines="50" w:after="156" w:afterLines="50"/>
        <w:ind w:right="23" w:firstLine="459"/>
        <w:outlineLvl w:val="0"/>
        <w:rPr>
          <w:rFonts w:ascii="宋体" w:hAnsi="宋体" w:cs="宋体"/>
          <w:b/>
          <w:color w:val="auto"/>
          <w:sz w:val="24"/>
          <w:highlight w:val="none"/>
        </w:rPr>
      </w:pPr>
      <w:r>
        <w:rPr>
          <w:rFonts w:hint="eastAsia" w:ascii="宋体" w:hAnsi="宋体" w:cs="宋体"/>
          <w:b/>
          <w:color w:val="auto"/>
          <w:sz w:val="24"/>
          <w:highlight w:val="none"/>
        </w:rPr>
        <w:t>第一条</w:t>
      </w:r>
      <w:r>
        <w:rPr>
          <w:rFonts w:hint="eastAsia" w:ascii="宋体" w:hAnsi="宋体" w:cs="宋体"/>
          <w:color w:val="auto"/>
          <w:sz w:val="24"/>
          <w:highlight w:val="none"/>
        </w:rPr>
        <w:t xml:space="preserve"> </w:t>
      </w:r>
      <w:r>
        <w:rPr>
          <w:rFonts w:hint="eastAsia" w:ascii="宋体" w:hAnsi="宋体" w:cs="宋体"/>
          <w:b/>
          <w:bCs/>
          <w:color w:val="auto"/>
          <w:sz w:val="24"/>
          <w:highlight w:val="none"/>
        </w:rPr>
        <w:t>工作范围</w:t>
      </w:r>
    </w:p>
    <w:p w14:paraId="740B1FB3">
      <w:pPr>
        <w:ind w:right="25" w:firstLine="361" w:firstLineChars="150"/>
        <w:jc w:val="left"/>
        <w:rPr>
          <w:rFonts w:ascii="宋体" w:hAnsi="宋体" w:cs="宋体"/>
          <w:color w:val="auto"/>
          <w:sz w:val="24"/>
          <w:highlight w:val="none"/>
        </w:rPr>
      </w:pPr>
      <w:r>
        <w:rPr>
          <w:rFonts w:hint="eastAsia" w:ascii="宋体" w:hAnsi="宋体" w:cs="宋体"/>
          <w:b/>
          <w:color w:val="auto"/>
          <w:sz w:val="24"/>
          <w:highlight w:val="none"/>
        </w:rPr>
        <w:t xml:space="preserve"> </w:t>
      </w:r>
      <w:r>
        <w:rPr>
          <w:rFonts w:hint="eastAsia" w:ascii="宋体" w:hAnsi="宋体" w:cs="宋体"/>
          <w:color w:val="auto"/>
          <w:sz w:val="24"/>
          <w:highlight w:val="none"/>
        </w:rPr>
        <w:t>测区位于西安市,具体范围为:</w:t>
      </w:r>
      <w:r>
        <w:rPr>
          <w:rFonts w:hint="eastAsia" w:ascii="宋体" w:hAnsi="宋体" w:cs="宋体"/>
          <w:color w:val="auto"/>
          <w:sz w:val="24"/>
          <w:highlight w:val="none"/>
          <w:lang w:val="zh-TW" w:eastAsia="zh-TW"/>
        </w:rPr>
        <w:t>西起西绕城，东到西韩公路；北起渭河，南到环山公路，面积约1200平方公里。</w:t>
      </w:r>
    </w:p>
    <w:p w14:paraId="74DD9BEE">
      <w:pPr>
        <w:spacing w:before="156" w:beforeLines="50" w:after="156" w:afterLines="50"/>
        <w:ind w:right="23" w:firstLine="459"/>
        <w:outlineLvl w:val="0"/>
        <w:rPr>
          <w:rFonts w:ascii="宋体" w:hAnsi="宋体" w:cs="宋体"/>
          <w:b/>
          <w:color w:val="auto"/>
          <w:sz w:val="24"/>
          <w:highlight w:val="none"/>
        </w:rPr>
      </w:pPr>
      <w:r>
        <w:rPr>
          <w:rFonts w:hint="eastAsia" w:ascii="宋体" w:hAnsi="宋体" w:cs="宋体"/>
          <w:b/>
          <w:color w:val="auto"/>
          <w:sz w:val="24"/>
          <w:highlight w:val="none"/>
        </w:rPr>
        <w:t>第二条 工作内容</w:t>
      </w:r>
    </w:p>
    <w:p w14:paraId="00A2CF19">
      <w:pPr>
        <w:adjustRightInd w:val="0"/>
        <w:snapToGrid w:val="0"/>
        <w:spacing w:line="360" w:lineRule="auto"/>
        <w:ind w:firstLine="475" w:firstLineChars="198"/>
        <w:rPr>
          <w:rFonts w:ascii="宋体" w:hAnsi="宋体" w:cs="宋体"/>
          <w:color w:val="auto"/>
          <w:sz w:val="24"/>
          <w:highlight w:val="none"/>
        </w:rPr>
      </w:pPr>
      <w:r>
        <w:rPr>
          <w:rFonts w:hint="eastAsia" w:ascii="宋体" w:hAnsi="宋体" w:cs="宋体"/>
          <w:color w:val="auto"/>
          <w:sz w:val="24"/>
          <w:highlight w:val="none"/>
        </w:rPr>
        <w:t>1、对工作范围内1200平方公里范围进行地面沉降监测；对12条地裂缝6</w:t>
      </w:r>
      <w:r>
        <w:rPr>
          <w:rFonts w:hint="eastAsia" w:ascii="宋体" w:hAnsi="宋体" w:cs="宋体"/>
          <w:color w:val="auto"/>
          <w:sz w:val="24"/>
          <w:highlight w:val="none"/>
          <w:lang w:val="en-US" w:eastAsia="zh-CN"/>
        </w:rPr>
        <w:t>9</w:t>
      </w:r>
      <w:r>
        <w:rPr>
          <w:rFonts w:hint="eastAsia" w:ascii="宋体" w:hAnsi="宋体" w:cs="宋体"/>
          <w:color w:val="auto"/>
          <w:sz w:val="24"/>
          <w:highlight w:val="none"/>
        </w:rPr>
        <w:t>处监测场每季度进行一次监测，</w:t>
      </w:r>
      <w:r>
        <w:rPr>
          <w:rFonts w:hint="eastAsia" w:ascii="宋体" w:hAnsi="宋体" w:cs="宋体"/>
          <w:color w:val="auto"/>
          <w:sz w:val="24"/>
          <w:highlight w:val="yellow"/>
        </w:rPr>
        <w:t>预计二等水准测量单程</w:t>
      </w:r>
      <w:r>
        <w:rPr>
          <w:rFonts w:hint="eastAsia" w:ascii="宋体" w:hAnsi="宋体" w:cs="宋体"/>
          <w:color w:val="auto"/>
          <w:sz w:val="24"/>
          <w:highlight w:val="yellow"/>
          <w:lang w:val="en-US" w:eastAsia="zh-CN"/>
        </w:rPr>
        <w:t>800</w:t>
      </w:r>
      <w:r>
        <w:rPr>
          <w:rFonts w:hint="eastAsia" w:ascii="宋体" w:hAnsi="宋体" w:cs="宋体"/>
          <w:color w:val="auto"/>
          <w:sz w:val="24"/>
          <w:highlight w:val="yellow"/>
        </w:rPr>
        <w:t>公里。</w:t>
      </w:r>
    </w:p>
    <w:p w14:paraId="00994BF9">
      <w:pPr>
        <w:adjustRightInd w:val="0"/>
        <w:snapToGrid w:val="0"/>
        <w:spacing w:line="360" w:lineRule="auto"/>
        <w:ind w:firstLine="475" w:firstLineChars="198"/>
        <w:rPr>
          <w:rFonts w:ascii="宋体" w:hAnsi="宋体" w:cs="宋体"/>
          <w:color w:val="auto"/>
          <w:sz w:val="24"/>
          <w:highlight w:val="none"/>
        </w:rPr>
      </w:pPr>
      <w:r>
        <w:rPr>
          <w:rFonts w:hint="eastAsia" w:ascii="宋体" w:hAnsi="宋体" w:cs="宋体"/>
          <w:color w:val="auto"/>
          <w:sz w:val="24"/>
          <w:highlight w:val="none"/>
        </w:rPr>
        <w:t>2、对工作范围内</w:t>
      </w:r>
      <w:r>
        <w:rPr>
          <w:rFonts w:ascii="宋体" w:hAnsi="宋体" w:cs="宋体"/>
          <w:color w:val="auto"/>
          <w:sz w:val="24"/>
          <w:highlight w:val="none"/>
        </w:rPr>
        <w:t>2</w:t>
      </w:r>
      <w:r>
        <w:rPr>
          <w:rFonts w:hint="eastAsia" w:ascii="宋体" w:hAnsi="宋体" w:cs="宋体"/>
          <w:color w:val="auto"/>
          <w:sz w:val="24"/>
          <w:highlight w:val="none"/>
          <w:lang w:val="en-US" w:eastAsia="zh-CN"/>
        </w:rPr>
        <w:t>88</w:t>
      </w:r>
      <w:r>
        <w:rPr>
          <w:rFonts w:hint="eastAsia" w:ascii="宋体" w:hAnsi="宋体" w:cs="宋体"/>
          <w:color w:val="auto"/>
          <w:sz w:val="24"/>
          <w:highlight w:val="none"/>
        </w:rPr>
        <w:t xml:space="preserve">眼监测井每月进行 </w:t>
      </w:r>
      <w:r>
        <w:rPr>
          <w:rFonts w:ascii="宋体" w:hAnsi="宋体" w:cs="宋体"/>
          <w:color w:val="auto"/>
          <w:sz w:val="24"/>
          <w:highlight w:val="none"/>
        </w:rPr>
        <w:t>2</w:t>
      </w:r>
      <w:r>
        <w:rPr>
          <w:rFonts w:hint="eastAsia" w:ascii="宋体" w:hAnsi="宋体" w:cs="宋体"/>
          <w:color w:val="auto"/>
          <w:sz w:val="24"/>
          <w:highlight w:val="none"/>
        </w:rPr>
        <w:t xml:space="preserve"> 次水位观测。</w:t>
      </w:r>
    </w:p>
    <w:p w14:paraId="51683039">
      <w:pPr>
        <w:adjustRightInd w:val="0"/>
        <w:snapToGrid w:val="0"/>
        <w:spacing w:line="360" w:lineRule="auto"/>
        <w:ind w:firstLine="475" w:firstLineChars="198"/>
        <w:rPr>
          <w:rFonts w:ascii="宋体" w:hAnsi="宋体" w:cs="宋体"/>
          <w:color w:val="auto"/>
          <w:sz w:val="24"/>
          <w:highlight w:val="none"/>
        </w:rPr>
      </w:pPr>
      <w:r>
        <w:rPr>
          <w:rFonts w:hint="eastAsia" w:ascii="宋体" w:hAnsi="宋体" w:cs="宋体"/>
          <w:color w:val="auto"/>
          <w:sz w:val="24"/>
          <w:highlight w:val="none"/>
        </w:rPr>
        <w:t>3、根据水位观测及地面沉降地裂缝监测数据编写研究报告。</w:t>
      </w:r>
    </w:p>
    <w:p w14:paraId="68B5DBE4">
      <w:pPr>
        <w:ind w:right="25" w:firstLine="462"/>
        <w:outlineLvl w:val="0"/>
        <w:rPr>
          <w:rFonts w:ascii="宋体" w:hAnsi="宋体" w:cs="宋体"/>
          <w:b/>
          <w:color w:val="auto"/>
          <w:sz w:val="24"/>
          <w:highlight w:val="none"/>
        </w:rPr>
      </w:pPr>
      <w:r>
        <w:rPr>
          <w:rFonts w:hint="eastAsia" w:ascii="宋体" w:hAnsi="宋体" w:cs="宋体"/>
          <w:b/>
          <w:color w:val="auto"/>
          <w:sz w:val="24"/>
          <w:highlight w:val="none"/>
        </w:rPr>
        <w:t xml:space="preserve"> 第三条 执行技术标准如下表：</w:t>
      </w:r>
    </w:p>
    <w:tbl>
      <w:tblPr>
        <w:tblStyle w:val="8"/>
        <w:tblW w:w="8790" w:type="dxa"/>
        <w:tblInd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4820"/>
        <w:gridCol w:w="1984"/>
        <w:gridCol w:w="1250"/>
      </w:tblGrid>
      <w:tr w14:paraId="0F278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736" w:type="dxa"/>
            <w:vAlign w:val="center"/>
          </w:tcPr>
          <w:p w14:paraId="68D54646">
            <w:pPr>
              <w:tabs>
                <w:tab w:val="left" w:pos="540"/>
              </w:tabs>
              <w:spacing w:line="360" w:lineRule="auto"/>
              <w:ind w:right="25"/>
              <w:jc w:val="center"/>
              <w:rPr>
                <w:rFonts w:ascii="宋体" w:hAnsi="宋体" w:cs="宋体"/>
                <w:color w:val="auto"/>
                <w:sz w:val="24"/>
                <w:highlight w:val="none"/>
              </w:rPr>
            </w:pPr>
            <w:r>
              <w:rPr>
                <w:rFonts w:hint="eastAsia" w:ascii="宋体" w:hAnsi="宋体" w:cs="宋体"/>
                <w:color w:val="auto"/>
                <w:sz w:val="24"/>
                <w:highlight w:val="none"/>
              </w:rPr>
              <w:t>序号</w:t>
            </w:r>
          </w:p>
        </w:tc>
        <w:tc>
          <w:tcPr>
            <w:tcW w:w="4820" w:type="dxa"/>
            <w:vAlign w:val="center"/>
          </w:tcPr>
          <w:p w14:paraId="082D8C05">
            <w:pPr>
              <w:tabs>
                <w:tab w:val="left" w:pos="540"/>
              </w:tabs>
              <w:spacing w:line="360" w:lineRule="auto"/>
              <w:ind w:right="25"/>
              <w:jc w:val="center"/>
              <w:rPr>
                <w:rFonts w:ascii="宋体" w:hAnsi="宋体" w:cs="宋体"/>
                <w:color w:val="auto"/>
                <w:sz w:val="24"/>
                <w:highlight w:val="none"/>
              </w:rPr>
            </w:pPr>
            <w:r>
              <w:rPr>
                <w:rFonts w:hint="eastAsia" w:ascii="宋体" w:hAnsi="宋体" w:cs="宋体"/>
                <w:color w:val="auto"/>
                <w:sz w:val="24"/>
                <w:highlight w:val="none"/>
              </w:rPr>
              <w:t>标准名称</w:t>
            </w:r>
          </w:p>
        </w:tc>
        <w:tc>
          <w:tcPr>
            <w:tcW w:w="1984" w:type="dxa"/>
            <w:vAlign w:val="center"/>
          </w:tcPr>
          <w:p w14:paraId="060325B5">
            <w:pPr>
              <w:tabs>
                <w:tab w:val="left" w:pos="540"/>
              </w:tabs>
              <w:spacing w:line="360" w:lineRule="auto"/>
              <w:ind w:right="25"/>
              <w:jc w:val="center"/>
              <w:rPr>
                <w:rFonts w:ascii="宋体" w:hAnsi="宋体" w:cs="宋体"/>
                <w:color w:val="auto"/>
                <w:sz w:val="24"/>
                <w:highlight w:val="none"/>
              </w:rPr>
            </w:pPr>
            <w:r>
              <w:rPr>
                <w:rFonts w:hint="eastAsia" w:ascii="宋体" w:hAnsi="宋体" w:cs="宋体"/>
                <w:color w:val="auto"/>
                <w:sz w:val="24"/>
                <w:highlight w:val="none"/>
              </w:rPr>
              <w:t>标准代号</w:t>
            </w:r>
          </w:p>
        </w:tc>
        <w:tc>
          <w:tcPr>
            <w:tcW w:w="1250" w:type="dxa"/>
            <w:vAlign w:val="center"/>
          </w:tcPr>
          <w:p w14:paraId="47EAD17F">
            <w:pPr>
              <w:tabs>
                <w:tab w:val="left" w:pos="540"/>
              </w:tabs>
              <w:spacing w:line="360" w:lineRule="auto"/>
              <w:ind w:right="25"/>
              <w:jc w:val="center"/>
              <w:rPr>
                <w:rFonts w:ascii="宋体" w:hAnsi="宋体" w:cs="宋体"/>
                <w:color w:val="auto"/>
                <w:sz w:val="24"/>
                <w:highlight w:val="none"/>
              </w:rPr>
            </w:pPr>
            <w:r>
              <w:rPr>
                <w:rFonts w:hint="eastAsia" w:ascii="宋体" w:hAnsi="宋体" w:cs="宋体"/>
                <w:color w:val="auto"/>
                <w:sz w:val="24"/>
                <w:highlight w:val="none"/>
              </w:rPr>
              <w:t>标准等级</w:t>
            </w:r>
          </w:p>
        </w:tc>
      </w:tr>
      <w:tr w14:paraId="70A1D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736" w:type="dxa"/>
            <w:vAlign w:val="center"/>
          </w:tcPr>
          <w:p w14:paraId="034D0514">
            <w:pPr>
              <w:tabs>
                <w:tab w:val="left" w:pos="540"/>
              </w:tabs>
              <w:spacing w:line="360" w:lineRule="auto"/>
              <w:ind w:right="25"/>
              <w:jc w:val="center"/>
              <w:rPr>
                <w:rFonts w:ascii="宋体" w:hAnsi="宋体" w:cs="宋体"/>
                <w:b/>
                <w:color w:val="auto"/>
                <w:sz w:val="24"/>
                <w:highlight w:val="none"/>
              </w:rPr>
            </w:pPr>
            <w:r>
              <w:rPr>
                <w:rFonts w:hint="eastAsia" w:ascii="宋体" w:hAnsi="宋体" w:cs="宋体"/>
                <w:b/>
                <w:color w:val="auto"/>
                <w:sz w:val="24"/>
                <w:highlight w:val="none"/>
              </w:rPr>
              <w:t>1</w:t>
            </w:r>
          </w:p>
        </w:tc>
        <w:tc>
          <w:tcPr>
            <w:tcW w:w="4820" w:type="dxa"/>
            <w:tcBorders>
              <w:top w:val="single" w:color="auto" w:sz="4" w:space="0"/>
              <w:left w:val="single" w:color="auto" w:sz="4" w:space="0"/>
              <w:right w:val="single" w:color="auto" w:sz="4" w:space="0"/>
            </w:tcBorders>
            <w:vAlign w:val="center"/>
          </w:tcPr>
          <w:p w14:paraId="094E626C">
            <w:pPr>
              <w:tabs>
                <w:tab w:val="left" w:pos="540"/>
              </w:tabs>
              <w:spacing w:line="360" w:lineRule="auto"/>
              <w:ind w:right="25"/>
              <w:jc w:val="center"/>
              <w:rPr>
                <w:rFonts w:ascii="宋体" w:hAnsi="宋体" w:cs="宋体"/>
                <w:b/>
                <w:color w:val="auto"/>
                <w:sz w:val="24"/>
                <w:highlight w:val="none"/>
              </w:rPr>
            </w:pPr>
            <w:r>
              <w:rPr>
                <w:rFonts w:hint="eastAsia" w:ascii="宋体" w:hAnsi="宋体" w:cs="宋体"/>
                <w:b/>
                <w:color w:val="auto"/>
                <w:sz w:val="24"/>
                <w:highlight w:val="none"/>
              </w:rPr>
              <w:t>《国家一、二等水准测量规范》</w:t>
            </w:r>
          </w:p>
        </w:tc>
        <w:tc>
          <w:tcPr>
            <w:tcW w:w="1984" w:type="dxa"/>
            <w:tcBorders>
              <w:top w:val="single" w:color="auto" w:sz="4" w:space="0"/>
              <w:left w:val="single" w:color="auto" w:sz="4" w:space="0"/>
              <w:right w:val="single" w:color="auto" w:sz="4" w:space="0"/>
            </w:tcBorders>
            <w:vAlign w:val="center"/>
          </w:tcPr>
          <w:p w14:paraId="4AE7C0AD">
            <w:pPr>
              <w:tabs>
                <w:tab w:val="left" w:pos="540"/>
              </w:tabs>
              <w:spacing w:line="360" w:lineRule="auto"/>
              <w:ind w:right="25"/>
              <w:jc w:val="center"/>
              <w:rPr>
                <w:rFonts w:ascii="宋体" w:hAnsi="宋体" w:cs="宋体"/>
                <w:b/>
                <w:color w:val="auto"/>
                <w:sz w:val="24"/>
                <w:highlight w:val="none"/>
              </w:rPr>
            </w:pPr>
            <w:r>
              <w:rPr>
                <w:rFonts w:hint="eastAsia" w:ascii="宋体" w:hAnsi="宋体" w:cs="宋体"/>
                <w:b/>
                <w:color w:val="auto"/>
                <w:sz w:val="24"/>
                <w:highlight w:val="none"/>
              </w:rPr>
              <w:t>GB12897-2006</w:t>
            </w:r>
          </w:p>
        </w:tc>
        <w:tc>
          <w:tcPr>
            <w:tcW w:w="1250" w:type="dxa"/>
            <w:vAlign w:val="center"/>
          </w:tcPr>
          <w:p w14:paraId="1D6555DD">
            <w:pPr>
              <w:tabs>
                <w:tab w:val="left" w:pos="540"/>
              </w:tabs>
              <w:spacing w:line="360" w:lineRule="auto"/>
              <w:ind w:right="25"/>
              <w:jc w:val="center"/>
              <w:rPr>
                <w:rFonts w:ascii="宋体" w:hAnsi="宋体" w:cs="宋体"/>
                <w:b/>
                <w:color w:val="auto"/>
                <w:sz w:val="24"/>
                <w:highlight w:val="none"/>
              </w:rPr>
            </w:pPr>
            <w:r>
              <w:rPr>
                <w:rFonts w:hint="eastAsia" w:ascii="宋体" w:hAnsi="宋体" w:cs="宋体"/>
                <w:b/>
                <w:color w:val="auto"/>
                <w:sz w:val="24"/>
                <w:highlight w:val="none"/>
              </w:rPr>
              <w:t>国标</w:t>
            </w:r>
          </w:p>
        </w:tc>
      </w:tr>
      <w:tr w14:paraId="47BC2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736" w:type="dxa"/>
            <w:vAlign w:val="center"/>
          </w:tcPr>
          <w:p w14:paraId="27277404">
            <w:pPr>
              <w:tabs>
                <w:tab w:val="left" w:pos="540"/>
              </w:tabs>
              <w:spacing w:line="360" w:lineRule="auto"/>
              <w:ind w:right="25"/>
              <w:jc w:val="center"/>
              <w:rPr>
                <w:rFonts w:ascii="宋体" w:hAnsi="宋体" w:cs="宋体"/>
                <w:b/>
                <w:color w:val="auto"/>
                <w:sz w:val="24"/>
                <w:highlight w:val="none"/>
              </w:rPr>
            </w:pPr>
            <w:r>
              <w:rPr>
                <w:rFonts w:hint="eastAsia" w:ascii="宋体" w:hAnsi="宋体" w:cs="宋体"/>
                <w:b/>
                <w:color w:val="auto"/>
                <w:sz w:val="24"/>
                <w:highlight w:val="none"/>
              </w:rPr>
              <w:t>2</w:t>
            </w:r>
          </w:p>
        </w:tc>
        <w:tc>
          <w:tcPr>
            <w:tcW w:w="4820" w:type="dxa"/>
            <w:tcBorders>
              <w:top w:val="single" w:color="auto" w:sz="4" w:space="0"/>
              <w:left w:val="single" w:color="auto" w:sz="4" w:space="0"/>
              <w:right w:val="single" w:color="auto" w:sz="4" w:space="0"/>
            </w:tcBorders>
            <w:vAlign w:val="center"/>
          </w:tcPr>
          <w:p w14:paraId="7B6D5090">
            <w:pPr>
              <w:tabs>
                <w:tab w:val="left" w:pos="540"/>
              </w:tabs>
              <w:spacing w:line="360" w:lineRule="auto"/>
              <w:ind w:right="25"/>
              <w:jc w:val="center"/>
              <w:rPr>
                <w:rFonts w:ascii="宋体" w:hAnsi="宋体" w:cs="宋体"/>
                <w:b/>
                <w:color w:val="auto"/>
                <w:sz w:val="24"/>
                <w:highlight w:val="none"/>
              </w:rPr>
            </w:pPr>
            <w:r>
              <w:rPr>
                <w:rFonts w:hint="eastAsia" w:ascii="宋体" w:hAnsi="宋体" w:cs="宋体"/>
                <w:b/>
                <w:color w:val="auto"/>
                <w:sz w:val="24"/>
                <w:highlight w:val="none"/>
              </w:rPr>
              <w:t>《城市测量规范》</w:t>
            </w:r>
          </w:p>
        </w:tc>
        <w:tc>
          <w:tcPr>
            <w:tcW w:w="1984" w:type="dxa"/>
            <w:tcBorders>
              <w:top w:val="single" w:color="auto" w:sz="4" w:space="0"/>
              <w:left w:val="single" w:color="auto" w:sz="4" w:space="0"/>
              <w:right w:val="single" w:color="auto" w:sz="4" w:space="0"/>
            </w:tcBorders>
            <w:vAlign w:val="center"/>
          </w:tcPr>
          <w:p w14:paraId="03CA76E7">
            <w:pPr>
              <w:tabs>
                <w:tab w:val="left" w:pos="540"/>
              </w:tabs>
              <w:spacing w:line="360" w:lineRule="auto"/>
              <w:ind w:right="25"/>
              <w:jc w:val="center"/>
              <w:rPr>
                <w:rFonts w:ascii="宋体" w:hAnsi="宋体" w:cs="宋体"/>
                <w:b/>
                <w:color w:val="auto"/>
                <w:sz w:val="24"/>
                <w:highlight w:val="none"/>
              </w:rPr>
            </w:pPr>
            <w:r>
              <w:rPr>
                <w:rFonts w:hint="eastAsia" w:ascii="宋体" w:hAnsi="宋体" w:cs="宋体"/>
                <w:b/>
                <w:color w:val="auto"/>
                <w:sz w:val="24"/>
                <w:highlight w:val="none"/>
              </w:rPr>
              <w:t>CJJ/T8-2011</w:t>
            </w:r>
          </w:p>
        </w:tc>
        <w:tc>
          <w:tcPr>
            <w:tcW w:w="1250" w:type="dxa"/>
            <w:vAlign w:val="center"/>
          </w:tcPr>
          <w:p w14:paraId="32D3BDC4">
            <w:pPr>
              <w:tabs>
                <w:tab w:val="left" w:pos="540"/>
              </w:tabs>
              <w:spacing w:line="360" w:lineRule="auto"/>
              <w:ind w:right="25"/>
              <w:jc w:val="center"/>
              <w:rPr>
                <w:rFonts w:ascii="宋体" w:hAnsi="宋体" w:cs="宋体"/>
                <w:b/>
                <w:color w:val="auto"/>
                <w:sz w:val="24"/>
                <w:highlight w:val="none"/>
              </w:rPr>
            </w:pPr>
            <w:r>
              <w:rPr>
                <w:rFonts w:hint="eastAsia" w:ascii="宋体" w:hAnsi="宋体" w:cs="宋体"/>
                <w:b/>
                <w:color w:val="auto"/>
                <w:sz w:val="24"/>
                <w:highlight w:val="none"/>
              </w:rPr>
              <w:t>行业</w:t>
            </w:r>
          </w:p>
        </w:tc>
      </w:tr>
      <w:tr w14:paraId="16EAA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736" w:type="dxa"/>
            <w:vAlign w:val="center"/>
          </w:tcPr>
          <w:p w14:paraId="5471E2C0">
            <w:pPr>
              <w:tabs>
                <w:tab w:val="left" w:pos="540"/>
              </w:tabs>
              <w:spacing w:line="360" w:lineRule="auto"/>
              <w:ind w:right="25"/>
              <w:jc w:val="center"/>
              <w:rPr>
                <w:rFonts w:ascii="宋体" w:hAnsi="宋体" w:cs="宋体"/>
                <w:b/>
                <w:color w:val="auto"/>
                <w:sz w:val="24"/>
                <w:highlight w:val="none"/>
              </w:rPr>
            </w:pPr>
            <w:r>
              <w:rPr>
                <w:rFonts w:hint="eastAsia" w:ascii="宋体" w:hAnsi="宋体" w:cs="宋体"/>
                <w:b/>
                <w:color w:val="auto"/>
                <w:sz w:val="24"/>
                <w:highlight w:val="none"/>
              </w:rPr>
              <w:t>3</w:t>
            </w:r>
          </w:p>
        </w:tc>
        <w:tc>
          <w:tcPr>
            <w:tcW w:w="4820" w:type="dxa"/>
            <w:tcBorders>
              <w:top w:val="single" w:color="auto" w:sz="4" w:space="0"/>
              <w:left w:val="single" w:color="auto" w:sz="4" w:space="0"/>
              <w:right w:val="single" w:color="auto" w:sz="4" w:space="0"/>
            </w:tcBorders>
            <w:vAlign w:val="center"/>
          </w:tcPr>
          <w:p w14:paraId="2C1D05CA">
            <w:pPr>
              <w:tabs>
                <w:tab w:val="left" w:pos="540"/>
              </w:tabs>
              <w:spacing w:line="360" w:lineRule="auto"/>
              <w:ind w:right="25"/>
              <w:jc w:val="center"/>
              <w:rPr>
                <w:rFonts w:ascii="宋体" w:hAnsi="宋体" w:cs="宋体"/>
                <w:b/>
                <w:color w:val="auto"/>
                <w:sz w:val="24"/>
                <w:highlight w:val="none"/>
              </w:rPr>
            </w:pPr>
            <w:r>
              <w:rPr>
                <w:rFonts w:hint="eastAsia" w:ascii="宋体" w:hAnsi="宋体" w:cs="宋体"/>
                <w:b/>
                <w:color w:val="auto"/>
                <w:sz w:val="24"/>
                <w:highlight w:val="none"/>
              </w:rPr>
              <w:t>《测绘成果质量检查与验收》</w:t>
            </w:r>
          </w:p>
        </w:tc>
        <w:tc>
          <w:tcPr>
            <w:tcW w:w="1984" w:type="dxa"/>
            <w:tcBorders>
              <w:top w:val="single" w:color="auto" w:sz="4" w:space="0"/>
              <w:left w:val="single" w:color="auto" w:sz="4" w:space="0"/>
              <w:right w:val="single" w:color="auto" w:sz="4" w:space="0"/>
            </w:tcBorders>
            <w:vAlign w:val="center"/>
          </w:tcPr>
          <w:p w14:paraId="043D1AF8">
            <w:pPr>
              <w:tabs>
                <w:tab w:val="left" w:pos="540"/>
              </w:tabs>
              <w:spacing w:line="360" w:lineRule="auto"/>
              <w:ind w:right="25"/>
              <w:jc w:val="center"/>
              <w:rPr>
                <w:rFonts w:ascii="宋体" w:hAnsi="宋体" w:cs="宋体"/>
                <w:b/>
                <w:color w:val="auto"/>
                <w:sz w:val="24"/>
                <w:highlight w:val="none"/>
              </w:rPr>
            </w:pPr>
            <w:r>
              <w:rPr>
                <w:rFonts w:hint="eastAsia" w:ascii="宋体" w:hAnsi="宋体" w:cs="宋体"/>
                <w:b/>
                <w:color w:val="auto"/>
                <w:sz w:val="24"/>
                <w:highlight w:val="none"/>
              </w:rPr>
              <w:t>GB/T 24356-2009</w:t>
            </w:r>
          </w:p>
        </w:tc>
        <w:tc>
          <w:tcPr>
            <w:tcW w:w="1250" w:type="dxa"/>
            <w:vAlign w:val="center"/>
          </w:tcPr>
          <w:p w14:paraId="1B1E709A">
            <w:pPr>
              <w:tabs>
                <w:tab w:val="left" w:pos="540"/>
              </w:tabs>
              <w:spacing w:line="360" w:lineRule="auto"/>
              <w:ind w:right="25"/>
              <w:jc w:val="center"/>
              <w:rPr>
                <w:rFonts w:ascii="宋体" w:hAnsi="宋体" w:cs="宋体"/>
                <w:b/>
                <w:color w:val="auto"/>
                <w:sz w:val="24"/>
                <w:highlight w:val="none"/>
              </w:rPr>
            </w:pPr>
            <w:r>
              <w:rPr>
                <w:rFonts w:hint="eastAsia" w:ascii="宋体" w:hAnsi="宋体" w:cs="宋体"/>
                <w:b/>
                <w:color w:val="auto"/>
                <w:sz w:val="24"/>
                <w:highlight w:val="none"/>
              </w:rPr>
              <w:t>国标</w:t>
            </w:r>
          </w:p>
        </w:tc>
      </w:tr>
      <w:tr w14:paraId="54FC4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36" w:type="dxa"/>
            <w:vAlign w:val="center"/>
          </w:tcPr>
          <w:p w14:paraId="575C926A">
            <w:pPr>
              <w:tabs>
                <w:tab w:val="left" w:pos="540"/>
              </w:tabs>
              <w:spacing w:line="360" w:lineRule="auto"/>
              <w:ind w:right="25"/>
              <w:jc w:val="center"/>
              <w:rPr>
                <w:rFonts w:ascii="宋体" w:hAnsi="宋体" w:cs="宋体"/>
                <w:b/>
                <w:color w:val="auto"/>
                <w:sz w:val="24"/>
                <w:highlight w:val="none"/>
              </w:rPr>
            </w:pPr>
            <w:r>
              <w:rPr>
                <w:rFonts w:hint="eastAsia" w:ascii="宋体" w:hAnsi="宋体" w:cs="宋体"/>
                <w:b/>
                <w:color w:val="auto"/>
                <w:sz w:val="24"/>
                <w:highlight w:val="none"/>
              </w:rPr>
              <w:t>4</w:t>
            </w:r>
          </w:p>
        </w:tc>
        <w:tc>
          <w:tcPr>
            <w:tcW w:w="4820" w:type="dxa"/>
            <w:tcBorders>
              <w:top w:val="single" w:color="auto" w:sz="4" w:space="0"/>
              <w:left w:val="single" w:color="auto" w:sz="4" w:space="0"/>
              <w:right w:val="single" w:color="auto" w:sz="4" w:space="0"/>
            </w:tcBorders>
            <w:vAlign w:val="center"/>
          </w:tcPr>
          <w:p w14:paraId="2FAC76D0">
            <w:pPr>
              <w:tabs>
                <w:tab w:val="left" w:pos="540"/>
              </w:tabs>
              <w:spacing w:line="360" w:lineRule="auto"/>
              <w:ind w:right="25"/>
              <w:jc w:val="center"/>
              <w:rPr>
                <w:rFonts w:ascii="宋体" w:hAnsi="宋体" w:cs="宋体"/>
                <w:b/>
                <w:color w:val="auto"/>
                <w:sz w:val="24"/>
                <w:highlight w:val="none"/>
              </w:rPr>
            </w:pPr>
            <w:r>
              <w:rPr>
                <w:rFonts w:hint="eastAsia" w:ascii="宋体" w:hAnsi="宋体" w:cs="宋体"/>
                <w:b/>
                <w:color w:val="auto"/>
                <w:sz w:val="24"/>
                <w:highlight w:val="none"/>
              </w:rPr>
              <w:t>城市地下水动态观测规程</w:t>
            </w:r>
          </w:p>
        </w:tc>
        <w:tc>
          <w:tcPr>
            <w:tcW w:w="1984" w:type="dxa"/>
            <w:tcBorders>
              <w:top w:val="single" w:color="auto" w:sz="4" w:space="0"/>
              <w:left w:val="single" w:color="auto" w:sz="4" w:space="0"/>
              <w:right w:val="single" w:color="auto" w:sz="4" w:space="0"/>
            </w:tcBorders>
            <w:vAlign w:val="center"/>
          </w:tcPr>
          <w:p w14:paraId="24A6FE83">
            <w:pPr>
              <w:tabs>
                <w:tab w:val="left" w:pos="540"/>
              </w:tabs>
              <w:spacing w:line="360" w:lineRule="auto"/>
              <w:ind w:right="25"/>
              <w:jc w:val="center"/>
              <w:rPr>
                <w:rFonts w:ascii="宋体" w:hAnsi="宋体" w:cs="宋体"/>
                <w:b/>
                <w:color w:val="auto"/>
                <w:sz w:val="24"/>
                <w:highlight w:val="none"/>
              </w:rPr>
            </w:pPr>
            <w:r>
              <w:rPr>
                <w:rFonts w:hint="eastAsia" w:ascii="宋体" w:hAnsi="宋体" w:cs="宋体"/>
                <w:b/>
                <w:color w:val="auto"/>
                <w:sz w:val="24"/>
                <w:highlight w:val="none"/>
              </w:rPr>
              <w:t>CJJ76--2012</w:t>
            </w:r>
          </w:p>
        </w:tc>
        <w:tc>
          <w:tcPr>
            <w:tcW w:w="1250" w:type="dxa"/>
            <w:vAlign w:val="center"/>
          </w:tcPr>
          <w:p w14:paraId="35B6A96E">
            <w:pPr>
              <w:tabs>
                <w:tab w:val="left" w:pos="540"/>
              </w:tabs>
              <w:spacing w:line="360" w:lineRule="auto"/>
              <w:ind w:right="25"/>
              <w:jc w:val="center"/>
              <w:rPr>
                <w:rFonts w:ascii="宋体" w:hAnsi="宋体" w:cs="宋体"/>
                <w:b/>
                <w:color w:val="auto"/>
                <w:sz w:val="24"/>
                <w:highlight w:val="none"/>
              </w:rPr>
            </w:pPr>
            <w:r>
              <w:rPr>
                <w:rFonts w:hint="eastAsia" w:ascii="宋体" w:hAnsi="宋体" w:cs="宋体"/>
                <w:b/>
                <w:color w:val="auto"/>
                <w:sz w:val="24"/>
                <w:highlight w:val="none"/>
              </w:rPr>
              <w:t>行业</w:t>
            </w:r>
          </w:p>
        </w:tc>
      </w:tr>
      <w:tr w14:paraId="2CD6A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36" w:type="dxa"/>
            <w:vAlign w:val="center"/>
          </w:tcPr>
          <w:p w14:paraId="1EEA99E7">
            <w:pPr>
              <w:tabs>
                <w:tab w:val="left" w:pos="540"/>
              </w:tabs>
              <w:spacing w:line="360" w:lineRule="auto"/>
              <w:ind w:right="25"/>
              <w:jc w:val="center"/>
              <w:rPr>
                <w:rFonts w:ascii="宋体" w:hAnsi="宋体" w:cs="宋体"/>
                <w:b/>
                <w:color w:val="auto"/>
                <w:sz w:val="24"/>
                <w:highlight w:val="none"/>
              </w:rPr>
            </w:pPr>
            <w:r>
              <w:rPr>
                <w:rFonts w:hint="eastAsia" w:ascii="宋体" w:hAnsi="宋体" w:cs="宋体"/>
                <w:b/>
                <w:color w:val="auto"/>
                <w:sz w:val="24"/>
                <w:highlight w:val="none"/>
              </w:rPr>
              <w:t>5</w:t>
            </w:r>
          </w:p>
        </w:tc>
        <w:tc>
          <w:tcPr>
            <w:tcW w:w="4820" w:type="dxa"/>
            <w:tcBorders>
              <w:top w:val="single" w:color="auto" w:sz="4" w:space="0"/>
              <w:left w:val="single" w:color="auto" w:sz="4" w:space="0"/>
              <w:right w:val="single" w:color="auto" w:sz="4" w:space="0"/>
            </w:tcBorders>
            <w:vAlign w:val="center"/>
          </w:tcPr>
          <w:p w14:paraId="6682A633">
            <w:pPr>
              <w:tabs>
                <w:tab w:val="left" w:pos="540"/>
              </w:tabs>
              <w:spacing w:line="360" w:lineRule="auto"/>
              <w:ind w:right="25"/>
              <w:jc w:val="center"/>
              <w:rPr>
                <w:rFonts w:ascii="宋体" w:hAnsi="宋体" w:cs="宋体"/>
                <w:b/>
                <w:color w:val="auto"/>
                <w:sz w:val="24"/>
                <w:highlight w:val="none"/>
              </w:rPr>
            </w:pPr>
            <w:r>
              <w:rPr>
                <w:rFonts w:hint="eastAsia" w:ascii="宋体" w:hAnsi="宋体" w:cs="宋体"/>
                <w:b/>
                <w:color w:val="auto"/>
                <w:sz w:val="24"/>
                <w:highlight w:val="none"/>
              </w:rPr>
              <w:t>国家、行业现行的规范或者相关标准</w:t>
            </w:r>
          </w:p>
        </w:tc>
        <w:tc>
          <w:tcPr>
            <w:tcW w:w="1984" w:type="dxa"/>
            <w:tcBorders>
              <w:top w:val="single" w:color="auto" w:sz="4" w:space="0"/>
              <w:left w:val="single" w:color="auto" w:sz="4" w:space="0"/>
              <w:right w:val="single" w:color="auto" w:sz="4" w:space="0"/>
            </w:tcBorders>
            <w:vAlign w:val="center"/>
          </w:tcPr>
          <w:p w14:paraId="2A9C41B7">
            <w:pPr>
              <w:tabs>
                <w:tab w:val="left" w:pos="540"/>
              </w:tabs>
              <w:spacing w:line="360" w:lineRule="auto"/>
              <w:ind w:right="25"/>
              <w:jc w:val="center"/>
              <w:rPr>
                <w:rFonts w:ascii="宋体" w:hAnsi="宋体" w:cs="宋体"/>
                <w:b/>
                <w:color w:val="auto"/>
                <w:sz w:val="24"/>
                <w:highlight w:val="none"/>
              </w:rPr>
            </w:pPr>
          </w:p>
        </w:tc>
        <w:tc>
          <w:tcPr>
            <w:tcW w:w="1250" w:type="dxa"/>
            <w:vAlign w:val="center"/>
          </w:tcPr>
          <w:p w14:paraId="2DCAD6B4">
            <w:pPr>
              <w:tabs>
                <w:tab w:val="left" w:pos="540"/>
              </w:tabs>
              <w:spacing w:line="360" w:lineRule="auto"/>
              <w:ind w:right="25"/>
              <w:jc w:val="center"/>
              <w:rPr>
                <w:rFonts w:ascii="宋体" w:hAnsi="宋体" w:cs="宋体"/>
                <w:b/>
                <w:color w:val="auto"/>
                <w:sz w:val="24"/>
                <w:highlight w:val="none"/>
              </w:rPr>
            </w:pPr>
          </w:p>
        </w:tc>
      </w:tr>
      <w:tr w14:paraId="1634A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736" w:type="dxa"/>
            <w:vAlign w:val="center"/>
          </w:tcPr>
          <w:p w14:paraId="7F4FE5E1">
            <w:pPr>
              <w:tabs>
                <w:tab w:val="left" w:pos="540"/>
              </w:tabs>
              <w:spacing w:line="360" w:lineRule="auto"/>
              <w:ind w:right="25"/>
              <w:jc w:val="center"/>
              <w:rPr>
                <w:rFonts w:ascii="宋体" w:hAnsi="宋体" w:cs="宋体"/>
                <w:b/>
                <w:color w:val="auto"/>
                <w:sz w:val="24"/>
                <w:highlight w:val="none"/>
              </w:rPr>
            </w:pPr>
            <w:r>
              <w:rPr>
                <w:rFonts w:hint="eastAsia" w:ascii="宋体" w:hAnsi="宋体" w:cs="宋体"/>
                <w:b/>
                <w:color w:val="auto"/>
                <w:sz w:val="24"/>
                <w:highlight w:val="none"/>
              </w:rPr>
              <w:t>6</w:t>
            </w:r>
          </w:p>
        </w:tc>
        <w:tc>
          <w:tcPr>
            <w:tcW w:w="4820" w:type="dxa"/>
            <w:tcBorders>
              <w:top w:val="single" w:color="auto" w:sz="4" w:space="0"/>
              <w:left w:val="single" w:color="auto" w:sz="4" w:space="0"/>
              <w:right w:val="single" w:color="auto" w:sz="4" w:space="0"/>
            </w:tcBorders>
            <w:vAlign w:val="center"/>
          </w:tcPr>
          <w:p w14:paraId="34A728D5">
            <w:pPr>
              <w:tabs>
                <w:tab w:val="left" w:pos="540"/>
              </w:tabs>
              <w:spacing w:line="360" w:lineRule="auto"/>
              <w:ind w:right="25"/>
              <w:jc w:val="center"/>
              <w:rPr>
                <w:rFonts w:ascii="宋体" w:hAnsi="宋体" w:cs="宋体"/>
                <w:b/>
                <w:color w:val="auto"/>
                <w:sz w:val="24"/>
                <w:highlight w:val="none"/>
              </w:rPr>
            </w:pPr>
            <w:r>
              <w:rPr>
                <w:rFonts w:hint="eastAsia" w:ascii="宋体" w:hAnsi="宋体" w:cs="宋体"/>
                <w:b/>
                <w:color w:val="auto"/>
                <w:sz w:val="24"/>
                <w:highlight w:val="none"/>
              </w:rPr>
              <w:t>经甲方审定的本项目技术设计书（实施方案）</w:t>
            </w:r>
          </w:p>
        </w:tc>
        <w:tc>
          <w:tcPr>
            <w:tcW w:w="1984" w:type="dxa"/>
            <w:tcBorders>
              <w:top w:val="single" w:color="auto" w:sz="4" w:space="0"/>
              <w:left w:val="single" w:color="auto" w:sz="4" w:space="0"/>
              <w:right w:val="single" w:color="auto" w:sz="4" w:space="0"/>
            </w:tcBorders>
            <w:vAlign w:val="center"/>
          </w:tcPr>
          <w:p w14:paraId="4496F570">
            <w:pPr>
              <w:tabs>
                <w:tab w:val="left" w:pos="540"/>
              </w:tabs>
              <w:spacing w:line="360" w:lineRule="auto"/>
              <w:ind w:right="25"/>
              <w:jc w:val="center"/>
              <w:rPr>
                <w:rFonts w:ascii="宋体" w:hAnsi="宋体" w:cs="宋体"/>
                <w:b/>
                <w:color w:val="auto"/>
                <w:sz w:val="24"/>
                <w:highlight w:val="none"/>
              </w:rPr>
            </w:pPr>
          </w:p>
        </w:tc>
        <w:tc>
          <w:tcPr>
            <w:tcW w:w="1250" w:type="dxa"/>
            <w:vAlign w:val="center"/>
          </w:tcPr>
          <w:p w14:paraId="4ED7F8A8">
            <w:pPr>
              <w:tabs>
                <w:tab w:val="left" w:pos="540"/>
              </w:tabs>
              <w:spacing w:line="360" w:lineRule="auto"/>
              <w:ind w:right="25"/>
              <w:jc w:val="center"/>
              <w:rPr>
                <w:rFonts w:ascii="宋体" w:hAnsi="宋体" w:cs="宋体"/>
                <w:b/>
                <w:color w:val="auto"/>
                <w:sz w:val="24"/>
                <w:highlight w:val="none"/>
              </w:rPr>
            </w:pPr>
          </w:p>
        </w:tc>
      </w:tr>
    </w:tbl>
    <w:p w14:paraId="09D8234A">
      <w:pPr>
        <w:tabs>
          <w:tab w:val="left" w:pos="540"/>
        </w:tabs>
        <w:spacing w:before="156" w:beforeLines="50" w:after="156" w:afterLines="50"/>
        <w:ind w:right="23" w:firstLine="533"/>
        <w:rPr>
          <w:rFonts w:ascii="宋体" w:hAnsi="宋体" w:cs="宋体"/>
          <w:b/>
          <w:bCs/>
          <w:color w:val="auto"/>
          <w:sz w:val="24"/>
          <w:highlight w:val="none"/>
        </w:rPr>
      </w:pPr>
      <w:r>
        <w:rPr>
          <w:rFonts w:hint="eastAsia" w:ascii="宋体" w:hAnsi="宋体" w:cs="宋体"/>
          <w:b/>
          <w:color w:val="auto"/>
          <w:sz w:val="24"/>
          <w:highlight w:val="none"/>
        </w:rPr>
        <w:t xml:space="preserve">第四条 </w:t>
      </w:r>
      <w:r>
        <w:rPr>
          <w:rFonts w:hint="eastAsia" w:ascii="宋体" w:hAnsi="宋体" w:cs="宋体"/>
          <w:b/>
          <w:bCs/>
          <w:color w:val="auto"/>
          <w:sz w:val="24"/>
          <w:highlight w:val="none"/>
        </w:rPr>
        <w:t>合同金额</w:t>
      </w:r>
    </w:p>
    <w:p w14:paraId="0ADCBD99">
      <w:pPr>
        <w:adjustRightInd w:val="0"/>
        <w:snapToGrid w:val="0"/>
        <w:spacing w:line="500" w:lineRule="exact"/>
        <w:ind w:firstLine="475" w:firstLineChars="198"/>
        <w:jc w:val="left"/>
        <w:rPr>
          <w:rFonts w:ascii="宋体" w:hAnsi="宋体" w:cs="宋体"/>
          <w:color w:val="auto"/>
          <w:sz w:val="24"/>
          <w:highlight w:val="none"/>
        </w:rPr>
      </w:pPr>
      <w:r>
        <w:rPr>
          <w:rFonts w:hint="eastAsia" w:ascii="宋体" w:hAnsi="宋体" w:cs="宋体"/>
          <w:color w:val="auto"/>
          <w:sz w:val="24"/>
          <w:highlight w:val="none"/>
        </w:rPr>
        <w:t>根据招标协商成交确认合同总金额（含税）为（大写）：</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元整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元）。合同金额即中标价，不受市场价变化或实际工作量变化的影响，除本协议明确约定外，乙方不得再向甲方提出任何费用增加的要求。</w:t>
      </w:r>
    </w:p>
    <w:p w14:paraId="3E54FE2A">
      <w:pPr>
        <w:adjustRightInd w:val="0"/>
        <w:snapToGrid w:val="0"/>
        <w:spacing w:before="156" w:beforeLines="50" w:after="156" w:afterLines="50" w:line="500" w:lineRule="exact"/>
        <w:ind w:firstLine="477" w:firstLineChars="198"/>
        <w:jc w:val="left"/>
        <w:rPr>
          <w:rFonts w:ascii="宋体" w:hAnsi="宋体" w:cs="宋体"/>
          <w:color w:val="auto"/>
          <w:sz w:val="24"/>
          <w:highlight w:val="none"/>
        </w:rPr>
      </w:pPr>
      <w:r>
        <w:rPr>
          <w:rFonts w:hint="eastAsia" w:ascii="宋体" w:hAnsi="宋体" w:cs="宋体"/>
          <w:b/>
          <w:color w:val="auto"/>
          <w:sz w:val="24"/>
          <w:highlight w:val="none"/>
        </w:rPr>
        <w:t xml:space="preserve">第五条 </w:t>
      </w:r>
      <w:r>
        <w:rPr>
          <w:rFonts w:hint="eastAsia" w:ascii="宋体" w:hAnsi="宋体" w:cs="宋体"/>
          <w:b/>
          <w:bCs/>
          <w:color w:val="auto"/>
          <w:sz w:val="24"/>
          <w:highlight w:val="none"/>
        </w:rPr>
        <w:t>甲方的权利义务</w:t>
      </w:r>
    </w:p>
    <w:p w14:paraId="690BF254">
      <w:pPr>
        <w:tabs>
          <w:tab w:val="left" w:pos="540"/>
          <w:tab w:val="left" w:pos="720"/>
        </w:tabs>
        <w:spacing w:line="360" w:lineRule="auto"/>
        <w:ind w:right="25" w:firstLine="538"/>
        <w:rPr>
          <w:rFonts w:ascii="宋体" w:hAnsi="宋体" w:cs="宋体"/>
          <w:color w:val="auto"/>
          <w:sz w:val="24"/>
          <w:highlight w:val="none"/>
        </w:rPr>
      </w:pPr>
      <w:r>
        <w:rPr>
          <w:rFonts w:hint="eastAsia" w:ascii="宋体" w:hAnsi="宋体" w:cs="宋体"/>
          <w:color w:val="auto"/>
          <w:sz w:val="24"/>
          <w:highlight w:val="none"/>
        </w:rPr>
        <w:t>1、按本合同约定按期支付本项目资金给乙方；</w:t>
      </w:r>
    </w:p>
    <w:p w14:paraId="3B68B57B">
      <w:pPr>
        <w:tabs>
          <w:tab w:val="left" w:pos="540"/>
          <w:tab w:val="left" w:pos="720"/>
        </w:tabs>
        <w:spacing w:line="360" w:lineRule="auto"/>
        <w:ind w:right="25" w:firstLine="538"/>
        <w:rPr>
          <w:rFonts w:ascii="宋体" w:hAnsi="宋体" w:cs="宋体"/>
          <w:color w:val="auto"/>
          <w:sz w:val="24"/>
          <w:highlight w:val="none"/>
        </w:rPr>
      </w:pPr>
      <w:r>
        <w:rPr>
          <w:rFonts w:hint="eastAsia" w:ascii="宋体" w:hAnsi="宋体" w:cs="宋体"/>
          <w:color w:val="auto"/>
          <w:sz w:val="24"/>
          <w:highlight w:val="none"/>
        </w:rPr>
        <w:t>2、为乙方的外业测绘及监测工作提供必要协助；</w:t>
      </w:r>
    </w:p>
    <w:p w14:paraId="46EA5C10">
      <w:pPr>
        <w:pStyle w:val="3"/>
        <w:spacing w:line="360" w:lineRule="auto"/>
        <w:ind w:firstLine="560"/>
        <w:jc w:val="left"/>
        <w:rPr>
          <w:rFonts w:ascii="宋体" w:hAnsi="宋体" w:cs="宋体"/>
          <w:color w:val="auto"/>
          <w:sz w:val="24"/>
          <w:highlight w:val="none"/>
        </w:rPr>
      </w:pPr>
      <w:r>
        <w:rPr>
          <w:rFonts w:hint="eastAsia" w:ascii="宋体" w:hAnsi="宋体" w:cs="宋体"/>
          <w:color w:val="auto"/>
          <w:sz w:val="24"/>
          <w:highlight w:val="none"/>
        </w:rPr>
        <w:t>3、甲方有权审查乙方的工作内容和进度，有权向乙方提出对项目内容的意见和建议，乙方应当积极采纳并及时改进；</w:t>
      </w:r>
    </w:p>
    <w:p w14:paraId="12EAB6BE">
      <w:pPr>
        <w:spacing w:line="360" w:lineRule="auto"/>
        <w:ind w:firstLine="560"/>
        <w:rPr>
          <w:rFonts w:ascii="宋体" w:hAnsi="宋体" w:cs="宋体"/>
          <w:color w:val="auto"/>
          <w:sz w:val="24"/>
          <w:highlight w:val="none"/>
        </w:rPr>
      </w:pPr>
      <w:r>
        <w:rPr>
          <w:rFonts w:hint="eastAsia" w:ascii="宋体" w:hAnsi="宋体" w:cs="宋体"/>
          <w:color w:val="auto"/>
          <w:sz w:val="24"/>
          <w:highlight w:val="none"/>
        </w:rPr>
        <w:t>4、甲方有权对项目成果提出要求，督促乙方按照进度完成项目并提交符合甲方要求及验收标准的相关成果资料；</w:t>
      </w:r>
    </w:p>
    <w:p w14:paraId="4C24D6FA">
      <w:pPr>
        <w:tabs>
          <w:tab w:val="left" w:pos="540"/>
          <w:tab w:val="left" w:pos="720"/>
        </w:tabs>
        <w:spacing w:line="360" w:lineRule="auto"/>
        <w:ind w:right="25" w:firstLine="538"/>
        <w:rPr>
          <w:rFonts w:ascii="宋体" w:hAnsi="宋体" w:cs="宋体"/>
          <w:color w:val="auto"/>
          <w:sz w:val="24"/>
          <w:highlight w:val="none"/>
        </w:rPr>
      </w:pPr>
      <w:r>
        <w:rPr>
          <w:rFonts w:hint="eastAsia" w:ascii="宋体" w:hAnsi="宋体" w:cs="宋体"/>
          <w:color w:val="auto"/>
          <w:sz w:val="24"/>
          <w:highlight w:val="none"/>
        </w:rPr>
        <w:t>5、甲方承诺按照《中华人民共和国保守国家秘密法》、《中华人民共和国测绘法》、《中华人民共和国保守国家秘密法实施条例》、《中华人民共和国测绘成果管理条例》、《计算机信息系统保密管理暂行规定》、《国家秘密载体保密管理的规定》、《基础测绘成果提供使用管理暂行办法》等相关法律法规及管理文件的要求，对乙方提供资料进行有效管理，做好安全保密工作，严防泄密。本保密承诺条款为独立条款，不因本合同的终止、解除等情形无效。</w:t>
      </w:r>
    </w:p>
    <w:p w14:paraId="1C9EA34C">
      <w:pPr>
        <w:tabs>
          <w:tab w:val="left" w:pos="180"/>
          <w:tab w:val="left" w:pos="540"/>
          <w:tab w:val="left" w:pos="720"/>
        </w:tabs>
        <w:spacing w:before="156" w:beforeLines="50" w:after="156" w:afterLines="50" w:line="360" w:lineRule="auto"/>
        <w:ind w:right="23" w:firstLine="527"/>
        <w:outlineLvl w:val="0"/>
        <w:rPr>
          <w:rFonts w:ascii="宋体" w:hAnsi="宋体" w:cs="宋体"/>
          <w:b/>
          <w:bCs/>
          <w:color w:val="auto"/>
          <w:sz w:val="24"/>
          <w:highlight w:val="none"/>
        </w:rPr>
      </w:pPr>
      <w:r>
        <w:rPr>
          <w:rFonts w:hint="eastAsia" w:ascii="宋体" w:hAnsi="宋体" w:cs="宋体"/>
          <w:b/>
          <w:color w:val="auto"/>
          <w:sz w:val="24"/>
          <w:highlight w:val="none"/>
        </w:rPr>
        <w:t xml:space="preserve">第六条 </w:t>
      </w:r>
      <w:r>
        <w:rPr>
          <w:rFonts w:hint="eastAsia" w:ascii="宋体" w:hAnsi="宋体" w:cs="宋体"/>
          <w:b/>
          <w:bCs/>
          <w:color w:val="auto"/>
          <w:sz w:val="24"/>
          <w:highlight w:val="none"/>
        </w:rPr>
        <w:t>乙方的权利义务</w:t>
      </w:r>
    </w:p>
    <w:p w14:paraId="573C2549">
      <w:pPr>
        <w:tabs>
          <w:tab w:val="left" w:pos="180"/>
          <w:tab w:val="left" w:pos="540"/>
          <w:tab w:val="left" w:pos="720"/>
        </w:tabs>
        <w:spacing w:line="360" w:lineRule="auto"/>
        <w:ind w:right="25" w:firstLine="538"/>
        <w:rPr>
          <w:rFonts w:ascii="宋体" w:hAnsi="宋体" w:cs="宋体"/>
          <w:color w:val="auto"/>
          <w:sz w:val="24"/>
          <w:highlight w:val="none"/>
        </w:rPr>
      </w:pPr>
      <w:r>
        <w:rPr>
          <w:rFonts w:hint="eastAsia" w:ascii="宋体" w:hAnsi="宋体" w:cs="宋体"/>
          <w:color w:val="auto"/>
          <w:sz w:val="24"/>
          <w:highlight w:val="none"/>
        </w:rPr>
        <w:t>1、负责该项目技术设计书的编制和评审；</w:t>
      </w:r>
    </w:p>
    <w:p w14:paraId="2001BCAF">
      <w:pPr>
        <w:tabs>
          <w:tab w:val="left" w:pos="180"/>
          <w:tab w:val="left" w:pos="540"/>
          <w:tab w:val="left" w:pos="720"/>
        </w:tabs>
        <w:spacing w:line="360" w:lineRule="auto"/>
        <w:ind w:right="25" w:firstLine="538"/>
        <w:rPr>
          <w:rFonts w:ascii="宋体" w:hAnsi="宋体" w:cs="宋体"/>
          <w:color w:val="auto"/>
          <w:sz w:val="24"/>
          <w:highlight w:val="none"/>
        </w:rPr>
      </w:pPr>
      <w:r>
        <w:rPr>
          <w:rFonts w:hint="eastAsia" w:ascii="宋体" w:hAnsi="宋体" w:cs="宋体"/>
          <w:color w:val="auto"/>
          <w:sz w:val="24"/>
          <w:highlight w:val="none"/>
        </w:rPr>
        <w:t>2、负责该项目生产组织和配合产品质量验收，由于乙方提供的成果资料不合格或者不符合甲方要求，乙方应当在甲方规定的期限内无偿给予补充完善直至其符合甲方要求及相关执行技术标准；</w:t>
      </w:r>
    </w:p>
    <w:p w14:paraId="592AB2A2">
      <w:pPr>
        <w:tabs>
          <w:tab w:val="left" w:pos="180"/>
          <w:tab w:val="left" w:pos="540"/>
          <w:tab w:val="left" w:pos="720"/>
        </w:tabs>
        <w:spacing w:line="360" w:lineRule="auto"/>
        <w:ind w:right="25" w:firstLine="538"/>
        <w:rPr>
          <w:rFonts w:ascii="宋体" w:hAnsi="宋体" w:cs="宋体"/>
          <w:color w:val="auto"/>
          <w:sz w:val="24"/>
          <w:highlight w:val="none"/>
        </w:rPr>
      </w:pPr>
      <w:r>
        <w:rPr>
          <w:rFonts w:hint="eastAsia" w:ascii="宋体" w:hAnsi="宋体" w:cs="宋体"/>
          <w:color w:val="auto"/>
          <w:sz w:val="24"/>
          <w:highlight w:val="none"/>
        </w:rPr>
        <w:t>3、乙方应当根据技术设计书要求按合同工期确保项目完成，提交质量合格且符合甲方要求的成果资料；</w:t>
      </w:r>
    </w:p>
    <w:p w14:paraId="36227685">
      <w:pPr>
        <w:tabs>
          <w:tab w:val="left" w:pos="180"/>
          <w:tab w:val="left" w:pos="540"/>
          <w:tab w:val="left" w:pos="720"/>
        </w:tabs>
        <w:spacing w:line="360" w:lineRule="auto"/>
        <w:ind w:right="25" w:firstLine="538"/>
        <w:rPr>
          <w:rFonts w:ascii="宋体" w:hAnsi="宋体" w:cs="宋体"/>
          <w:color w:val="auto"/>
          <w:sz w:val="24"/>
          <w:highlight w:val="none"/>
        </w:rPr>
      </w:pPr>
      <w:r>
        <w:rPr>
          <w:rFonts w:hint="eastAsia" w:ascii="宋体" w:hAnsi="宋体" w:cs="宋体"/>
          <w:color w:val="auto"/>
          <w:sz w:val="24"/>
          <w:highlight w:val="none"/>
        </w:rPr>
        <w:t>4、乙方应保证甲方在使用成果时，不承担任何涉及知识产权法律诉讼的责任，因乙方提交的成果资料存在侵犯第三方，包括知识产权在内的合法权益时，由此产生的法律责任均由乙方自行承担；由此给甲方造成损失的，（包括但不限于直接损失、间接损失、律师费、诉讼费、保全费等），乙方还应当及时、足额的赔偿。</w:t>
      </w:r>
    </w:p>
    <w:p w14:paraId="6AF08711">
      <w:pPr>
        <w:tabs>
          <w:tab w:val="left" w:pos="540"/>
          <w:tab w:val="left" w:pos="720"/>
        </w:tabs>
        <w:spacing w:line="360" w:lineRule="auto"/>
        <w:ind w:right="25" w:firstLine="538"/>
        <w:rPr>
          <w:rFonts w:ascii="宋体" w:hAnsi="宋体" w:cs="宋体"/>
          <w:color w:val="auto"/>
          <w:sz w:val="24"/>
          <w:highlight w:val="none"/>
        </w:rPr>
      </w:pPr>
      <w:r>
        <w:rPr>
          <w:rFonts w:hint="eastAsia" w:ascii="宋体" w:hAnsi="宋体" w:cs="宋体"/>
          <w:color w:val="auto"/>
          <w:sz w:val="24"/>
          <w:highlight w:val="none"/>
        </w:rPr>
        <w:t>5、乙方应严格遵守《中华人民共和国保守国家秘密法》、《中华人民共和国测绘法》、《中华人民共和国保守国家秘密法实施条例》、《中华人民共和国测绘成果管理条例》、《计算机信息系统保密管理暂行规定》、《国家秘密载体保密管理的规定》、《基础测绘成果提供使用管理暂行办法》等相关法律法规及管理文件的要求，对因承担项目工作需要所掌握的国家秘密事项负有保密责任，确保所承担项目涉及到的国家秘密的安全。本保密承诺条款为独立条款，不因本合同的终止、解除等情形无效。</w:t>
      </w:r>
    </w:p>
    <w:p w14:paraId="560CE6A1">
      <w:pPr>
        <w:tabs>
          <w:tab w:val="left" w:pos="540"/>
          <w:tab w:val="left" w:pos="720"/>
        </w:tabs>
        <w:spacing w:line="360" w:lineRule="auto"/>
        <w:ind w:right="25" w:firstLine="538"/>
        <w:rPr>
          <w:rFonts w:ascii="宋体" w:hAnsi="宋体" w:cs="宋体"/>
          <w:color w:val="auto"/>
          <w:sz w:val="24"/>
          <w:highlight w:val="none"/>
        </w:rPr>
      </w:pPr>
      <w:r>
        <w:rPr>
          <w:rFonts w:hint="eastAsia" w:ascii="宋体" w:hAnsi="宋体" w:cs="宋体"/>
          <w:color w:val="auto"/>
          <w:sz w:val="24"/>
          <w:highlight w:val="none"/>
        </w:rPr>
        <w:t>乙方保证保密信息仅披露给必要知悉的实体或人员。乙方应该用对待自身保密信息同等的小心和谨慎，对所获保密信息进行保密，避免披露、公布或分发给第三方，或不正当使用所获保密信息。且乙方不得以竞争为目的、或出于私利、或为第三方谋利、或为其他目的，擅自披露、使用保密信息、制造再现保密信息的器材、取走与保密信息有关的物件等;不得直接或间接地向单位内部、外部的无关人员泄露；不得向任何第三方披露所获保密信息。</w:t>
      </w:r>
    </w:p>
    <w:p w14:paraId="3830EF8B">
      <w:pPr>
        <w:tabs>
          <w:tab w:val="left" w:pos="540"/>
          <w:tab w:val="left" w:pos="720"/>
        </w:tabs>
        <w:spacing w:line="360" w:lineRule="auto"/>
        <w:ind w:right="25" w:firstLine="538"/>
        <w:rPr>
          <w:rFonts w:ascii="宋体" w:hAnsi="宋体" w:cs="宋体"/>
          <w:color w:val="auto"/>
          <w:sz w:val="24"/>
          <w:highlight w:val="none"/>
        </w:rPr>
      </w:pPr>
      <w:r>
        <w:rPr>
          <w:rFonts w:hint="eastAsia" w:ascii="宋体" w:hAnsi="宋体" w:cs="宋体"/>
          <w:color w:val="auto"/>
          <w:sz w:val="24"/>
          <w:highlight w:val="none"/>
        </w:rPr>
        <w:t>6、技术资料存放设施与条件应符合国家保密、消防及档案管理等有关规定和要求，并建立完善的资料保密内部管理制度；经批准复制的秘密载体要进行编号与登记，按同等密级进行管理；涉密计算机系统应按相关规定办理批准使用手续，严防失泄密事件的发生。</w:t>
      </w:r>
    </w:p>
    <w:p w14:paraId="557E37DA">
      <w:pPr>
        <w:tabs>
          <w:tab w:val="left" w:pos="540"/>
          <w:tab w:val="left" w:pos="720"/>
        </w:tabs>
        <w:spacing w:line="360" w:lineRule="auto"/>
        <w:ind w:right="25" w:firstLine="538"/>
        <w:rPr>
          <w:rFonts w:ascii="宋体" w:hAnsi="宋体" w:cs="宋体"/>
          <w:color w:val="auto"/>
          <w:sz w:val="24"/>
          <w:highlight w:val="none"/>
        </w:rPr>
      </w:pPr>
      <w:bookmarkStart w:id="1" w:name="_GoBack"/>
      <w:bookmarkEnd w:id="1"/>
      <w:r>
        <w:rPr>
          <w:rFonts w:hint="eastAsia" w:ascii="宋体" w:hAnsi="宋体" w:cs="宋体"/>
          <w:color w:val="auto"/>
          <w:sz w:val="24"/>
          <w:highlight w:val="none"/>
        </w:rPr>
        <w:t>7、乙方应当保证从事测绘及监测外业工作相关人员的人身安全，若因违规操作给自身及他人造成人身财产损害的，均由乙方自行承担相关责任，与甲方无关。由此给甲方造成损失的，乙方应向甲方承担全部损失赔偿责任。在新冠病毒等重大疫情防控期间，乙方需要制定疫情期间工作的防范措施，并明确相应责任。若在项目执行中发生疫情情况，乙方全权负责处理，与甲方无关。</w:t>
      </w:r>
    </w:p>
    <w:p w14:paraId="31EED80D">
      <w:pPr>
        <w:tabs>
          <w:tab w:val="left" w:pos="180"/>
          <w:tab w:val="left" w:pos="540"/>
          <w:tab w:val="left" w:pos="720"/>
        </w:tabs>
        <w:spacing w:before="156" w:beforeLines="50" w:after="156" w:afterLines="50"/>
        <w:ind w:left="181" w:right="23" w:firstLine="351"/>
        <w:outlineLvl w:val="0"/>
        <w:rPr>
          <w:rFonts w:ascii="宋体" w:hAnsi="宋体" w:cs="宋体"/>
          <w:b/>
          <w:bCs/>
          <w:color w:val="auto"/>
          <w:sz w:val="24"/>
          <w:highlight w:val="none"/>
        </w:rPr>
      </w:pPr>
      <w:r>
        <w:rPr>
          <w:rFonts w:hint="eastAsia" w:ascii="宋体" w:hAnsi="宋体" w:cs="宋体"/>
          <w:b/>
          <w:color w:val="auto"/>
          <w:sz w:val="24"/>
          <w:highlight w:val="none"/>
        </w:rPr>
        <w:t xml:space="preserve">第七条 </w:t>
      </w:r>
      <w:r>
        <w:rPr>
          <w:rFonts w:hint="eastAsia" w:ascii="宋体" w:hAnsi="宋体" w:cs="宋体"/>
          <w:b/>
          <w:bCs/>
          <w:color w:val="auto"/>
          <w:sz w:val="24"/>
          <w:highlight w:val="none"/>
        </w:rPr>
        <w:t>服务期限及项目完成工期</w:t>
      </w:r>
    </w:p>
    <w:p w14:paraId="4E165A16">
      <w:pPr>
        <w:tabs>
          <w:tab w:val="left" w:pos="540"/>
          <w:tab w:val="left" w:pos="720"/>
        </w:tabs>
        <w:spacing w:line="360" w:lineRule="auto"/>
        <w:ind w:right="25" w:firstLine="538"/>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rPr>
        <w:t>1、服务期限：</w:t>
      </w:r>
      <w:r>
        <w:rPr>
          <w:rFonts w:hint="eastAsia" w:ascii="宋体" w:hAnsi="宋体" w:cs="宋体"/>
          <w:color w:val="auto"/>
          <w:sz w:val="24"/>
          <w:highlight w:val="none"/>
          <w:lang w:val="en-US" w:eastAsia="zh-CN"/>
        </w:rPr>
        <w:t>1年。</w:t>
      </w:r>
      <w:r>
        <w:rPr>
          <w:rFonts w:hint="eastAsia" w:ascii="宋体" w:hAnsi="宋体" w:eastAsia="宋体" w:cs="宋体"/>
          <w:color w:val="auto"/>
          <w:sz w:val="24"/>
          <w:highlight w:val="none"/>
          <w:lang w:val="en-US" w:eastAsia="zh-CN"/>
        </w:rPr>
        <w:t>具体以合同签订日期为准。</w:t>
      </w:r>
    </w:p>
    <w:p w14:paraId="5EFBC7D3">
      <w:pPr>
        <w:tabs>
          <w:tab w:val="left" w:pos="540"/>
          <w:tab w:val="left" w:pos="720"/>
        </w:tabs>
        <w:spacing w:line="360" w:lineRule="auto"/>
        <w:ind w:right="25" w:firstLine="538"/>
        <w:rPr>
          <w:rFonts w:ascii="宋体" w:hAnsi="宋体" w:cs="宋体"/>
          <w:color w:val="auto"/>
          <w:sz w:val="24"/>
          <w:highlight w:val="yellow"/>
        </w:rPr>
      </w:pPr>
      <w:r>
        <w:rPr>
          <w:rFonts w:hint="eastAsia" w:ascii="宋体" w:hAnsi="宋体" w:cs="宋体"/>
          <w:color w:val="auto"/>
          <w:sz w:val="24"/>
          <w:highlight w:val="yellow"/>
        </w:rPr>
        <w:t>2、项目完成工期：</w:t>
      </w:r>
      <w:r>
        <w:rPr>
          <w:rFonts w:hint="eastAsia" w:ascii="宋体" w:hAnsi="宋体" w:cs="宋体"/>
          <w:color w:val="auto"/>
          <w:sz w:val="24"/>
          <w:highlight w:val="yellow"/>
          <w:lang w:val="en-US" w:eastAsia="zh-CN"/>
        </w:rPr>
        <w:t>2025</w:t>
      </w:r>
      <w:r>
        <w:rPr>
          <w:rFonts w:hint="eastAsia" w:ascii="宋体" w:hAnsi="宋体" w:cs="宋体"/>
          <w:color w:val="auto"/>
          <w:sz w:val="24"/>
          <w:highlight w:val="yellow"/>
        </w:rPr>
        <w:t>年</w:t>
      </w:r>
      <w:r>
        <w:rPr>
          <w:rFonts w:hint="eastAsia" w:ascii="宋体" w:hAnsi="宋体" w:cs="宋体"/>
          <w:color w:val="auto"/>
          <w:sz w:val="24"/>
          <w:highlight w:val="yellow"/>
          <w:lang w:val="en-US" w:eastAsia="zh-CN"/>
        </w:rPr>
        <w:t>12</w:t>
      </w:r>
      <w:r>
        <w:rPr>
          <w:rFonts w:hint="eastAsia" w:ascii="宋体" w:hAnsi="宋体" w:cs="宋体"/>
          <w:color w:val="auto"/>
          <w:sz w:val="24"/>
          <w:highlight w:val="yellow"/>
        </w:rPr>
        <w:t>月</w:t>
      </w:r>
      <w:r>
        <w:rPr>
          <w:rFonts w:hint="eastAsia" w:ascii="宋体" w:hAnsi="宋体" w:cs="宋体"/>
          <w:color w:val="auto"/>
          <w:sz w:val="24"/>
          <w:highlight w:val="yellow"/>
          <w:lang w:val="en-US" w:eastAsia="zh-CN"/>
        </w:rPr>
        <w:t>15</w:t>
      </w:r>
      <w:r>
        <w:rPr>
          <w:rFonts w:hint="eastAsia" w:ascii="宋体" w:hAnsi="宋体" w:cs="宋体"/>
          <w:color w:val="auto"/>
          <w:sz w:val="24"/>
          <w:highlight w:val="yellow"/>
        </w:rPr>
        <w:t>日前，完成全部外业工作，</w:t>
      </w:r>
      <w:r>
        <w:rPr>
          <w:rFonts w:hint="eastAsia" w:ascii="宋体" w:hAnsi="宋体" w:cs="宋体"/>
          <w:color w:val="auto"/>
          <w:sz w:val="24"/>
          <w:highlight w:val="yellow"/>
          <w:lang w:val="en-US" w:eastAsia="zh-CN"/>
        </w:rPr>
        <w:t>2026</w:t>
      </w:r>
      <w:r>
        <w:rPr>
          <w:rFonts w:hint="eastAsia" w:ascii="宋体" w:hAnsi="宋体" w:cs="宋体"/>
          <w:color w:val="auto"/>
          <w:sz w:val="24"/>
          <w:highlight w:val="yellow"/>
        </w:rPr>
        <w:t>年</w:t>
      </w:r>
      <w:r>
        <w:rPr>
          <w:rFonts w:hint="eastAsia" w:ascii="宋体" w:hAnsi="宋体" w:cs="宋体"/>
          <w:color w:val="auto"/>
          <w:sz w:val="24"/>
          <w:highlight w:val="yellow"/>
          <w:lang w:val="en-US" w:eastAsia="zh-CN"/>
        </w:rPr>
        <w:t>3</w:t>
      </w:r>
      <w:r>
        <w:rPr>
          <w:rFonts w:hint="eastAsia" w:ascii="宋体" w:hAnsi="宋体" w:cs="宋体"/>
          <w:color w:val="auto"/>
          <w:sz w:val="24"/>
          <w:highlight w:val="yellow"/>
        </w:rPr>
        <w:t>月</w:t>
      </w:r>
      <w:r>
        <w:rPr>
          <w:rFonts w:hint="eastAsia" w:ascii="宋体" w:hAnsi="宋体" w:cs="宋体"/>
          <w:color w:val="auto"/>
          <w:sz w:val="24"/>
          <w:highlight w:val="yellow"/>
          <w:lang w:val="en-US" w:eastAsia="zh-CN"/>
        </w:rPr>
        <w:t>31</w:t>
      </w:r>
      <w:r>
        <w:rPr>
          <w:rFonts w:hint="eastAsia" w:ascii="宋体" w:hAnsi="宋体" w:cs="宋体"/>
          <w:color w:val="auto"/>
          <w:sz w:val="24"/>
          <w:highlight w:val="yellow"/>
        </w:rPr>
        <w:t>日前完成内业资料整理，报告编写并提交甲方。</w:t>
      </w:r>
    </w:p>
    <w:p w14:paraId="46AC34A0">
      <w:pPr>
        <w:tabs>
          <w:tab w:val="left" w:pos="540"/>
          <w:tab w:val="left" w:pos="720"/>
        </w:tabs>
        <w:spacing w:before="156" w:beforeLines="50" w:after="156" w:afterLines="50"/>
        <w:ind w:right="23" w:firstLine="539"/>
        <w:rPr>
          <w:rFonts w:ascii="宋体" w:hAnsi="宋体" w:cs="宋体"/>
          <w:b/>
          <w:bCs/>
          <w:color w:val="auto"/>
          <w:sz w:val="24"/>
          <w:highlight w:val="none"/>
        </w:rPr>
      </w:pPr>
      <w:r>
        <w:rPr>
          <w:rFonts w:hint="eastAsia" w:ascii="宋体" w:hAnsi="宋体" w:cs="宋体"/>
          <w:b/>
          <w:color w:val="auto"/>
          <w:sz w:val="24"/>
          <w:highlight w:val="none"/>
        </w:rPr>
        <w:t xml:space="preserve">第八条： </w:t>
      </w:r>
      <w:r>
        <w:rPr>
          <w:rFonts w:hint="eastAsia" w:ascii="宋体" w:hAnsi="宋体" w:cs="宋体"/>
          <w:b/>
          <w:bCs/>
          <w:color w:val="auto"/>
          <w:sz w:val="24"/>
          <w:highlight w:val="none"/>
        </w:rPr>
        <w:t>工程费支付日期和方式</w:t>
      </w:r>
    </w:p>
    <w:p w14:paraId="668F0ECE">
      <w:pPr>
        <w:numPr>
          <w:ilvl w:val="0"/>
          <w:numId w:val="2"/>
        </w:numPr>
        <w:spacing w:line="500" w:lineRule="exact"/>
        <w:ind w:left="0" w:firstLine="480" w:firstLineChars="200"/>
        <w:rPr>
          <w:rFonts w:ascii="宋体" w:hAnsi="宋体" w:cs="宋体"/>
          <w:color w:val="auto"/>
          <w:sz w:val="24"/>
          <w:highlight w:val="none"/>
        </w:rPr>
      </w:pPr>
      <w:r>
        <w:rPr>
          <w:rFonts w:hint="eastAsia" w:ascii="宋体" w:hAnsi="宋体" w:cs="宋体"/>
          <w:color w:val="auto"/>
          <w:sz w:val="24"/>
          <w:highlight w:val="none"/>
        </w:rPr>
        <w:t>分</w:t>
      </w:r>
      <w:r>
        <w:rPr>
          <w:rFonts w:hint="eastAsia" w:ascii="宋体" w:hAnsi="宋体" w:cs="宋体"/>
          <w:color w:val="auto"/>
          <w:sz w:val="24"/>
          <w:highlight w:val="none"/>
          <w:lang w:eastAsia="zh-CN"/>
        </w:rPr>
        <w:t>三</w:t>
      </w:r>
      <w:r>
        <w:rPr>
          <w:rFonts w:hint="eastAsia" w:ascii="宋体" w:hAnsi="宋体" w:cs="宋体"/>
          <w:color w:val="auto"/>
          <w:sz w:val="24"/>
          <w:highlight w:val="none"/>
        </w:rPr>
        <w:t>次支付。第一次：合同签订后30日内支付合同总金额</w:t>
      </w:r>
      <w:r>
        <w:t>40%</w:t>
      </w:r>
      <w:r>
        <w:rPr>
          <w:rFonts w:hint="eastAsia" w:ascii="宋体" w:hAnsi="宋体" w:cs="宋体"/>
          <w:color w:val="auto"/>
          <w:sz w:val="24"/>
          <w:highlight w:val="none"/>
        </w:rPr>
        <w:t>，即人民币</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元（￥：</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元）；</w:t>
      </w:r>
    </w:p>
    <w:p w14:paraId="4DF218CE">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第二次：</w:t>
      </w:r>
      <w:r>
        <w:t>为完成外业工作并进行数据资料质检合格后支付合同总金额</w:t>
      </w:r>
      <w:r>
        <w:rPr>
          <w:rFonts w:hint="eastAsia" w:ascii="宋体" w:hAnsi="宋体" w:cs="宋体"/>
          <w:color w:val="auto"/>
          <w:sz w:val="24"/>
          <w:highlight w:val="none"/>
          <w:lang w:val="en-US" w:eastAsia="zh-CN"/>
        </w:rPr>
        <w:t>3</w:t>
      </w:r>
      <w:r>
        <w:rPr>
          <w:rFonts w:hint="eastAsia" w:ascii="宋体" w:hAnsi="宋体" w:eastAsia="宋体" w:cs="宋体"/>
          <w:color w:val="auto"/>
          <w:sz w:val="24"/>
          <w:highlight w:val="none"/>
          <w:lang w:val="en-US" w:eastAsia="zh-CN"/>
        </w:rPr>
        <w:t>0%，即</w:t>
      </w:r>
      <w:r>
        <w:rPr>
          <w:rFonts w:hint="eastAsia" w:ascii="宋体" w:hAnsi="宋体" w:cs="宋体"/>
          <w:color w:val="auto"/>
          <w:sz w:val="24"/>
          <w:highlight w:val="none"/>
        </w:rPr>
        <w:t>人民币</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元（￥：</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元）。</w:t>
      </w:r>
    </w:p>
    <w:p w14:paraId="7BCFADEF">
      <w:pPr>
        <w:spacing w:line="500" w:lineRule="exact"/>
        <w:ind w:firstLine="420" w:firstLineChars="200"/>
        <w:rPr>
          <w:rFonts w:hint="eastAsia" w:eastAsia="宋体"/>
          <w:lang w:val="en-US" w:eastAsia="zh-CN"/>
        </w:rPr>
      </w:pPr>
      <w:r>
        <w:rPr>
          <w:rFonts w:hint="eastAsia"/>
          <w:lang w:val="en-US" w:eastAsia="zh-CN"/>
        </w:rPr>
        <w:t>第三次：为完成全部工作并提交审核合格的报告后支付合同总金额30%。</w:t>
      </w:r>
      <w:r>
        <w:rPr>
          <w:rFonts w:hint="eastAsia" w:ascii="宋体" w:hAnsi="宋体" w:eastAsia="宋体" w:cs="宋体"/>
          <w:color w:val="auto"/>
          <w:sz w:val="24"/>
          <w:highlight w:val="none"/>
          <w:lang w:val="en-US" w:eastAsia="zh-CN"/>
        </w:rPr>
        <w:t>即</w:t>
      </w:r>
      <w:r>
        <w:rPr>
          <w:rFonts w:hint="eastAsia" w:ascii="宋体" w:hAnsi="宋体" w:cs="宋体"/>
          <w:color w:val="auto"/>
          <w:sz w:val="24"/>
          <w:highlight w:val="none"/>
        </w:rPr>
        <w:t>人民币</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元（￥：</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元）。</w:t>
      </w:r>
    </w:p>
    <w:p w14:paraId="2D222EA3">
      <w:pPr>
        <w:spacing w:line="50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说明：由于本项目为政府采购项目，项目资金需根据政府统一安排，由此本合同内所定的各次付款时间应根据财政局拨付资金的时间相应顺延或调整。</w:t>
      </w:r>
    </w:p>
    <w:p w14:paraId="0C04AFFE">
      <w:pPr>
        <w:adjustRightInd w:val="0"/>
        <w:snapToGrid w:val="0"/>
        <w:spacing w:line="500" w:lineRule="exact"/>
        <w:ind w:firstLine="720" w:firstLineChars="300"/>
        <w:jc w:val="left"/>
        <w:rPr>
          <w:rFonts w:ascii="宋体" w:hAnsi="宋体" w:cs="宋体"/>
          <w:color w:val="auto"/>
          <w:sz w:val="24"/>
          <w:highlight w:val="none"/>
        </w:rPr>
      </w:pPr>
      <w:r>
        <w:rPr>
          <w:rFonts w:hint="eastAsia" w:ascii="宋体" w:hAnsi="宋体" w:cs="宋体"/>
          <w:color w:val="auto"/>
          <w:sz w:val="24"/>
          <w:highlight w:val="none"/>
        </w:rPr>
        <w:t>2、支付方式：银行转账。在付款前，乙方必须开具符合甲方要求的合法等额的增值税普通发票。乙方不提供或逾期提供的，甲方有权顺延付款且不承担因此导致的逾期付款违约责任。</w:t>
      </w:r>
    </w:p>
    <w:p w14:paraId="17BAF86A">
      <w:pPr>
        <w:adjustRightInd w:val="0"/>
        <w:snapToGrid w:val="0"/>
        <w:spacing w:line="500" w:lineRule="exact"/>
        <w:ind w:firstLine="480" w:firstLineChars="200"/>
        <w:jc w:val="left"/>
        <w:rPr>
          <w:rFonts w:ascii="宋体" w:hAnsi="宋体" w:cs="宋体"/>
          <w:color w:val="auto"/>
          <w:sz w:val="24"/>
          <w:highlight w:val="none"/>
        </w:rPr>
      </w:pPr>
      <w:r>
        <w:rPr>
          <w:rFonts w:hint="eastAsia" w:ascii="宋体" w:hAnsi="宋体" w:cs="宋体"/>
          <w:color w:val="auto"/>
          <w:sz w:val="24"/>
          <w:highlight w:val="none"/>
        </w:rPr>
        <w:t>乙方保证提供的账户信息真实准确、合法有效。乙方变更账户信息的，应当至少提前十个工作日书面通知甲方，因乙方原因造成甲方付款延迟或不能支付的，甲方不承担任何违约责任。</w:t>
      </w:r>
    </w:p>
    <w:p w14:paraId="0DBE3C97">
      <w:pPr>
        <w:adjustRightInd w:val="0"/>
        <w:snapToGrid w:val="0"/>
        <w:spacing w:line="500" w:lineRule="exact"/>
        <w:ind w:firstLine="480" w:firstLineChars="200"/>
        <w:jc w:val="left"/>
        <w:rPr>
          <w:rFonts w:ascii="宋体" w:hAnsi="宋体" w:cs="宋体"/>
          <w:color w:val="auto"/>
          <w:sz w:val="24"/>
          <w:highlight w:val="none"/>
        </w:rPr>
      </w:pPr>
      <w:r>
        <w:rPr>
          <w:rFonts w:hint="eastAsia" w:ascii="宋体" w:hAnsi="宋体" w:cs="宋体"/>
          <w:color w:val="auto"/>
          <w:sz w:val="24"/>
          <w:highlight w:val="none"/>
        </w:rPr>
        <w:t>乙方开具的正规发票在送达甲方前如发生丢失、灭失或被盗等情况，导致相应票据未顺利送达甲方的，乙方应负责按相关税收法律法规的规定重新开具，否则，甲方有权拒绝支付合同款。合同价款已包含履行本合同所需的各项税费，因履行本合同所产生的一切而税费均由乙方负担。</w:t>
      </w:r>
    </w:p>
    <w:p w14:paraId="4F65F603">
      <w:pPr>
        <w:tabs>
          <w:tab w:val="left" w:pos="540"/>
          <w:tab w:val="left" w:pos="720"/>
        </w:tabs>
        <w:spacing w:before="312" w:beforeLines="100" w:after="312" w:afterLines="100"/>
        <w:ind w:right="23" w:firstLine="556"/>
        <w:rPr>
          <w:rFonts w:ascii="宋体" w:hAnsi="宋体" w:cs="宋体"/>
          <w:color w:val="auto"/>
          <w:sz w:val="24"/>
          <w:highlight w:val="none"/>
        </w:rPr>
      </w:pPr>
      <w:r>
        <w:rPr>
          <w:rFonts w:hint="eastAsia" w:ascii="宋体" w:hAnsi="宋体" w:cs="宋体"/>
          <w:b/>
          <w:color w:val="auto"/>
          <w:sz w:val="24"/>
          <w:highlight w:val="none"/>
        </w:rPr>
        <w:t>第九条：乙方向甲方交付成果如下：</w:t>
      </w:r>
    </w:p>
    <w:p w14:paraId="031AA0A9">
      <w:pPr>
        <w:spacing w:line="360" w:lineRule="auto"/>
        <w:ind w:firstLine="360" w:firstLineChars="150"/>
        <w:rPr>
          <w:rFonts w:ascii="宋体" w:hAnsi="宋体" w:cs="宋体"/>
          <w:color w:val="auto"/>
          <w:sz w:val="24"/>
          <w:highlight w:val="none"/>
        </w:rPr>
      </w:pPr>
      <w:r>
        <w:rPr>
          <w:rFonts w:hint="eastAsia" w:ascii="宋体" w:hAnsi="宋体" w:cs="宋体"/>
          <w:color w:val="auto"/>
          <w:sz w:val="24"/>
          <w:highlight w:val="none"/>
        </w:rPr>
        <w:t>《西安地区地面沉降地裂缝及地下水监测报告》文本及相应的附图、附表纸质版10套，电子光盘3套。</w:t>
      </w:r>
    </w:p>
    <w:p w14:paraId="5A439F20">
      <w:pPr>
        <w:tabs>
          <w:tab w:val="left" w:pos="540"/>
          <w:tab w:val="left" w:pos="720"/>
        </w:tabs>
        <w:spacing w:before="312" w:beforeLines="100" w:after="312" w:afterLines="100"/>
        <w:ind w:right="23" w:firstLine="527"/>
        <w:rPr>
          <w:rFonts w:ascii="宋体" w:hAnsi="宋体" w:cs="宋体"/>
          <w:b/>
          <w:bCs/>
          <w:color w:val="auto"/>
          <w:sz w:val="24"/>
          <w:highlight w:val="none"/>
        </w:rPr>
      </w:pPr>
      <w:r>
        <w:rPr>
          <w:rFonts w:hint="eastAsia" w:ascii="宋体" w:hAnsi="宋体" w:cs="宋体"/>
          <w:b/>
          <w:color w:val="auto"/>
          <w:sz w:val="24"/>
          <w:highlight w:val="none"/>
        </w:rPr>
        <w:t>第十条 甲方违约责任</w:t>
      </w:r>
      <w:r>
        <w:rPr>
          <w:rFonts w:hint="eastAsia" w:ascii="宋体" w:hAnsi="宋体" w:cs="宋体"/>
          <w:color w:val="auto"/>
          <w:sz w:val="24"/>
          <w:highlight w:val="none"/>
        </w:rPr>
        <w:t xml:space="preserve"> </w:t>
      </w:r>
    </w:p>
    <w:p w14:paraId="11C919C8">
      <w:pPr>
        <w:spacing w:line="360" w:lineRule="auto"/>
        <w:ind w:firstLine="600" w:firstLineChars="250"/>
        <w:rPr>
          <w:rFonts w:ascii="宋体" w:hAnsi="宋体" w:cs="宋体"/>
          <w:color w:val="auto"/>
          <w:sz w:val="24"/>
          <w:highlight w:val="none"/>
        </w:rPr>
      </w:pPr>
      <w:r>
        <w:rPr>
          <w:rFonts w:hint="eastAsia" w:ascii="宋体" w:hAnsi="宋体" w:cs="宋体"/>
          <w:color w:val="auto"/>
          <w:sz w:val="24"/>
          <w:highlight w:val="none"/>
        </w:rPr>
        <w:t>对于乙方提供的成果，甲方有义务严格按国家相关法律法规管理和使用，否则由此造成的法律后果由甲方承担。</w:t>
      </w:r>
    </w:p>
    <w:p w14:paraId="29357738">
      <w:pPr>
        <w:tabs>
          <w:tab w:val="left" w:pos="540"/>
          <w:tab w:val="left" w:pos="720"/>
        </w:tabs>
        <w:spacing w:before="312" w:beforeLines="100" w:after="312" w:afterLines="100"/>
        <w:ind w:right="23" w:firstLine="527"/>
        <w:rPr>
          <w:rFonts w:ascii="宋体" w:hAnsi="宋体" w:cs="宋体"/>
          <w:b/>
          <w:bCs/>
          <w:color w:val="auto"/>
          <w:sz w:val="24"/>
          <w:highlight w:val="none"/>
        </w:rPr>
      </w:pPr>
      <w:r>
        <w:rPr>
          <w:rFonts w:hint="eastAsia" w:ascii="宋体" w:hAnsi="宋体" w:cs="宋体"/>
          <w:b/>
          <w:color w:val="auto"/>
          <w:sz w:val="24"/>
          <w:highlight w:val="none"/>
        </w:rPr>
        <w:t xml:space="preserve">第十一条 </w:t>
      </w:r>
      <w:r>
        <w:rPr>
          <w:rFonts w:hint="eastAsia" w:ascii="宋体" w:hAnsi="宋体" w:cs="宋体"/>
          <w:b/>
          <w:bCs/>
          <w:color w:val="auto"/>
          <w:sz w:val="24"/>
          <w:highlight w:val="none"/>
        </w:rPr>
        <w:t>乙方违约责任</w:t>
      </w:r>
    </w:p>
    <w:p w14:paraId="22C39303">
      <w:pPr>
        <w:tabs>
          <w:tab w:val="left" w:pos="540"/>
          <w:tab w:val="left" w:pos="720"/>
        </w:tabs>
        <w:spacing w:line="408" w:lineRule="auto"/>
        <w:ind w:right="25" w:firstLine="538"/>
        <w:jc w:val="left"/>
        <w:rPr>
          <w:rFonts w:ascii="宋体" w:hAnsi="宋体" w:cs="宋体"/>
          <w:color w:val="auto"/>
          <w:sz w:val="24"/>
          <w:highlight w:val="none"/>
        </w:rPr>
      </w:pPr>
      <w:r>
        <w:rPr>
          <w:rFonts w:hint="eastAsia" w:ascii="宋体" w:hAnsi="宋体" w:cs="宋体"/>
          <w:color w:val="auto"/>
          <w:sz w:val="24"/>
          <w:highlight w:val="none"/>
        </w:rPr>
        <w:t>1、乙方提供的成果质量不符合甲方要求或不合格，或因乙方其他原因导致验收无法通过的，乙方应负责在甲方规定的期限内无偿给予重测或采取补救措施，直到达到甲方要求及质量要求。若乙方拒绝整改或者无偿给予重测或采取补救措施后，仍不能达到甲方及质量要求的，甲方有权单方面解除本合同。甲方解除合同的，乙方除返还已收取的价款外，还应向甲方支付本合同总金额20%的违约金，并及时赔偿由此给甲方造成的全部损失，包括但不限于直接损失、间接损失、律师费、诉讼费、保全费等。</w:t>
      </w:r>
    </w:p>
    <w:p w14:paraId="7061B16C">
      <w:pPr>
        <w:tabs>
          <w:tab w:val="left" w:pos="540"/>
          <w:tab w:val="left" w:pos="720"/>
        </w:tabs>
        <w:spacing w:line="408" w:lineRule="auto"/>
        <w:ind w:right="25" w:firstLine="538"/>
        <w:jc w:val="left"/>
        <w:rPr>
          <w:rFonts w:ascii="宋体" w:hAnsi="宋体" w:cs="宋体"/>
          <w:color w:val="auto"/>
          <w:sz w:val="24"/>
          <w:highlight w:val="none"/>
        </w:rPr>
      </w:pPr>
      <w:r>
        <w:rPr>
          <w:rFonts w:hint="eastAsia" w:ascii="宋体" w:hAnsi="宋体" w:cs="宋体"/>
          <w:color w:val="auto"/>
          <w:sz w:val="24"/>
          <w:highlight w:val="none"/>
        </w:rPr>
        <w:t>2、乙方逾期交付本合同约定的成果资料的，每逾期一天，乙方向甲方支付合同总金额万分之五的违约金，逾期超过七日的，甲方有权解除本合同。甲方解除本合同的，乙方除退还甲方已支付的全部款项和向甲方支付本合同总金额20%的违约金外，还应及时赔偿因此给甲方造成的所有损失。</w:t>
      </w:r>
    </w:p>
    <w:p w14:paraId="379154C4">
      <w:pPr>
        <w:tabs>
          <w:tab w:val="left" w:pos="540"/>
          <w:tab w:val="left" w:pos="720"/>
        </w:tabs>
        <w:spacing w:line="408" w:lineRule="auto"/>
        <w:ind w:right="25" w:firstLine="538"/>
        <w:jc w:val="left"/>
        <w:rPr>
          <w:rFonts w:ascii="宋体" w:hAnsi="宋体" w:cs="宋体"/>
          <w:color w:val="auto"/>
          <w:sz w:val="24"/>
          <w:highlight w:val="none"/>
        </w:rPr>
      </w:pPr>
      <w:r>
        <w:rPr>
          <w:rFonts w:hint="eastAsia" w:ascii="宋体" w:hAnsi="宋体" w:cs="宋体"/>
          <w:color w:val="auto"/>
          <w:sz w:val="24"/>
          <w:highlight w:val="none"/>
        </w:rPr>
        <w:t>3、乙方未经甲方书面同意擅自对服务项目进行分包的,甲方有权单方解除合同，甲方解除合同的，乙方应退还甲方已支付的全部款项，和向甲方支付本合同总金额20%的违约金，还应及时赔偿由此给甲方造成的全部损失。</w:t>
      </w:r>
    </w:p>
    <w:p w14:paraId="4857EDA1">
      <w:pPr>
        <w:tabs>
          <w:tab w:val="left" w:pos="540"/>
          <w:tab w:val="left" w:pos="720"/>
        </w:tabs>
        <w:spacing w:line="408" w:lineRule="auto"/>
        <w:ind w:right="25" w:firstLine="538"/>
        <w:jc w:val="left"/>
        <w:rPr>
          <w:rFonts w:ascii="宋体" w:hAnsi="宋体" w:cs="宋体"/>
          <w:color w:val="auto"/>
          <w:sz w:val="24"/>
          <w:highlight w:val="none"/>
        </w:rPr>
      </w:pPr>
      <w:r>
        <w:rPr>
          <w:rFonts w:hint="eastAsia" w:ascii="宋体" w:hAnsi="宋体" w:cs="宋体"/>
          <w:color w:val="auto"/>
          <w:sz w:val="24"/>
          <w:highlight w:val="none"/>
        </w:rPr>
        <w:t>4、本合同项下，若乙方违约，给甲方造成的损失，范围包括给甲方造成的实际损失、间接损失、可预期利益、因委托第三方而支付的费用，以及甲方因维权所产生的诉讼费、律师费、公证费、保全费、差旅费等全部相关费用。</w:t>
      </w:r>
    </w:p>
    <w:p w14:paraId="0A742E86">
      <w:pPr>
        <w:tabs>
          <w:tab w:val="left" w:pos="540"/>
          <w:tab w:val="left" w:pos="720"/>
        </w:tabs>
        <w:spacing w:line="408" w:lineRule="auto"/>
        <w:ind w:right="25" w:firstLine="538"/>
        <w:jc w:val="left"/>
        <w:rPr>
          <w:rFonts w:ascii="宋体" w:hAnsi="宋体" w:cs="宋体"/>
          <w:color w:val="auto"/>
          <w:sz w:val="24"/>
          <w:highlight w:val="none"/>
        </w:rPr>
      </w:pPr>
      <w:r>
        <w:rPr>
          <w:rFonts w:hint="eastAsia" w:ascii="宋体" w:hAnsi="宋体" w:cs="宋体"/>
          <w:b/>
          <w:color w:val="auto"/>
          <w:sz w:val="24"/>
          <w:highlight w:val="none"/>
        </w:rPr>
        <w:t xml:space="preserve">第十二条  </w:t>
      </w:r>
      <w:r>
        <w:rPr>
          <w:rFonts w:hint="eastAsia" w:ascii="宋体" w:hAnsi="宋体" w:cs="宋体"/>
          <w:color w:val="auto"/>
          <w:sz w:val="24"/>
          <w:highlight w:val="none"/>
        </w:rPr>
        <w:t>由于不可抗力，致使合同不能充分、及时、适当履行时，履行期限由双方按有关法律规定及时协商处理。</w:t>
      </w:r>
    </w:p>
    <w:p w14:paraId="12A58CFC">
      <w:pPr>
        <w:pStyle w:val="7"/>
        <w:tabs>
          <w:tab w:val="left" w:pos="540"/>
          <w:tab w:val="left" w:pos="720"/>
        </w:tabs>
        <w:spacing w:line="408" w:lineRule="auto"/>
        <w:ind w:firstLine="564" w:firstLineChars="234"/>
        <w:jc w:val="left"/>
        <w:rPr>
          <w:rFonts w:cs="宋体"/>
          <w:color w:val="auto"/>
          <w:sz w:val="24"/>
          <w:szCs w:val="24"/>
          <w:highlight w:val="none"/>
        </w:rPr>
      </w:pPr>
      <w:r>
        <w:rPr>
          <w:rFonts w:hint="eastAsia" w:cs="宋体"/>
          <w:b/>
          <w:bCs/>
          <w:color w:val="auto"/>
          <w:sz w:val="24"/>
          <w:szCs w:val="24"/>
          <w:highlight w:val="none"/>
        </w:rPr>
        <w:t>第十三条</w:t>
      </w:r>
      <w:r>
        <w:rPr>
          <w:rFonts w:hint="eastAsia" w:cs="宋体"/>
          <w:color w:val="auto"/>
          <w:sz w:val="24"/>
          <w:szCs w:val="24"/>
          <w:highlight w:val="none"/>
        </w:rPr>
        <w:t xml:space="preserve">  招标文件是合同的组成部分，具有约束性。本合同执行过程中的未尽事宜，双方应本着实事求是友好协商的态度加以解决。双方协商一致的，签订补充协议，补充协议与本合同具有同等效力。</w:t>
      </w:r>
    </w:p>
    <w:p w14:paraId="5959C0DB">
      <w:pPr>
        <w:tabs>
          <w:tab w:val="left" w:pos="540"/>
          <w:tab w:val="left" w:pos="720"/>
        </w:tabs>
        <w:spacing w:line="408" w:lineRule="auto"/>
        <w:ind w:right="25" w:firstLine="539"/>
        <w:jc w:val="left"/>
        <w:rPr>
          <w:rFonts w:ascii="宋体" w:hAnsi="宋体" w:cs="宋体"/>
          <w:color w:val="auto"/>
          <w:sz w:val="24"/>
          <w:highlight w:val="none"/>
        </w:rPr>
      </w:pPr>
      <w:r>
        <w:rPr>
          <w:rFonts w:hint="eastAsia" w:ascii="宋体" w:hAnsi="宋体" w:cs="宋体"/>
          <w:b/>
          <w:color w:val="auto"/>
          <w:sz w:val="24"/>
          <w:highlight w:val="none"/>
        </w:rPr>
        <w:t xml:space="preserve">第十四条  </w:t>
      </w:r>
      <w:r>
        <w:rPr>
          <w:rFonts w:hint="eastAsia" w:ascii="宋体" w:hAnsi="宋体" w:cs="宋体"/>
          <w:color w:val="auto"/>
          <w:sz w:val="24"/>
          <w:highlight w:val="none"/>
        </w:rPr>
        <w:t>因合同执行过程中双方发生纠纷，由双方协商解决，若达不成协议，双方同意就本合同产生的纠纷向甲方所在地人民法院起诉解决。</w:t>
      </w:r>
    </w:p>
    <w:p w14:paraId="4CB27AC9">
      <w:pPr>
        <w:pStyle w:val="2"/>
        <w:spacing w:line="408"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本条款为独立条款，本合同的无效、变更、解除和终止均不影响本条款的效力。</w:t>
      </w:r>
    </w:p>
    <w:p w14:paraId="5AD82686">
      <w:pPr>
        <w:tabs>
          <w:tab w:val="left" w:pos="540"/>
          <w:tab w:val="left" w:pos="720"/>
        </w:tabs>
        <w:spacing w:line="408" w:lineRule="auto"/>
        <w:ind w:right="25" w:firstLine="539"/>
        <w:jc w:val="left"/>
        <w:rPr>
          <w:rFonts w:ascii="宋体" w:hAnsi="宋体" w:cs="宋体"/>
          <w:color w:val="auto"/>
          <w:sz w:val="24"/>
          <w:highlight w:val="none"/>
        </w:rPr>
      </w:pPr>
      <w:r>
        <w:rPr>
          <w:rFonts w:hint="eastAsia" w:ascii="宋体" w:hAnsi="宋体" w:cs="宋体"/>
          <w:b/>
          <w:color w:val="auto"/>
          <w:sz w:val="24"/>
          <w:highlight w:val="none"/>
        </w:rPr>
        <w:t xml:space="preserve">第十五条  </w:t>
      </w:r>
      <w:r>
        <w:rPr>
          <w:rFonts w:hint="eastAsia" w:ascii="宋体" w:hAnsi="宋体" w:cs="宋体"/>
          <w:color w:val="auto"/>
          <w:sz w:val="24"/>
          <w:highlight w:val="none"/>
        </w:rPr>
        <w:t>附则</w:t>
      </w:r>
    </w:p>
    <w:p w14:paraId="1D818323">
      <w:pPr>
        <w:tabs>
          <w:tab w:val="left" w:pos="540"/>
          <w:tab w:val="left" w:pos="720"/>
        </w:tabs>
        <w:spacing w:line="408" w:lineRule="auto"/>
        <w:ind w:right="25" w:firstLine="538"/>
        <w:jc w:val="left"/>
        <w:rPr>
          <w:rFonts w:ascii="宋体" w:hAnsi="宋体" w:cs="宋体"/>
          <w:color w:val="auto"/>
          <w:sz w:val="24"/>
          <w:highlight w:val="none"/>
        </w:rPr>
      </w:pPr>
      <w:r>
        <w:rPr>
          <w:rFonts w:hint="eastAsia" w:ascii="宋体" w:hAnsi="宋体" w:cs="宋体"/>
          <w:color w:val="auto"/>
          <w:sz w:val="24"/>
          <w:highlight w:val="none"/>
        </w:rPr>
        <w:t>1 、本合同由双方法定代表人或委托代理人签字或盖章，并加盖双方单位公章或合同专用章后即生效。全部成果交接完毕和工程费结算完成后，本合同终止。</w:t>
      </w:r>
    </w:p>
    <w:p w14:paraId="02A8C3A5">
      <w:pPr>
        <w:tabs>
          <w:tab w:val="left" w:pos="540"/>
          <w:tab w:val="left" w:pos="720"/>
        </w:tabs>
        <w:spacing w:line="408" w:lineRule="auto"/>
        <w:ind w:right="25" w:firstLine="480" w:firstLineChars="200"/>
        <w:jc w:val="left"/>
        <w:rPr>
          <w:rFonts w:ascii="宋体" w:hAnsi="宋体" w:cs="宋体"/>
          <w:color w:val="auto"/>
          <w:sz w:val="24"/>
          <w:highlight w:val="none"/>
        </w:rPr>
      </w:pPr>
      <w:r>
        <w:rPr>
          <w:rFonts w:hint="eastAsia" w:ascii="宋体" w:hAnsi="宋体" w:cs="宋体"/>
          <w:color w:val="auto"/>
          <w:sz w:val="24"/>
          <w:highlight w:val="none"/>
        </w:rPr>
        <w:t>2、本合同一式拾份，具有同等法律效力，甲方执伍份，乙方执贰份，监管部门备案贰份、招标代理机构存档壹份。甲方、乙方双方确认本合同尾部写明的地址和方式作为本合同下通知事项以及所涉债务/义务的催收和诉讼（仲裁）文书（包括但不限于起诉状（或仲裁申请书）及证据、传票、应诉通知书、举证通知书、开庭通知书、判决书（裁决书）、裁定书、调解书、执行通知书、限期履行通知书等诉讼审理以及执行阶段法律司法文书）送达地址和送达方式。</w:t>
      </w:r>
    </w:p>
    <w:p w14:paraId="5A8B88D4">
      <w:pPr>
        <w:tabs>
          <w:tab w:val="left" w:pos="540"/>
          <w:tab w:val="left" w:pos="720"/>
        </w:tabs>
        <w:spacing w:line="408" w:lineRule="auto"/>
        <w:ind w:right="25" w:firstLine="480" w:firstLineChars="200"/>
        <w:jc w:val="left"/>
        <w:rPr>
          <w:rFonts w:ascii="宋体" w:hAnsi="宋体" w:cs="宋体"/>
          <w:color w:val="auto"/>
          <w:sz w:val="24"/>
          <w:highlight w:val="none"/>
        </w:rPr>
      </w:pPr>
      <w:r>
        <w:rPr>
          <w:rFonts w:hint="eastAsia" w:ascii="宋体" w:hAnsi="宋体" w:cs="宋体"/>
          <w:color w:val="auto"/>
          <w:sz w:val="24"/>
          <w:highlight w:val="none"/>
        </w:rPr>
        <w:t>本合同联系地址、电话应为可以送达的地址和联系信息，一方变更上述联系信息的，应提前10个工作日书面通知另一方，否则，因一方提供地址错误或未及时向其另一方进行信息变更通知而引起送达不能或引起的退函视为送达。</w:t>
      </w:r>
    </w:p>
    <w:p w14:paraId="1F15073A">
      <w:pPr>
        <w:tabs>
          <w:tab w:val="left" w:pos="540"/>
          <w:tab w:val="left" w:pos="720"/>
        </w:tabs>
        <w:spacing w:line="408" w:lineRule="auto"/>
        <w:ind w:right="25" w:firstLine="480" w:firstLineChars="200"/>
        <w:jc w:val="left"/>
        <w:rPr>
          <w:rFonts w:ascii="宋体" w:hAnsi="宋体" w:cs="宋体"/>
          <w:color w:val="auto"/>
          <w:sz w:val="24"/>
          <w:highlight w:val="none"/>
        </w:rPr>
      </w:pPr>
      <w:r>
        <w:rPr>
          <w:rFonts w:hint="eastAsia" w:ascii="宋体" w:hAnsi="宋体" w:cs="宋体"/>
          <w:color w:val="auto"/>
          <w:sz w:val="24"/>
          <w:highlight w:val="none"/>
        </w:rPr>
        <w:t>3、乙方应确保所指定账户为唯一收款账户，确保该账户的稳定性与准确性，乙方变更收款账户信息的，应当提前10个工作日书面告知甲方。如因乙方提供账户信息不准确、不真实，或变动账户后不及时告知甲方，导致甲方付款错误或失败的，由乙方承担一切损失赔偿责任。</w:t>
      </w:r>
    </w:p>
    <w:p w14:paraId="514E14D9">
      <w:pPr>
        <w:tabs>
          <w:tab w:val="left" w:pos="540"/>
          <w:tab w:val="left" w:pos="720"/>
        </w:tabs>
        <w:spacing w:line="360" w:lineRule="auto"/>
        <w:ind w:right="25" w:firstLine="538"/>
        <w:jc w:val="left"/>
        <w:rPr>
          <w:rFonts w:ascii="宋体" w:hAnsi="宋体" w:cs="宋体"/>
          <w:color w:val="auto"/>
          <w:sz w:val="24"/>
          <w:highlight w:val="none"/>
        </w:rPr>
      </w:pPr>
      <w:r>
        <w:rPr>
          <w:rFonts w:hint="eastAsia" w:ascii="宋体" w:hAnsi="宋体" w:cs="宋体"/>
          <w:color w:val="auto"/>
          <w:sz w:val="24"/>
          <w:highlight w:val="none"/>
        </w:rPr>
        <w:t>（以下无正文，为合同签署页）</w:t>
      </w:r>
    </w:p>
    <w:p w14:paraId="64987080">
      <w:pPr>
        <w:pStyle w:val="2"/>
        <w:rPr>
          <w:rFonts w:ascii="宋体" w:hAnsi="宋体" w:cs="宋体"/>
          <w:color w:val="auto"/>
          <w:sz w:val="24"/>
          <w:szCs w:val="24"/>
          <w:highlight w:val="none"/>
        </w:rPr>
      </w:pPr>
    </w:p>
    <w:p w14:paraId="123AD57F">
      <w:pPr>
        <w:pStyle w:val="4"/>
        <w:ind w:left="0" w:leftChars="0" w:firstLine="0" w:firstLineChars="0"/>
        <w:rPr>
          <w:color w:val="auto"/>
          <w:highlight w:val="none"/>
        </w:rPr>
      </w:pPr>
    </w:p>
    <w:tbl>
      <w:tblPr>
        <w:tblStyle w:val="8"/>
        <w:tblW w:w="8534"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3"/>
        <w:gridCol w:w="3542"/>
        <w:gridCol w:w="621"/>
        <w:gridCol w:w="3828"/>
      </w:tblGrid>
      <w:tr w14:paraId="19BDD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atLeast"/>
        </w:trPr>
        <w:tc>
          <w:tcPr>
            <w:tcW w:w="543" w:type="dxa"/>
            <w:vMerge w:val="restart"/>
            <w:vAlign w:val="center"/>
          </w:tcPr>
          <w:p w14:paraId="0870A83B">
            <w:pPr>
              <w:tabs>
                <w:tab w:val="left" w:pos="540"/>
                <w:tab w:val="left" w:pos="720"/>
              </w:tabs>
              <w:ind w:right="25"/>
              <w:jc w:val="center"/>
              <w:rPr>
                <w:rFonts w:ascii="宋体" w:hAnsi="宋体" w:cs="宋体"/>
                <w:color w:val="auto"/>
                <w:sz w:val="24"/>
                <w:highlight w:val="none"/>
              </w:rPr>
            </w:pPr>
            <w:r>
              <w:rPr>
                <w:rFonts w:hint="eastAsia" w:ascii="宋体" w:hAnsi="宋体" w:cs="宋体"/>
                <w:color w:val="auto"/>
                <w:sz w:val="24"/>
                <w:highlight w:val="none"/>
              </w:rPr>
              <w:t>委托方</w:t>
            </w:r>
          </w:p>
        </w:tc>
        <w:tc>
          <w:tcPr>
            <w:tcW w:w="3542" w:type="dxa"/>
            <w:vAlign w:val="center"/>
          </w:tcPr>
          <w:p w14:paraId="39BFA9C3">
            <w:pPr>
              <w:tabs>
                <w:tab w:val="left" w:pos="540"/>
                <w:tab w:val="left" w:pos="720"/>
              </w:tabs>
              <w:ind w:right="25"/>
              <w:rPr>
                <w:rFonts w:ascii="宋体" w:hAnsi="宋体" w:cs="宋体"/>
                <w:color w:val="auto"/>
                <w:sz w:val="24"/>
                <w:highlight w:val="none"/>
              </w:rPr>
            </w:pPr>
            <w:r>
              <w:rPr>
                <w:rFonts w:hint="eastAsia" w:ascii="宋体" w:hAnsi="宋体" w:cs="宋体"/>
                <w:color w:val="auto"/>
                <w:sz w:val="24"/>
                <w:highlight w:val="none"/>
              </w:rPr>
              <w:t>单位地址：</w:t>
            </w:r>
          </w:p>
        </w:tc>
        <w:tc>
          <w:tcPr>
            <w:tcW w:w="621" w:type="dxa"/>
            <w:vMerge w:val="restart"/>
            <w:vAlign w:val="center"/>
          </w:tcPr>
          <w:p w14:paraId="5929DF17">
            <w:pPr>
              <w:tabs>
                <w:tab w:val="left" w:pos="540"/>
                <w:tab w:val="left" w:pos="720"/>
              </w:tabs>
              <w:ind w:right="25"/>
              <w:jc w:val="center"/>
              <w:rPr>
                <w:rFonts w:ascii="宋体" w:hAnsi="宋体" w:cs="宋体"/>
                <w:color w:val="auto"/>
                <w:sz w:val="24"/>
                <w:highlight w:val="none"/>
              </w:rPr>
            </w:pPr>
            <w:r>
              <w:rPr>
                <w:rFonts w:hint="eastAsia" w:ascii="宋体" w:hAnsi="宋体" w:cs="宋体"/>
                <w:color w:val="auto"/>
                <w:sz w:val="24"/>
                <w:highlight w:val="none"/>
              </w:rPr>
              <w:t>承揽方</w:t>
            </w:r>
          </w:p>
        </w:tc>
        <w:tc>
          <w:tcPr>
            <w:tcW w:w="3828" w:type="dxa"/>
            <w:vAlign w:val="center"/>
          </w:tcPr>
          <w:p w14:paraId="79342A77">
            <w:pPr>
              <w:tabs>
                <w:tab w:val="left" w:pos="540"/>
                <w:tab w:val="left" w:pos="720"/>
              </w:tabs>
              <w:ind w:right="25"/>
              <w:rPr>
                <w:rFonts w:ascii="宋体" w:hAnsi="宋体" w:cs="宋体"/>
                <w:color w:val="auto"/>
                <w:sz w:val="24"/>
                <w:highlight w:val="none"/>
              </w:rPr>
            </w:pPr>
            <w:r>
              <w:rPr>
                <w:rFonts w:hint="eastAsia" w:ascii="宋体" w:hAnsi="宋体" w:cs="宋体"/>
                <w:color w:val="auto"/>
                <w:sz w:val="24"/>
                <w:highlight w:val="none"/>
              </w:rPr>
              <w:t>单位地址：</w:t>
            </w:r>
          </w:p>
        </w:tc>
      </w:tr>
      <w:tr w14:paraId="0051E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6" w:hRule="atLeast"/>
        </w:trPr>
        <w:tc>
          <w:tcPr>
            <w:tcW w:w="543" w:type="dxa"/>
            <w:vMerge w:val="continue"/>
          </w:tcPr>
          <w:p w14:paraId="45491C24">
            <w:pPr>
              <w:rPr>
                <w:color w:val="auto"/>
                <w:highlight w:val="none"/>
              </w:rPr>
            </w:pPr>
          </w:p>
        </w:tc>
        <w:tc>
          <w:tcPr>
            <w:tcW w:w="3542" w:type="dxa"/>
            <w:tcBorders>
              <w:top w:val="single" w:color="auto" w:sz="4" w:space="0"/>
              <w:left w:val="single" w:color="auto" w:sz="4" w:space="0"/>
              <w:right w:val="single" w:color="auto" w:sz="4" w:space="0"/>
            </w:tcBorders>
            <w:vAlign w:val="center"/>
          </w:tcPr>
          <w:p w14:paraId="75D924BC">
            <w:pPr>
              <w:tabs>
                <w:tab w:val="left" w:pos="540"/>
                <w:tab w:val="left" w:pos="720"/>
              </w:tabs>
              <w:ind w:right="25"/>
              <w:rPr>
                <w:rFonts w:ascii="宋体" w:hAnsi="宋体" w:cs="宋体"/>
                <w:color w:val="auto"/>
                <w:sz w:val="24"/>
                <w:highlight w:val="none"/>
              </w:rPr>
            </w:pPr>
            <w:r>
              <w:rPr>
                <w:rFonts w:hint="eastAsia" w:ascii="宋体" w:hAnsi="宋体" w:cs="宋体"/>
                <w:color w:val="auto"/>
                <w:sz w:val="24"/>
                <w:highlight w:val="none"/>
              </w:rPr>
              <w:t>甲方单位名称（盖章）：</w:t>
            </w:r>
          </w:p>
          <w:p w14:paraId="39F83B7C">
            <w:pPr>
              <w:pStyle w:val="2"/>
              <w:ind w:firstLine="0" w:firstLineChars="0"/>
              <w:rPr>
                <w:rFonts w:ascii="宋体" w:hAnsi="宋体" w:cs="宋体"/>
                <w:color w:val="auto"/>
                <w:sz w:val="24"/>
                <w:szCs w:val="24"/>
                <w:highlight w:val="none"/>
              </w:rPr>
            </w:pPr>
          </w:p>
          <w:p w14:paraId="0E58CFBE">
            <w:pPr>
              <w:pStyle w:val="2"/>
              <w:ind w:firstLine="0" w:firstLineChars="0"/>
              <w:rPr>
                <w:rFonts w:ascii="宋体" w:hAnsi="宋体" w:cs="宋体"/>
                <w:color w:val="auto"/>
                <w:sz w:val="24"/>
                <w:szCs w:val="24"/>
                <w:highlight w:val="none"/>
              </w:rPr>
            </w:pPr>
            <w:r>
              <w:rPr>
                <w:rFonts w:hint="eastAsia" w:ascii="宋体" w:hAnsi="宋体" w:cs="宋体"/>
                <w:color w:val="auto"/>
                <w:sz w:val="24"/>
                <w:szCs w:val="24"/>
                <w:highlight w:val="none"/>
              </w:rPr>
              <w:t>西安市自然资源和规划局</w:t>
            </w:r>
          </w:p>
        </w:tc>
        <w:tc>
          <w:tcPr>
            <w:tcW w:w="621" w:type="dxa"/>
            <w:vMerge w:val="continue"/>
            <w:tcBorders>
              <w:top w:val="single" w:color="auto" w:sz="4" w:space="0"/>
              <w:left w:val="single" w:color="auto" w:sz="4" w:space="0"/>
              <w:right w:val="single" w:color="auto" w:sz="4" w:space="0"/>
            </w:tcBorders>
          </w:tcPr>
          <w:p w14:paraId="7BA34621">
            <w:pPr>
              <w:rPr>
                <w:color w:val="auto"/>
                <w:highlight w:val="none"/>
              </w:rPr>
            </w:pPr>
          </w:p>
        </w:tc>
        <w:tc>
          <w:tcPr>
            <w:tcW w:w="3828" w:type="dxa"/>
            <w:vAlign w:val="center"/>
          </w:tcPr>
          <w:p w14:paraId="197D7159">
            <w:pPr>
              <w:tabs>
                <w:tab w:val="left" w:pos="540"/>
                <w:tab w:val="left" w:pos="720"/>
              </w:tabs>
              <w:ind w:right="25"/>
              <w:rPr>
                <w:rFonts w:hint="eastAsia" w:ascii="宋体" w:hAnsi="宋体" w:cs="宋体"/>
                <w:color w:val="auto"/>
                <w:sz w:val="24"/>
                <w:highlight w:val="none"/>
              </w:rPr>
            </w:pPr>
            <w:r>
              <w:rPr>
                <w:rFonts w:hint="eastAsia" w:ascii="宋体" w:hAnsi="宋体" w:cs="宋体"/>
                <w:color w:val="auto"/>
                <w:sz w:val="24"/>
                <w:highlight w:val="none"/>
              </w:rPr>
              <w:t>乙方单位名称（盖章）：</w:t>
            </w:r>
          </w:p>
          <w:p w14:paraId="58AF930E">
            <w:pPr>
              <w:pStyle w:val="2"/>
              <w:rPr>
                <w:color w:val="auto"/>
                <w:highlight w:val="none"/>
              </w:rPr>
            </w:pPr>
          </w:p>
          <w:p w14:paraId="31F68DE3">
            <w:pPr>
              <w:tabs>
                <w:tab w:val="left" w:pos="540"/>
                <w:tab w:val="left" w:pos="720"/>
              </w:tabs>
              <w:ind w:right="25"/>
              <w:rPr>
                <w:rFonts w:ascii="宋体" w:hAnsi="宋体" w:cs="宋体"/>
                <w:color w:val="auto"/>
                <w:sz w:val="24"/>
                <w:highlight w:val="none"/>
              </w:rPr>
            </w:pPr>
          </w:p>
        </w:tc>
      </w:tr>
      <w:tr w14:paraId="3297B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6" w:hRule="atLeast"/>
        </w:trPr>
        <w:tc>
          <w:tcPr>
            <w:tcW w:w="543" w:type="dxa"/>
            <w:vMerge w:val="continue"/>
          </w:tcPr>
          <w:p w14:paraId="668B50FE">
            <w:pPr>
              <w:rPr>
                <w:color w:val="auto"/>
                <w:highlight w:val="none"/>
              </w:rPr>
            </w:pPr>
          </w:p>
        </w:tc>
        <w:tc>
          <w:tcPr>
            <w:tcW w:w="3542" w:type="dxa"/>
            <w:tcBorders>
              <w:top w:val="single" w:color="auto" w:sz="4" w:space="0"/>
              <w:left w:val="single" w:color="auto" w:sz="4" w:space="0"/>
              <w:right w:val="single" w:color="auto" w:sz="4" w:space="0"/>
            </w:tcBorders>
            <w:vAlign w:val="center"/>
          </w:tcPr>
          <w:p w14:paraId="690CDA79">
            <w:pPr>
              <w:tabs>
                <w:tab w:val="left" w:pos="540"/>
                <w:tab w:val="left" w:pos="720"/>
              </w:tabs>
              <w:ind w:right="25"/>
              <w:rPr>
                <w:rFonts w:ascii="宋体" w:hAnsi="宋体" w:cs="宋体"/>
                <w:color w:val="auto"/>
                <w:sz w:val="24"/>
                <w:highlight w:val="none"/>
              </w:rPr>
            </w:pPr>
            <w:r>
              <w:rPr>
                <w:rFonts w:hint="eastAsia" w:ascii="宋体" w:hAnsi="宋体" w:cs="宋体"/>
                <w:color w:val="auto"/>
                <w:sz w:val="24"/>
                <w:highlight w:val="none"/>
              </w:rPr>
              <w:t>法定代表人或</w:t>
            </w:r>
          </w:p>
          <w:p w14:paraId="2D634BB4">
            <w:pPr>
              <w:tabs>
                <w:tab w:val="left" w:pos="540"/>
                <w:tab w:val="left" w:pos="720"/>
              </w:tabs>
              <w:ind w:right="25"/>
              <w:rPr>
                <w:rFonts w:ascii="宋体" w:hAnsi="宋体" w:cs="宋体"/>
                <w:color w:val="auto"/>
                <w:sz w:val="24"/>
                <w:highlight w:val="none"/>
              </w:rPr>
            </w:pPr>
            <w:r>
              <w:rPr>
                <w:rFonts w:hint="eastAsia" w:ascii="宋体" w:hAnsi="宋体" w:cs="宋体"/>
                <w:color w:val="auto"/>
                <w:sz w:val="24"/>
                <w:highlight w:val="none"/>
              </w:rPr>
              <w:t>委托代理人：</w:t>
            </w:r>
          </w:p>
        </w:tc>
        <w:tc>
          <w:tcPr>
            <w:tcW w:w="621" w:type="dxa"/>
            <w:vMerge w:val="continue"/>
            <w:tcBorders>
              <w:top w:val="single" w:color="auto" w:sz="4" w:space="0"/>
              <w:left w:val="single" w:color="auto" w:sz="4" w:space="0"/>
              <w:right w:val="single" w:color="auto" w:sz="4" w:space="0"/>
            </w:tcBorders>
          </w:tcPr>
          <w:p w14:paraId="2BEAABDF">
            <w:pPr>
              <w:rPr>
                <w:color w:val="auto"/>
                <w:highlight w:val="none"/>
              </w:rPr>
            </w:pPr>
          </w:p>
        </w:tc>
        <w:tc>
          <w:tcPr>
            <w:tcW w:w="3828" w:type="dxa"/>
            <w:vAlign w:val="center"/>
          </w:tcPr>
          <w:p w14:paraId="6B1380E2">
            <w:pPr>
              <w:tabs>
                <w:tab w:val="left" w:pos="540"/>
                <w:tab w:val="left" w:pos="720"/>
              </w:tabs>
              <w:ind w:right="25"/>
              <w:rPr>
                <w:rFonts w:ascii="宋体" w:hAnsi="宋体" w:cs="宋体"/>
                <w:color w:val="auto"/>
                <w:sz w:val="24"/>
                <w:highlight w:val="none"/>
              </w:rPr>
            </w:pPr>
            <w:r>
              <w:rPr>
                <w:rFonts w:hint="eastAsia" w:ascii="宋体" w:hAnsi="宋体" w:cs="宋体"/>
                <w:color w:val="auto"/>
                <w:sz w:val="24"/>
                <w:highlight w:val="none"/>
              </w:rPr>
              <w:t>法定代表人或</w:t>
            </w:r>
          </w:p>
          <w:p w14:paraId="1990C82C">
            <w:pPr>
              <w:tabs>
                <w:tab w:val="left" w:pos="540"/>
                <w:tab w:val="left" w:pos="720"/>
              </w:tabs>
              <w:ind w:right="25"/>
              <w:rPr>
                <w:rFonts w:ascii="宋体" w:hAnsi="宋体" w:cs="宋体"/>
                <w:color w:val="auto"/>
                <w:sz w:val="24"/>
                <w:highlight w:val="none"/>
              </w:rPr>
            </w:pPr>
            <w:r>
              <w:rPr>
                <w:rFonts w:hint="eastAsia" w:ascii="宋体" w:hAnsi="宋体" w:cs="宋体"/>
                <w:color w:val="auto"/>
                <w:sz w:val="24"/>
                <w:highlight w:val="none"/>
              </w:rPr>
              <w:t>委托代理人：</w:t>
            </w:r>
          </w:p>
        </w:tc>
      </w:tr>
      <w:tr w14:paraId="52456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1" w:hRule="atLeast"/>
        </w:trPr>
        <w:tc>
          <w:tcPr>
            <w:tcW w:w="543" w:type="dxa"/>
            <w:vMerge w:val="continue"/>
          </w:tcPr>
          <w:p w14:paraId="63501054">
            <w:pPr>
              <w:rPr>
                <w:color w:val="auto"/>
                <w:highlight w:val="none"/>
              </w:rPr>
            </w:pPr>
          </w:p>
        </w:tc>
        <w:tc>
          <w:tcPr>
            <w:tcW w:w="3542" w:type="dxa"/>
            <w:tcBorders>
              <w:top w:val="single" w:color="auto" w:sz="4" w:space="0"/>
              <w:left w:val="single" w:color="auto" w:sz="4" w:space="0"/>
              <w:right w:val="single" w:color="auto" w:sz="4" w:space="0"/>
            </w:tcBorders>
            <w:vAlign w:val="center"/>
          </w:tcPr>
          <w:p w14:paraId="45F89D1B">
            <w:pPr>
              <w:tabs>
                <w:tab w:val="left" w:pos="540"/>
                <w:tab w:val="left" w:pos="720"/>
              </w:tabs>
              <w:ind w:right="25"/>
              <w:rPr>
                <w:rFonts w:ascii="宋体" w:hAnsi="宋体" w:cs="宋体"/>
                <w:color w:val="auto"/>
                <w:sz w:val="24"/>
                <w:highlight w:val="none"/>
              </w:rPr>
            </w:pPr>
            <w:r>
              <w:rPr>
                <w:rFonts w:hint="eastAsia" w:ascii="宋体" w:hAnsi="宋体" w:cs="宋体"/>
                <w:color w:val="auto"/>
                <w:sz w:val="24"/>
                <w:highlight w:val="none"/>
              </w:rPr>
              <w:t>经办人：</w:t>
            </w:r>
          </w:p>
        </w:tc>
        <w:tc>
          <w:tcPr>
            <w:tcW w:w="621" w:type="dxa"/>
            <w:vMerge w:val="continue"/>
            <w:tcBorders>
              <w:top w:val="single" w:color="auto" w:sz="4" w:space="0"/>
              <w:left w:val="single" w:color="auto" w:sz="4" w:space="0"/>
              <w:right w:val="single" w:color="auto" w:sz="4" w:space="0"/>
            </w:tcBorders>
          </w:tcPr>
          <w:p w14:paraId="552D1C96">
            <w:pPr>
              <w:rPr>
                <w:color w:val="auto"/>
                <w:highlight w:val="none"/>
              </w:rPr>
            </w:pPr>
          </w:p>
        </w:tc>
        <w:tc>
          <w:tcPr>
            <w:tcW w:w="3828" w:type="dxa"/>
            <w:vAlign w:val="center"/>
          </w:tcPr>
          <w:p w14:paraId="7C0EC545">
            <w:pPr>
              <w:tabs>
                <w:tab w:val="left" w:pos="540"/>
                <w:tab w:val="left" w:pos="720"/>
              </w:tabs>
              <w:ind w:right="25"/>
              <w:rPr>
                <w:rFonts w:ascii="宋体" w:hAnsi="宋体" w:cs="宋体"/>
                <w:color w:val="auto"/>
                <w:sz w:val="24"/>
                <w:highlight w:val="none"/>
              </w:rPr>
            </w:pPr>
            <w:r>
              <w:rPr>
                <w:rFonts w:hint="eastAsia" w:ascii="宋体" w:hAnsi="宋体" w:cs="宋体"/>
                <w:color w:val="auto"/>
                <w:sz w:val="24"/>
                <w:highlight w:val="none"/>
              </w:rPr>
              <w:t>经办人：</w:t>
            </w:r>
          </w:p>
        </w:tc>
      </w:tr>
      <w:tr w14:paraId="6874E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543" w:type="dxa"/>
            <w:vMerge w:val="continue"/>
          </w:tcPr>
          <w:p w14:paraId="11898032">
            <w:pPr>
              <w:rPr>
                <w:color w:val="auto"/>
                <w:highlight w:val="none"/>
              </w:rPr>
            </w:pPr>
          </w:p>
        </w:tc>
        <w:tc>
          <w:tcPr>
            <w:tcW w:w="3542" w:type="dxa"/>
            <w:tcBorders>
              <w:top w:val="single" w:color="auto" w:sz="4" w:space="0"/>
              <w:left w:val="single" w:color="auto" w:sz="4" w:space="0"/>
              <w:right w:val="single" w:color="auto" w:sz="4" w:space="0"/>
            </w:tcBorders>
            <w:vAlign w:val="center"/>
          </w:tcPr>
          <w:p w14:paraId="5A8BAE10">
            <w:pPr>
              <w:tabs>
                <w:tab w:val="left" w:pos="540"/>
                <w:tab w:val="left" w:pos="720"/>
              </w:tabs>
              <w:ind w:right="25"/>
              <w:rPr>
                <w:rFonts w:ascii="宋体" w:hAnsi="宋体" w:cs="宋体"/>
                <w:color w:val="auto"/>
                <w:sz w:val="24"/>
                <w:highlight w:val="none"/>
              </w:rPr>
            </w:pPr>
            <w:r>
              <w:rPr>
                <w:rFonts w:hint="eastAsia" w:ascii="宋体" w:hAnsi="宋体" w:cs="宋体"/>
                <w:color w:val="auto"/>
                <w:sz w:val="24"/>
                <w:highlight w:val="none"/>
              </w:rPr>
              <w:t>邮政编码：</w:t>
            </w:r>
          </w:p>
        </w:tc>
        <w:tc>
          <w:tcPr>
            <w:tcW w:w="621" w:type="dxa"/>
            <w:vMerge w:val="continue"/>
            <w:tcBorders>
              <w:top w:val="single" w:color="auto" w:sz="4" w:space="0"/>
              <w:left w:val="single" w:color="auto" w:sz="4" w:space="0"/>
              <w:right w:val="single" w:color="auto" w:sz="4" w:space="0"/>
            </w:tcBorders>
          </w:tcPr>
          <w:p w14:paraId="1AF54F73">
            <w:pPr>
              <w:rPr>
                <w:color w:val="auto"/>
                <w:highlight w:val="none"/>
              </w:rPr>
            </w:pPr>
          </w:p>
        </w:tc>
        <w:tc>
          <w:tcPr>
            <w:tcW w:w="3828" w:type="dxa"/>
            <w:vAlign w:val="center"/>
          </w:tcPr>
          <w:p w14:paraId="6CC8D35B">
            <w:pPr>
              <w:tabs>
                <w:tab w:val="left" w:pos="540"/>
                <w:tab w:val="left" w:pos="720"/>
              </w:tabs>
              <w:ind w:right="25"/>
              <w:rPr>
                <w:rFonts w:ascii="宋体" w:hAnsi="宋体" w:cs="宋体"/>
                <w:color w:val="auto"/>
                <w:sz w:val="24"/>
                <w:highlight w:val="none"/>
              </w:rPr>
            </w:pPr>
            <w:r>
              <w:rPr>
                <w:rFonts w:hint="eastAsia" w:ascii="宋体" w:hAnsi="宋体" w:cs="宋体"/>
                <w:color w:val="auto"/>
                <w:sz w:val="24"/>
                <w:highlight w:val="none"/>
              </w:rPr>
              <w:t>邮政编码：</w:t>
            </w:r>
          </w:p>
        </w:tc>
      </w:tr>
      <w:tr w14:paraId="3320B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543" w:type="dxa"/>
            <w:vMerge w:val="continue"/>
          </w:tcPr>
          <w:p w14:paraId="5AD6B008">
            <w:pPr>
              <w:rPr>
                <w:color w:val="auto"/>
                <w:highlight w:val="none"/>
              </w:rPr>
            </w:pPr>
          </w:p>
        </w:tc>
        <w:tc>
          <w:tcPr>
            <w:tcW w:w="3542" w:type="dxa"/>
            <w:tcBorders>
              <w:top w:val="single" w:color="auto" w:sz="4" w:space="0"/>
              <w:left w:val="single" w:color="auto" w:sz="4" w:space="0"/>
              <w:right w:val="single" w:color="auto" w:sz="4" w:space="0"/>
            </w:tcBorders>
            <w:vAlign w:val="center"/>
          </w:tcPr>
          <w:p w14:paraId="1D5F65AE">
            <w:pPr>
              <w:tabs>
                <w:tab w:val="left" w:pos="540"/>
                <w:tab w:val="left" w:pos="720"/>
              </w:tabs>
              <w:ind w:right="25"/>
              <w:rPr>
                <w:rFonts w:ascii="宋体" w:hAnsi="宋体" w:cs="宋体"/>
                <w:color w:val="auto"/>
                <w:sz w:val="24"/>
                <w:highlight w:val="none"/>
              </w:rPr>
            </w:pPr>
            <w:r>
              <w:rPr>
                <w:rFonts w:hint="eastAsia" w:ascii="宋体" w:hAnsi="宋体" w:cs="宋体"/>
                <w:color w:val="auto"/>
                <w:sz w:val="24"/>
                <w:highlight w:val="none"/>
              </w:rPr>
              <w:t>电    话：</w:t>
            </w:r>
          </w:p>
        </w:tc>
        <w:tc>
          <w:tcPr>
            <w:tcW w:w="621" w:type="dxa"/>
            <w:vMerge w:val="continue"/>
            <w:tcBorders>
              <w:top w:val="single" w:color="auto" w:sz="4" w:space="0"/>
              <w:left w:val="single" w:color="auto" w:sz="4" w:space="0"/>
              <w:right w:val="single" w:color="auto" w:sz="4" w:space="0"/>
            </w:tcBorders>
          </w:tcPr>
          <w:p w14:paraId="5075952C">
            <w:pPr>
              <w:rPr>
                <w:color w:val="auto"/>
                <w:highlight w:val="none"/>
              </w:rPr>
            </w:pPr>
          </w:p>
        </w:tc>
        <w:tc>
          <w:tcPr>
            <w:tcW w:w="3828" w:type="dxa"/>
            <w:vAlign w:val="center"/>
          </w:tcPr>
          <w:p w14:paraId="72480F97">
            <w:pPr>
              <w:tabs>
                <w:tab w:val="left" w:pos="540"/>
                <w:tab w:val="left" w:pos="720"/>
              </w:tabs>
              <w:ind w:right="25"/>
              <w:rPr>
                <w:rFonts w:ascii="宋体" w:hAnsi="宋体" w:cs="宋体"/>
                <w:color w:val="auto"/>
                <w:sz w:val="24"/>
                <w:highlight w:val="none"/>
              </w:rPr>
            </w:pPr>
            <w:r>
              <w:rPr>
                <w:rFonts w:hint="eastAsia" w:ascii="宋体" w:hAnsi="宋体" w:cs="宋体"/>
                <w:color w:val="auto"/>
                <w:sz w:val="24"/>
                <w:highlight w:val="none"/>
              </w:rPr>
              <w:t>电    话：</w:t>
            </w:r>
          </w:p>
        </w:tc>
      </w:tr>
      <w:tr w14:paraId="2881C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3" w:hRule="atLeast"/>
        </w:trPr>
        <w:tc>
          <w:tcPr>
            <w:tcW w:w="543" w:type="dxa"/>
            <w:vMerge w:val="continue"/>
          </w:tcPr>
          <w:p w14:paraId="722EE994">
            <w:pPr>
              <w:rPr>
                <w:color w:val="auto"/>
                <w:highlight w:val="none"/>
              </w:rPr>
            </w:pPr>
          </w:p>
        </w:tc>
        <w:tc>
          <w:tcPr>
            <w:tcW w:w="3542" w:type="dxa"/>
            <w:tcBorders>
              <w:top w:val="single" w:color="auto" w:sz="4" w:space="0"/>
              <w:left w:val="single" w:color="auto" w:sz="4" w:space="0"/>
              <w:right w:val="single" w:color="auto" w:sz="4" w:space="0"/>
            </w:tcBorders>
            <w:vAlign w:val="center"/>
          </w:tcPr>
          <w:p w14:paraId="25AD4940">
            <w:pPr>
              <w:tabs>
                <w:tab w:val="left" w:pos="540"/>
                <w:tab w:val="left" w:pos="720"/>
              </w:tabs>
              <w:ind w:right="25"/>
              <w:rPr>
                <w:rFonts w:ascii="宋体" w:hAnsi="宋体" w:cs="宋体"/>
                <w:color w:val="auto"/>
                <w:sz w:val="24"/>
                <w:highlight w:val="none"/>
              </w:rPr>
            </w:pPr>
            <w:r>
              <w:rPr>
                <w:rFonts w:hint="eastAsia" w:ascii="宋体" w:hAnsi="宋体" w:cs="宋体"/>
                <w:color w:val="auto"/>
                <w:sz w:val="24"/>
                <w:highlight w:val="none"/>
              </w:rPr>
              <w:t>开户银行：</w:t>
            </w:r>
          </w:p>
        </w:tc>
        <w:tc>
          <w:tcPr>
            <w:tcW w:w="621" w:type="dxa"/>
            <w:vMerge w:val="continue"/>
            <w:tcBorders>
              <w:top w:val="single" w:color="auto" w:sz="4" w:space="0"/>
              <w:left w:val="single" w:color="auto" w:sz="4" w:space="0"/>
              <w:right w:val="single" w:color="auto" w:sz="4" w:space="0"/>
            </w:tcBorders>
          </w:tcPr>
          <w:p w14:paraId="5AF3C415">
            <w:pPr>
              <w:rPr>
                <w:color w:val="auto"/>
                <w:highlight w:val="none"/>
              </w:rPr>
            </w:pPr>
          </w:p>
        </w:tc>
        <w:tc>
          <w:tcPr>
            <w:tcW w:w="3828" w:type="dxa"/>
            <w:vAlign w:val="center"/>
          </w:tcPr>
          <w:p w14:paraId="2169A1C7">
            <w:pPr>
              <w:tabs>
                <w:tab w:val="left" w:pos="540"/>
                <w:tab w:val="left" w:pos="720"/>
              </w:tabs>
              <w:ind w:right="25"/>
              <w:rPr>
                <w:rFonts w:ascii="宋体" w:hAnsi="宋体" w:cs="宋体"/>
                <w:color w:val="auto"/>
                <w:sz w:val="24"/>
                <w:highlight w:val="none"/>
              </w:rPr>
            </w:pPr>
            <w:r>
              <w:rPr>
                <w:rFonts w:hint="eastAsia" w:ascii="宋体" w:hAnsi="宋体" w:cs="宋体"/>
                <w:color w:val="auto"/>
                <w:sz w:val="24"/>
                <w:highlight w:val="none"/>
              </w:rPr>
              <w:t>开户银行：</w:t>
            </w:r>
          </w:p>
        </w:tc>
      </w:tr>
      <w:tr w14:paraId="6641E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trPr>
        <w:tc>
          <w:tcPr>
            <w:tcW w:w="543" w:type="dxa"/>
            <w:vMerge w:val="continue"/>
          </w:tcPr>
          <w:p w14:paraId="46952797">
            <w:pPr>
              <w:rPr>
                <w:color w:val="auto"/>
                <w:highlight w:val="none"/>
              </w:rPr>
            </w:pPr>
          </w:p>
        </w:tc>
        <w:tc>
          <w:tcPr>
            <w:tcW w:w="3542" w:type="dxa"/>
            <w:tcBorders>
              <w:top w:val="single" w:color="auto" w:sz="4" w:space="0"/>
              <w:left w:val="single" w:color="auto" w:sz="4" w:space="0"/>
              <w:right w:val="single" w:color="auto" w:sz="4" w:space="0"/>
            </w:tcBorders>
            <w:vAlign w:val="center"/>
          </w:tcPr>
          <w:p w14:paraId="7C7452D1">
            <w:pPr>
              <w:tabs>
                <w:tab w:val="left" w:pos="540"/>
                <w:tab w:val="left" w:pos="720"/>
              </w:tabs>
              <w:ind w:right="25"/>
              <w:rPr>
                <w:rFonts w:ascii="宋体" w:hAnsi="宋体" w:cs="宋体"/>
                <w:color w:val="auto"/>
                <w:sz w:val="24"/>
                <w:highlight w:val="none"/>
              </w:rPr>
            </w:pPr>
            <w:r>
              <w:rPr>
                <w:rFonts w:hint="eastAsia" w:ascii="宋体" w:hAnsi="宋体" w:cs="宋体"/>
                <w:color w:val="auto"/>
                <w:sz w:val="24"/>
                <w:highlight w:val="none"/>
              </w:rPr>
              <w:t>银行帐号：</w:t>
            </w:r>
          </w:p>
        </w:tc>
        <w:tc>
          <w:tcPr>
            <w:tcW w:w="621" w:type="dxa"/>
            <w:vMerge w:val="continue"/>
            <w:tcBorders>
              <w:top w:val="single" w:color="auto" w:sz="4" w:space="0"/>
              <w:left w:val="single" w:color="auto" w:sz="4" w:space="0"/>
              <w:right w:val="single" w:color="auto" w:sz="4" w:space="0"/>
            </w:tcBorders>
          </w:tcPr>
          <w:p w14:paraId="4825FCD7">
            <w:pPr>
              <w:rPr>
                <w:color w:val="auto"/>
                <w:highlight w:val="none"/>
              </w:rPr>
            </w:pPr>
          </w:p>
        </w:tc>
        <w:tc>
          <w:tcPr>
            <w:tcW w:w="3828" w:type="dxa"/>
            <w:vAlign w:val="center"/>
          </w:tcPr>
          <w:p w14:paraId="6D89FF5B">
            <w:pPr>
              <w:tabs>
                <w:tab w:val="left" w:pos="540"/>
                <w:tab w:val="left" w:pos="720"/>
              </w:tabs>
              <w:ind w:right="25"/>
              <w:rPr>
                <w:rFonts w:ascii="宋体" w:hAnsi="宋体" w:cs="宋体"/>
                <w:color w:val="auto"/>
                <w:sz w:val="24"/>
                <w:highlight w:val="none"/>
              </w:rPr>
            </w:pPr>
            <w:r>
              <w:rPr>
                <w:rFonts w:hint="eastAsia" w:ascii="宋体" w:hAnsi="宋体" w:cs="宋体"/>
                <w:color w:val="auto"/>
                <w:sz w:val="24"/>
                <w:highlight w:val="none"/>
              </w:rPr>
              <w:t>银行帐号：</w:t>
            </w:r>
          </w:p>
        </w:tc>
      </w:tr>
      <w:tr w14:paraId="799F6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543" w:type="dxa"/>
            <w:vMerge w:val="continue"/>
          </w:tcPr>
          <w:p w14:paraId="4483BF4E">
            <w:pPr>
              <w:rPr>
                <w:color w:val="auto"/>
                <w:highlight w:val="none"/>
              </w:rPr>
            </w:pPr>
          </w:p>
        </w:tc>
        <w:tc>
          <w:tcPr>
            <w:tcW w:w="3542" w:type="dxa"/>
            <w:tcBorders>
              <w:top w:val="single" w:color="auto" w:sz="4" w:space="0"/>
              <w:left w:val="single" w:color="auto" w:sz="4" w:space="0"/>
              <w:right w:val="single" w:color="auto" w:sz="4" w:space="0"/>
            </w:tcBorders>
            <w:vAlign w:val="center"/>
          </w:tcPr>
          <w:p w14:paraId="151CB22A">
            <w:pPr>
              <w:tabs>
                <w:tab w:val="left" w:pos="540"/>
                <w:tab w:val="left" w:pos="720"/>
              </w:tabs>
              <w:ind w:right="25"/>
              <w:rPr>
                <w:rFonts w:ascii="宋体" w:hAnsi="宋体" w:cs="宋体"/>
                <w:color w:val="auto"/>
                <w:sz w:val="24"/>
                <w:highlight w:val="none"/>
              </w:rPr>
            </w:pPr>
            <w:r>
              <w:rPr>
                <w:rFonts w:hint="eastAsia" w:ascii="宋体" w:hAnsi="宋体" w:cs="宋体"/>
                <w:color w:val="auto"/>
                <w:sz w:val="24"/>
                <w:highlight w:val="none"/>
              </w:rPr>
              <w:t>税号：</w:t>
            </w:r>
          </w:p>
        </w:tc>
        <w:tc>
          <w:tcPr>
            <w:tcW w:w="621" w:type="dxa"/>
            <w:vMerge w:val="continue"/>
            <w:tcBorders>
              <w:top w:val="single" w:color="auto" w:sz="4" w:space="0"/>
              <w:left w:val="single" w:color="auto" w:sz="4" w:space="0"/>
              <w:right w:val="single" w:color="auto" w:sz="4" w:space="0"/>
            </w:tcBorders>
          </w:tcPr>
          <w:p w14:paraId="5B0047A6">
            <w:pPr>
              <w:rPr>
                <w:color w:val="auto"/>
                <w:highlight w:val="none"/>
              </w:rPr>
            </w:pPr>
          </w:p>
        </w:tc>
        <w:tc>
          <w:tcPr>
            <w:tcW w:w="3828" w:type="dxa"/>
            <w:vAlign w:val="center"/>
          </w:tcPr>
          <w:p w14:paraId="1049ADEE">
            <w:pPr>
              <w:tabs>
                <w:tab w:val="left" w:pos="540"/>
                <w:tab w:val="left" w:pos="720"/>
              </w:tabs>
              <w:ind w:right="25"/>
              <w:rPr>
                <w:rFonts w:ascii="宋体" w:hAnsi="宋体" w:cs="宋体"/>
                <w:color w:val="auto"/>
                <w:sz w:val="24"/>
                <w:highlight w:val="none"/>
              </w:rPr>
            </w:pPr>
            <w:r>
              <w:rPr>
                <w:rFonts w:hint="eastAsia" w:ascii="宋体" w:hAnsi="宋体" w:cs="宋体"/>
                <w:color w:val="auto"/>
                <w:sz w:val="24"/>
                <w:highlight w:val="none"/>
              </w:rPr>
              <w:t>税号：</w:t>
            </w:r>
          </w:p>
        </w:tc>
      </w:tr>
      <w:tr w14:paraId="076CC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543" w:type="dxa"/>
            <w:vMerge w:val="continue"/>
          </w:tcPr>
          <w:p w14:paraId="7A0ECE39">
            <w:pPr>
              <w:rPr>
                <w:color w:val="auto"/>
                <w:highlight w:val="none"/>
              </w:rPr>
            </w:pPr>
          </w:p>
        </w:tc>
        <w:tc>
          <w:tcPr>
            <w:tcW w:w="3542" w:type="dxa"/>
            <w:tcBorders>
              <w:top w:val="single" w:color="auto" w:sz="4" w:space="0"/>
              <w:left w:val="single" w:color="auto" w:sz="4" w:space="0"/>
              <w:right w:val="single" w:color="auto" w:sz="4" w:space="0"/>
            </w:tcBorders>
            <w:vAlign w:val="center"/>
          </w:tcPr>
          <w:p w14:paraId="7784A655">
            <w:pPr>
              <w:tabs>
                <w:tab w:val="left" w:pos="540"/>
                <w:tab w:val="left" w:pos="720"/>
              </w:tabs>
              <w:ind w:right="25"/>
              <w:rPr>
                <w:rFonts w:ascii="宋体" w:hAnsi="宋体" w:cs="宋体"/>
                <w:color w:val="auto"/>
                <w:sz w:val="24"/>
                <w:highlight w:val="none"/>
              </w:rPr>
            </w:pPr>
            <w:r>
              <w:rPr>
                <w:rFonts w:hint="eastAsia" w:ascii="宋体" w:hAnsi="宋体" w:cs="宋体"/>
                <w:color w:val="auto"/>
                <w:sz w:val="24"/>
                <w:highlight w:val="none"/>
              </w:rPr>
              <w:t>合同签订日期：</w:t>
            </w:r>
          </w:p>
        </w:tc>
        <w:tc>
          <w:tcPr>
            <w:tcW w:w="621" w:type="dxa"/>
            <w:vMerge w:val="continue"/>
            <w:tcBorders>
              <w:top w:val="single" w:color="auto" w:sz="4" w:space="0"/>
              <w:left w:val="single" w:color="auto" w:sz="4" w:space="0"/>
              <w:right w:val="single" w:color="auto" w:sz="4" w:space="0"/>
            </w:tcBorders>
          </w:tcPr>
          <w:p w14:paraId="5C3BFE60">
            <w:pPr>
              <w:rPr>
                <w:color w:val="auto"/>
                <w:highlight w:val="none"/>
              </w:rPr>
            </w:pPr>
          </w:p>
        </w:tc>
        <w:tc>
          <w:tcPr>
            <w:tcW w:w="3828" w:type="dxa"/>
            <w:vAlign w:val="center"/>
          </w:tcPr>
          <w:p w14:paraId="762CC002">
            <w:pPr>
              <w:tabs>
                <w:tab w:val="left" w:pos="540"/>
                <w:tab w:val="left" w:pos="720"/>
              </w:tabs>
              <w:ind w:right="25"/>
              <w:rPr>
                <w:rFonts w:ascii="宋体" w:hAnsi="宋体" w:cs="宋体"/>
                <w:color w:val="auto"/>
                <w:sz w:val="24"/>
                <w:highlight w:val="none"/>
              </w:rPr>
            </w:pPr>
            <w:r>
              <w:rPr>
                <w:rFonts w:hint="eastAsia" w:ascii="宋体" w:hAnsi="宋体" w:cs="宋体"/>
                <w:color w:val="auto"/>
                <w:sz w:val="24"/>
                <w:highlight w:val="none"/>
              </w:rPr>
              <w:t>合同签订日期：</w:t>
            </w:r>
          </w:p>
        </w:tc>
      </w:tr>
    </w:tbl>
    <w:p w14:paraId="2BBE03D7">
      <w:pPr>
        <w:pStyle w:val="10"/>
        <w:rPr>
          <w:color w:val="auto"/>
          <w:highlight w:val="none"/>
        </w:rPr>
      </w:pPr>
    </w:p>
    <w:p w14:paraId="1CB0A61E">
      <w:pPr>
        <w:rPr>
          <w:color w:val="auto"/>
        </w:rPr>
      </w:pPr>
    </w:p>
    <w:sectPr>
      <w:pgSz w:w="11906" w:h="16838"/>
      <w:pgMar w:top="1440" w:right="106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03C73A"/>
    <w:multiLevelType w:val="singleLevel"/>
    <w:tmpl w:val="D403C73A"/>
    <w:lvl w:ilvl="0" w:tentative="0">
      <w:start w:val="1"/>
      <w:numFmt w:val="decimal"/>
      <w:suff w:val="nothing"/>
      <w:lvlText w:val="%1、"/>
      <w:lvlJc w:val="left"/>
    </w:lvl>
  </w:abstractNum>
  <w:abstractNum w:abstractNumId="1">
    <w:nsid w:val="1E32808E"/>
    <w:multiLevelType w:val="singleLevel"/>
    <w:tmpl w:val="1E32808E"/>
    <w:lvl w:ilvl="0" w:tentative="0">
      <w:start w:val="1"/>
      <w:numFmt w:val="upperLetter"/>
      <w:pStyle w:val="6"/>
      <w:lvlText w:val="%1．"/>
      <w:lvlJc w:val="left"/>
      <w:pPr>
        <w:tabs>
          <w:tab w:val="left" w:pos="324"/>
        </w:tabs>
        <w:ind w:left="324" w:hanging="32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ViNjU3M2QzMjA1N2E0Y2Q3ZWFkZmExNWRhZDA0MjIifQ=="/>
  </w:docVars>
  <w:rsids>
    <w:rsidRoot w:val="2C934DF7"/>
    <w:rsid w:val="24E33079"/>
    <w:rsid w:val="2C934DF7"/>
    <w:rsid w:val="2C970D68"/>
    <w:rsid w:val="3E0D6753"/>
    <w:rsid w:val="726C0D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qFormat/>
    <w:uiPriority w:val="0"/>
    <w:pPr>
      <w:keepNext/>
      <w:widowControl w:val="0"/>
      <w:numPr>
        <w:ilvl w:val="0"/>
        <w:numId w:val="1"/>
      </w:numPr>
      <w:jc w:val="center"/>
      <w:outlineLvl w:val="0"/>
    </w:pPr>
    <w:rPr>
      <w:rFonts w:ascii="黑体" w:eastAsia="黑体"/>
      <w:sz w:val="30"/>
      <w:szCs w:val="20"/>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w:basedOn w:val="3"/>
    <w:next w:val="4"/>
    <w:qFormat/>
    <w:uiPriority w:val="0"/>
    <w:pPr>
      <w:spacing w:after="120"/>
      <w:ind w:right="0" w:rightChars="0" w:firstLine="100" w:firstLineChars="100"/>
      <w:jc w:val="both"/>
    </w:pPr>
    <w:rPr>
      <w:szCs w:val="20"/>
    </w:rPr>
  </w:style>
  <w:style w:type="paragraph" w:styleId="3">
    <w:name w:val="Body Text"/>
    <w:basedOn w:val="1"/>
    <w:next w:val="1"/>
    <w:qFormat/>
    <w:uiPriority w:val="0"/>
    <w:pPr>
      <w:ind w:right="-40" w:rightChars="-40"/>
      <w:jc w:val="center"/>
    </w:pPr>
  </w:style>
  <w:style w:type="paragraph" w:styleId="4">
    <w:name w:val="Body Text First Indent 2"/>
    <w:basedOn w:val="5"/>
    <w:next w:val="1"/>
    <w:qFormat/>
    <w:uiPriority w:val="0"/>
    <w:pPr>
      <w:spacing w:after="120" w:line="240" w:lineRule="auto"/>
      <w:ind w:left="200" w:leftChars="200" w:firstLine="200" w:firstLineChars="200"/>
    </w:pPr>
    <w:rPr>
      <w:rFonts w:ascii="Times New Roman" w:hAnsi="Times New Roman"/>
      <w:sz w:val="21"/>
    </w:rPr>
  </w:style>
  <w:style w:type="paragraph" w:styleId="5">
    <w:name w:val="Body Text Indent"/>
    <w:basedOn w:val="1"/>
    <w:next w:val="4"/>
    <w:qFormat/>
    <w:uiPriority w:val="0"/>
    <w:pPr>
      <w:spacing w:line="360" w:lineRule="auto"/>
      <w:ind w:firstLine="480"/>
    </w:pPr>
    <w:rPr>
      <w:rFonts w:ascii="宋体"/>
      <w:sz w:val="24"/>
    </w:rPr>
  </w:style>
  <w:style w:type="paragraph" w:styleId="7">
    <w:name w:val="Block Text"/>
    <w:basedOn w:val="1"/>
    <w:qFormat/>
    <w:uiPriority w:val="0"/>
    <w:pPr>
      <w:ind w:left="-37" w:leftChars="-37" w:right="-77" w:rightChars="-77" w:firstLine="37" w:firstLineChars="37"/>
      <w:jc w:val="center"/>
    </w:pPr>
    <w:rPr>
      <w:rFonts w:ascii="宋体" w:hAnsi="宋体"/>
      <w:szCs w:val="21"/>
    </w:rPr>
  </w:style>
  <w:style w:type="paragraph" w:customStyle="1" w:styleId="10">
    <w:name w:val="null3"/>
    <w:qFormat/>
    <w:uiPriority w:val="0"/>
    <w:rPr>
      <w:rFonts w:ascii="Calibri" w:hAnsi="Calibri" w:eastAsia="宋体" w:cs="Arial"/>
      <w:sz w:val="20"/>
      <w:szCs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4098</Words>
  <Characters>4186</Characters>
  <Lines>0</Lines>
  <Paragraphs>0</Paragraphs>
  <TotalTime>51</TotalTime>
  <ScaleCrop>false</ScaleCrop>
  <LinksUpToDate>false</LinksUpToDate>
  <CharactersWithSpaces>4285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2024-06-04T03:48:00Z</dcterms:created>
  <dc:creator>Administrator</dc:creator>
  <cp:lastModifiedBy>Baymax</cp:lastModifiedBy>
  <dcterms:modified xsi:type="dcterms:W3CDTF">2025-06-17T01:37:35Z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FB7FF97A244B4610911B3891C6F4D019_13</vt:lpwstr>
  </property>
  <property fmtid="{D5CDD505-2E9C-101B-9397-08002B2CF9AE}" pid="4" name="KSOTemplateDocerSaveRecord">
    <vt:lpwstr>eyJoZGlkIjoiZWJhNzg3ZTBjZDIxNWE5NTJiODFjYTZlYjhjYmQxMDIiLCJ1c2VySWQiOiI1ODQwNTk5NDYifQ==</vt:lpwstr>
  </property>
</Properties>
</file>