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版本号：陕天财招字（2025）098号20250626001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2025年度就业应用软件维护项目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陕天财招字（2025）098号</w:t>
      </w:r>
      <w:r>
        <w:br/>
      </w:r>
      <w:r>
        <w:br/>
      </w:r>
      <w:r>
        <w:br/>
      </w:r>
    </w:p>
    <w:p>
      <w:pPr>
        <w:pStyle w:val="null3"/>
        <w:jc w:val="center"/>
        <w:outlineLvl w:val="2"/>
      </w:pPr>
      <w:r>
        <w:rPr>
          <w:rFonts w:ascii="仿宋_GB2312" w:hAnsi="仿宋_GB2312" w:cs="仿宋_GB2312" w:eastAsia="仿宋_GB2312"/>
          <w:sz w:val="28"/>
          <w:b/>
        </w:rPr>
        <w:t>西安市人力资源和社会保障局信息中心</w:t>
      </w:r>
    </w:p>
    <w:p>
      <w:pPr>
        <w:pStyle w:val="null3"/>
        <w:jc w:val="center"/>
        <w:outlineLvl w:val="2"/>
      </w:pPr>
      <w:r>
        <w:rPr>
          <w:rFonts w:ascii="仿宋_GB2312" w:hAnsi="仿宋_GB2312" w:cs="仿宋_GB2312" w:eastAsia="仿宋_GB2312"/>
          <w:sz w:val="28"/>
          <w:b/>
        </w:rPr>
        <w:t>陕西天财工程造价咨询有限公司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陕西天财工程造价咨询有限公司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西安市人力资源和社会保障局信息中心</w:t>
      </w:r>
      <w:r>
        <w:rPr>
          <w:rFonts w:ascii="仿宋_GB2312" w:hAnsi="仿宋_GB2312" w:cs="仿宋_GB2312" w:eastAsia="仿宋_GB2312"/>
        </w:rPr>
        <w:t>委托，拟对</w:t>
      </w:r>
      <w:r>
        <w:rPr>
          <w:rFonts w:ascii="仿宋_GB2312" w:hAnsi="仿宋_GB2312" w:cs="仿宋_GB2312" w:eastAsia="仿宋_GB2312"/>
        </w:rPr>
        <w:t>2025年度就业应用软件维护项目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陕天财招字（2025）098号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2025年度就业应用软件维护项目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为实现西安就业相关业务系统的稳定运行和快速响应，本项目提供年度软件维护服务，确保系统安全高效运转。具体详见采购文件。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完整的2023或2024年度财务报告（成立时间至竞争性磋商响应文件递交截止时间不足一年的可提供成立后的资产负债表）或竞争性磋商响应文件递交截止时间前六个月内其开户银行出具的资信证明。</w:t>
      </w:r>
    </w:p>
    <w:p>
      <w:pPr>
        <w:pStyle w:val="null3"/>
      </w:pPr>
      <w:r>
        <w:rPr>
          <w:rFonts w:ascii="仿宋_GB2312" w:hAnsi="仿宋_GB2312" w:cs="仿宋_GB2312" w:eastAsia="仿宋_GB2312"/>
        </w:rPr>
        <w:t>3、税收缴纳证明：提供2024年5月至今已缴纳的至少一个月的纳税证明或完税证明（任意税种），依法免税的单位应提供相关证明材料。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4、社会保障资金缴纳证明：提供2024年5月至今已缴存的至少一个月的社会保障资金缴存凭证或社保机构开具的社会保险参保证明，依法不需要缴纳社会保障资金的单位应提供相关证明材料。</w:t>
      </w:r>
    </w:p>
    <w:p>
      <w:pPr>
        <w:pStyle w:val="null3"/>
      </w:pPr>
      <w:r>
        <w:rPr>
          <w:rFonts w:ascii="仿宋_GB2312" w:hAnsi="仿宋_GB2312" w:cs="仿宋_GB2312" w:eastAsia="仿宋_GB2312"/>
        </w:rPr>
        <w:t>5、承诺声明：提供具有履行合同所必需的设备和专业技术能力的承诺声明。</w:t>
      </w:r>
    </w:p>
    <w:p>
      <w:pPr>
        <w:pStyle w:val="null3"/>
      </w:pPr>
      <w:r>
        <w:rPr>
          <w:rFonts w:ascii="仿宋_GB2312" w:hAnsi="仿宋_GB2312" w:cs="仿宋_GB2312" w:eastAsia="仿宋_GB2312"/>
        </w:rPr>
        <w:t>6、书面声明：提供参加政府采购活动前3年内，在经营活动中没有重大违法记录的书面声明。</w:t>
      </w:r>
    </w:p>
    <w:p>
      <w:pPr>
        <w:pStyle w:val="null3"/>
      </w:pPr>
      <w:r>
        <w:rPr>
          <w:rFonts w:ascii="仿宋_GB2312" w:hAnsi="仿宋_GB2312" w:cs="仿宋_GB2312" w:eastAsia="仿宋_GB2312"/>
        </w:rPr>
        <w:t>7、法定代表人或其授权代表：法定代表人直接参加磋商的，须出具法定代表人身份证明书及身份证；法定代表人授权代表参加磋商的，须出具法定代表人授权委托书、授权代表身份证及2025年1月至今在本单位缴纳的至少1个月的社会保障资金缴存单据或社保机构开具的社会保险参保缴费情况证明；（社保证明在评标现场资格审查阶段扫码查验，若查询结果不符合要求，按无效磋商处理。）</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信用记录将在竞争性磋商响应文件递交截止日当天资格审查阶段通过【信用中国】和【中国政府采购网】网站对供应商的信用情况进行查询，若查询结果不符合要求，按无效磋商处理。)</w:t>
      </w:r>
    </w:p>
    <w:p>
      <w:pPr>
        <w:pStyle w:val="null3"/>
      </w:pPr>
      <w:r>
        <w:rPr>
          <w:rFonts w:ascii="仿宋_GB2312" w:hAnsi="仿宋_GB2312" w:cs="仿宋_GB2312" w:eastAsia="仿宋_GB2312"/>
        </w:rPr>
        <w:t>9、其他要求：单位负责人为同一人或者存在直接控股、管理关系的不同供应商不得参加同一合同项下的政府采购活动；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西安市人力资源和社会保障局信息中心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陕西省西安市雁塔区建工路28A号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武余余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029-82282994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陕西天财工程造价咨询有限公司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陕西省西安市雁塔区西安市雁塔区高新区唐兴路20号利君明天1号楼10205室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范美乐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029-88489884转8055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1、采购代理服务费：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下浮10%收取。 2、采购代理服务费账户： 公司名称：陕西天财工程造价咨询有限公司 账 号：611301134018010185364 开 户 行：交行西安高新区科技支行 3、采购代理服务费由成交供应商支付，成交供应商领取成交通知书时，须一次性向采购代理机构交纳采购代理服务费。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西安市人力资源和社会保障局信息中心</w:t>
      </w:r>
      <w:r>
        <w:rPr>
          <w:rFonts w:ascii="仿宋_GB2312" w:hAnsi="仿宋_GB2312" w:cs="仿宋_GB2312" w:eastAsia="仿宋_GB2312"/>
        </w:rPr>
        <w:t>和</w:t>
      </w:r>
      <w:r>
        <w:rPr>
          <w:rFonts w:ascii="仿宋_GB2312" w:hAnsi="仿宋_GB2312" w:cs="仿宋_GB2312" w:eastAsia="仿宋_GB2312"/>
        </w:rPr>
        <w:t>陕西天财工程造价咨询有限公司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西安市人力资源和社会保障局信息中心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陕西天财工程造价咨询有限公司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西安市人力资源和社会保障局信息中心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陕西天财工程造价咨询有限公司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陕西天财工程造价咨询有限公司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陕西天财工程造价咨询有限公司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陕西天财工程造价咨询有限公司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联系人：王璐</w:t>
      </w:r>
    </w:p>
    <w:p>
      <w:pPr>
        <w:pStyle w:val="null3"/>
      </w:pPr>
      <w:r>
        <w:rPr>
          <w:rFonts w:ascii="仿宋_GB2312" w:hAnsi="仿宋_GB2312" w:cs="仿宋_GB2312" w:eastAsia="仿宋_GB2312"/>
        </w:rPr>
        <w:t>联系电话：029-88489884转8108</w:t>
      </w:r>
    </w:p>
    <w:p>
      <w:pPr>
        <w:pStyle w:val="null3"/>
      </w:pPr>
      <w:r>
        <w:rPr>
          <w:rFonts w:ascii="仿宋_GB2312" w:hAnsi="仿宋_GB2312" w:cs="仿宋_GB2312" w:eastAsia="仿宋_GB2312"/>
        </w:rPr>
        <w:t>地址：西安市雁塔区丈八北路20号利君明天1号楼2层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为实现西安就业相关业务系统的稳定运行和快速响应，本项目提供年度软件维护服务，确保系统安全高效运转。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1,086,000.00</w:t>
      </w:r>
    </w:p>
    <w:p>
      <w:pPr>
        <w:pStyle w:val="null3"/>
      </w:pPr>
      <w:r>
        <w:rPr>
          <w:rFonts w:ascii="仿宋_GB2312" w:hAnsi="仿宋_GB2312" w:cs="仿宋_GB2312" w:eastAsia="仿宋_GB2312"/>
        </w:rPr>
        <w:t>采购包最高限价（元）: 1,086,000.00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就业应用软件维护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标的名称：就业应用软件维护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b/>
              </w:rPr>
              <w:t>1.</w:t>
            </w:r>
            <w:r>
              <w:rPr>
                <w:rFonts w:ascii="仿宋_GB2312" w:hAnsi="仿宋_GB2312" w:cs="仿宋_GB2312" w:eastAsia="仿宋_GB2312"/>
                <w:sz w:val="20"/>
                <w:b/>
              </w:rPr>
              <w:t>项目概况</w:t>
            </w:r>
            <w:r>
              <w:rPr>
                <w:rFonts w:ascii="仿宋_GB2312" w:hAnsi="仿宋_GB2312" w:cs="仿宋_GB2312" w:eastAsia="仿宋_GB2312"/>
                <w:sz w:val="20"/>
                <w:b/>
              </w:rPr>
              <w:t>和</w:t>
            </w:r>
            <w:r>
              <w:rPr>
                <w:rFonts w:ascii="仿宋_GB2312" w:hAnsi="仿宋_GB2312" w:cs="仿宋_GB2312" w:eastAsia="仿宋_GB2312"/>
                <w:sz w:val="20"/>
                <w:b/>
              </w:rPr>
              <w:t>建设目标</w:t>
            </w:r>
          </w:p>
          <w:p>
            <w:pPr>
              <w:pStyle w:val="null3"/>
              <w:ind w:firstLine="400"/>
              <w:jc w:val="both"/>
            </w:pPr>
            <w:r>
              <w:rPr>
                <w:rFonts w:ascii="仿宋_GB2312" w:hAnsi="仿宋_GB2312" w:cs="仿宋_GB2312" w:eastAsia="仿宋_GB2312"/>
                <w:sz w:val="20"/>
              </w:rPr>
              <w:t>为实现西安就业相关业务系统的稳定运行和快速响应，本项目提供年度软件维护服务，确保系统安全高效运转。</w:t>
            </w:r>
          </w:p>
          <w:p>
            <w:pPr>
              <w:pStyle w:val="null3"/>
              <w:ind w:firstLine="402"/>
              <w:jc w:val="both"/>
            </w:pPr>
            <w:r>
              <w:rPr>
                <w:rFonts w:ascii="仿宋_GB2312" w:hAnsi="仿宋_GB2312" w:cs="仿宋_GB2312" w:eastAsia="仿宋_GB2312"/>
                <w:sz w:val="20"/>
                <w:b/>
              </w:rPr>
              <w:t>2.</w:t>
            </w: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包括全市各级人社服务部门（市、区、街道、社区）使用的市级建设就业财务业务系统维护，涉及稳就业调度平台、就业数据分析监测、重点企业、人群就业创业精准帮扶、省市协同一体化平台、秦云就业区县特色服务、秦云就业进社区专题服务、秦云优服基层工作平台、秦云就业数字化就业驿站、西安市人社综合服务平台等相关应用服务方面的网办和经办服务，具体维护内容如下：</w:t>
            </w:r>
          </w:p>
          <w:p>
            <w:pPr>
              <w:pStyle w:val="null3"/>
              <w:ind w:firstLine="400"/>
              <w:jc w:val="both"/>
            </w:pPr>
            <w:r>
              <w:rPr>
                <w:rFonts w:ascii="仿宋_GB2312" w:hAnsi="仿宋_GB2312" w:cs="仿宋_GB2312" w:eastAsia="仿宋_GB2312"/>
                <w:sz w:val="20"/>
              </w:rPr>
              <w:t>1、稳就业调度与</w:t>
            </w:r>
            <w:r>
              <w:rPr>
                <w:rFonts w:ascii="仿宋_GB2312" w:hAnsi="仿宋_GB2312" w:cs="仿宋_GB2312" w:eastAsia="仿宋_GB2312"/>
                <w:sz w:val="20"/>
              </w:rPr>
              <w:t>就业数据分析监测。</w:t>
            </w:r>
            <w:r>
              <w:rPr>
                <w:rFonts w:ascii="仿宋_GB2312" w:hAnsi="仿宋_GB2312" w:cs="仿宋_GB2312" w:eastAsia="仿宋_GB2312"/>
                <w:sz w:val="20"/>
              </w:rPr>
              <w:t>维护稳就业数据展示和分析平台，依托省厅实名制动态就业数据，结合我市人社各业务数据，持续完善基于创业、就业、失业等业务数据的分析和展示平台，通过数据不同维度数据项目的分析，集中展示我市稳就业工作动态，精准掌握西安市就业形势；并在此基础上，通过对分析数据的进一步应用，满足全市稳就业各类工作的调度需求。</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重点企业、人群就业创业精准帮扶。</w:t>
            </w:r>
            <w:r>
              <w:rPr>
                <w:rFonts w:ascii="仿宋_GB2312" w:hAnsi="仿宋_GB2312" w:cs="仿宋_GB2312" w:eastAsia="仿宋_GB2312"/>
                <w:sz w:val="20"/>
              </w:rPr>
              <w:t>维护智慧帮扶管理平台，充分应用数据资源，通过挖掘数据价值，实现对帮扶对象事前、事中、事后有针对性的、精确的服务。维护创业孵化基地、返乡创业园、创业导师管理、大学生创业贷款业务管理系统。</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省市协同一体化平台。</w:t>
            </w:r>
            <w:r>
              <w:rPr>
                <w:rFonts w:ascii="仿宋_GB2312" w:hAnsi="仿宋_GB2312" w:cs="仿宋_GB2312" w:eastAsia="仿宋_GB2312"/>
                <w:sz w:val="20"/>
              </w:rPr>
              <w:t>维护省市就业业务系统，包括统一省市就业业务经办的用户体系、权限管理、系统导航、经办视图、统计分析等管理模式；省市就业业务系统功能应用，实现西安人社</w:t>
            </w:r>
            <w:r>
              <w:rPr>
                <w:rFonts w:ascii="仿宋_GB2312" w:hAnsi="仿宋_GB2312" w:cs="仿宋_GB2312" w:eastAsia="仿宋_GB2312"/>
                <w:sz w:val="20"/>
              </w:rPr>
              <w:t>人事人才、就业创业、劳动关系</w:t>
            </w:r>
            <w:r>
              <w:rPr>
                <w:rFonts w:ascii="仿宋_GB2312" w:hAnsi="仿宋_GB2312" w:cs="仿宋_GB2312" w:eastAsia="仿宋_GB2312"/>
                <w:sz w:val="20"/>
              </w:rPr>
              <w:t>等业务服务的</w:t>
            </w:r>
            <w:r>
              <w:rPr>
                <w:rFonts w:ascii="仿宋_GB2312" w:hAnsi="仿宋_GB2312" w:cs="仿宋_GB2312" w:eastAsia="仿宋_GB2312"/>
                <w:sz w:val="20"/>
              </w:rPr>
              <w:t>统一审核、统一经办；保障省市就业数据统一共享应用机制；整合就业公共服务体系。</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秦云就业区县特色服务。维护</w:t>
            </w:r>
            <w:r>
              <w:rPr>
                <w:rFonts w:ascii="仿宋_GB2312" w:hAnsi="仿宋_GB2312" w:cs="仿宋_GB2312" w:eastAsia="仿宋_GB2312"/>
                <w:sz w:val="20"/>
              </w:rPr>
              <w:t>陕西省人社厅秦云就业一站式综合服务平台</w:t>
            </w:r>
            <w:r>
              <w:rPr>
                <w:rFonts w:ascii="仿宋_GB2312" w:hAnsi="仿宋_GB2312" w:cs="仿宋_GB2312" w:eastAsia="仿宋_GB2312"/>
                <w:sz w:val="20"/>
              </w:rPr>
              <w:t>-西安市各区县分站，持续完善“家门口就业”特色服务事项，包括就业用人单位地图锚点完善、“家门口就业”精准推送服务、社区直通车、人社地图等功能，以及秦云就业西安市分站后台管理功能等。持续推进人社公共服务平台(网上办事大厅、APP、微信微官网、秦云就业等) 就业事项与省级公共服务平台事项融合。</w:t>
            </w:r>
          </w:p>
          <w:p>
            <w:pPr>
              <w:pStyle w:val="null3"/>
              <w:ind w:firstLine="400"/>
              <w:jc w:val="both"/>
            </w:pPr>
            <w:r>
              <w:rPr>
                <w:rFonts w:ascii="仿宋_GB2312" w:hAnsi="仿宋_GB2312" w:cs="仿宋_GB2312" w:eastAsia="仿宋_GB2312"/>
                <w:sz w:val="20"/>
              </w:rPr>
              <w:t>5、秦云就业进社区专题服务。维护秦云就业进社区专题服务，一是优化社区就业服务机制，通过推广社区活动码完善就业需求动态采集渠道，对接精准帮扶系统实施“131”帮扶并实现可视化分析；二是重点企业用工服务平台，完善规模以上工业企业用工专区；三是高校毕业生专区，为高校毕业生就业创业一站式服务，完善高层次人才专区，通过岗位匹配精准提供高层次人才就业引才服务；四是就业援助基地管理服务平台，实现援助基地企业的数字化管理。五是流动人员档案服务，实现流动人员线上申请办理调档函、人事档案接收与转出等服务。</w:t>
            </w:r>
          </w:p>
          <w:p>
            <w:pPr>
              <w:pStyle w:val="null3"/>
              <w:ind w:firstLine="400"/>
              <w:jc w:val="both"/>
            </w:pPr>
            <w:r>
              <w:rPr>
                <w:rFonts w:ascii="仿宋_GB2312" w:hAnsi="仿宋_GB2312" w:cs="仿宋_GB2312" w:eastAsia="仿宋_GB2312"/>
                <w:sz w:val="20"/>
              </w:rPr>
              <w:t>6、秦云优服基层工作平台。维护“秦云就业小程序”就业基层工作平台，一是完善移动端工作平台安全体系，做好设备认证及安全管理；二是完善基层人员实名认证体系，登录时采取人脸识别、短信验证等方式认证；三是完善基层组织架构管理与事项权限管理；四是完善平台操作日志管理，留存操作痕迹；五是实现就业相关业务通过基层工作平台延伸推广。</w:t>
            </w:r>
          </w:p>
          <w:p>
            <w:pPr>
              <w:pStyle w:val="null3"/>
              <w:ind w:firstLine="400"/>
              <w:jc w:val="both"/>
            </w:pPr>
            <w:r>
              <w:rPr>
                <w:rFonts w:ascii="仿宋_GB2312" w:hAnsi="仿宋_GB2312" w:cs="仿宋_GB2312" w:eastAsia="仿宋_GB2312"/>
                <w:sz w:val="20"/>
              </w:rPr>
              <w:t>7、秦云就业数字化就业驿站。维护家门口就业驿站数字化服务，包括数字化驿站管理系统、就业驿站智能终端系统、就业驿站运行监控分析体系。</w:t>
            </w:r>
          </w:p>
          <w:p>
            <w:pPr>
              <w:pStyle w:val="null3"/>
              <w:ind w:firstLine="400"/>
              <w:jc w:val="both"/>
            </w:pPr>
            <w:r>
              <w:rPr>
                <w:rFonts w:ascii="仿宋_GB2312" w:hAnsi="仿宋_GB2312" w:cs="仿宋_GB2312" w:eastAsia="仿宋_GB2312"/>
                <w:sz w:val="20"/>
              </w:rPr>
              <w:t>8、西安市人社综合服务平台。维护西安市人社综合服务平台，包含</w:t>
            </w:r>
            <w:r>
              <w:rPr>
                <w:rFonts w:ascii="仿宋_GB2312" w:hAnsi="仿宋_GB2312" w:cs="仿宋_GB2312" w:eastAsia="仿宋_GB2312"/>
                <w:sz w:val="20"/>
                <w:color w:val="000000"/>
              </w:rPr>
              <w:t>综合受理系统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事项管理系统</w:t>
            </w:r>
            <w:r>
              <w:rPr>
                <w:rFonts w:ascii="仿宋_GB2312" w:hAnsi="仿宋_GB2312" w:cs="仿宋_GB2312" w:eastAsia="仿宋_GB2312"/>
                <w:sz w:val="20"/>
                <w:color w:val="000000"/>
              </w:rPr>
              <w:t>、西安市政务服务中心人社分中心大厅业务实时监测</w:t>
            </w:r>
            <w:r>
              <w:rPr>
                <w:rFonts w:ascii="仿宋_GB2312" w:hAnsi="仿宋_GB2312" w:cs="仿宋_GB2312" w:eastAsia="仿宋_GB2312"/>
                <w:sz w:val="20"/>
                <w:color w:val="000000"/>
              </w:rPr>
              <w:t>，并</w:t>
            </w:r>
            <w:r>
              <w:rPr>
                <w:rFonts w:ascii="仿宋_GB2312" w:hAnsi="仿宋_GB2312" w:cs="仿宋_GB2312" w:eastAsia="仿宋_GB2312"/>
                <w:sz w:val="20"/>
                <w:color w:val="000000"/>
              </w:rPr>
              <w:t>与已有</w:t>
            </w:r>
            <w:r>
              <w:rPr>
                <w:rFonts w:ascii="仿宋_GB2312" w:hAnsi="仿宋_GB2312" w:cs="仿宋_GB2312" w:eastAsia="仿宋_GB2312"/>
                <w:sz w:val="20"/>
                <w:color w:val="000000"/>
              </w:rPr>
              <w:t>西安业务经办</w:t>
            </w:r>
            <w:r>
              <w:rPr>
                <w:rFonts w:ascii="仿宋_GB2312" w:hAnsi="仿宋_GB2312" w:cs="仿宋_GB2312" w:eastAsia="仿宋_GB2312"/>
                <w:sz w:val="20"/>
                <w:color w:val="000000"/>
              </w:rPr>
              <w:t>系统对接。</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color w:val="000000"/>
              </w:rPr>
              <w:t>技术要求</w:t>
            </w:r>
          </w:p>
          <w:p>
            <w:pPr>
              <w:pStyle w:val="null3"/>
              <w:ind w:firstLine="402"/>
              <w:jc w:val="both"/>
            </w:pPr>
            <w:r>
              <w:rPr>
                <w:rFonts w:ascii="仿宋_GB2312" w:hAnsi="仿宋_GB2312" w:cs="仿宋_GB2312" w:eastAsia="仿宋_GB2312"/>
                <w:sz w:val="20"/>
                <w:b/>
              </w:rPr>
              <w:t>3.1数据维护</w:t>
            </w:r>
          </w:p>
          <w:p>
            <w:pPr>
              <w:pStyle w:val="null3"/>
              <w:ind w:firstLine="400"/>
              <w:jc w:val="both"/>
            </w:pPr>
            <w:r>
              <w:rPr>
                <w:rFonts w:ascii="仿宋_GB2312" w:hAnsi="仿宋_GB2312" w:cs="仿宋_GB2312" w:eastAsia="仿宋_GB2312"/>
                <w:sz w:val="20"/>
              </w:rPr>
              <w:t>解决历史性的数据错误：例如原应用系统数据迁移所遗留的数据问题；解决因应用系统异常所导致的数据问题；解决因操作人员操作错误引起的数据问题；为业务或信息部门提供临时数据统计或</w:t>
            </w:r>
            <w:r>
              <w:rPr>
                <w:rFonts w:ascii="仿宋_GB2312" w:hAnsi="仿宋_GB2312" w:cs="仿宋_GB2312" w:eastAsia="仿宋_GB2312"/>
                <w:sz w:val="20"/>
              </w:rPr>
              <w:t>SQL编写；为业务或信息部门提供相关统计数据或明细数据。</w:t>
            </w:r>
          </w:p>
          <w:p>
            <w:pPr>
              <w:pStyle w:val="null3"/>
              <w:ind w:firstLine="402"/>
              <w:jc w:val="both"/>
            </w:pPr>
            <w:r>
              <w:rPr>
                <w:rFonts w:ascii="仿宋_GB2312" w:hAnsi="仿宋_GB2312" w:cs="仿宋_GB2312" w:eastAsia="仿宋_GB2312"/>
                <w:sz w:val="20"/>
                <w:b/>
              </w:rPr>
              <w:t>3.2应用系统程序性日常维护</w:t>
            </w:r>
          </w:p>
          <w:p>
            <w:pPr>
              <w:pStyle w:val="null3"/>
              <w:ind w:firstLine="400"/>
              <w:jc w:val="both"/>
            </w:pPr>
            <w:r>
              <w:rPr>
                <w:rFonts w:ascii="仿宋_GB2312" w:hAnsi="仿宋_GB2312" w:cs="仿宋_GB2312" w:eastAsia="仿宋_GB2312"/>
                <w:sz w:val="20"/>
              </w:rPr>
              <w:t>应用系统程序性日常维护主要是针对系统操作人员在日常业务办理中，遇到的通过业务系统无法解决或不知如何解决的问题，包括：</w:t>
            </w:r>
          </w:p>
          <w:p>
            <w:pPr>
              <w:pStyle w:val="null3"/>
              <w:ind w:firstLine="400"/>
              <w:jc w:val="both"/>
            </w:pPr>
            <w:r>
              <w:rPr>
                <w:rFonts w:ascii="仿宋_GB2312" w:hAnsi="仿宋_GB2312" w:cs="仿宋_GB2312" w:eastAsia="仿宋_GB2312"/>
                <w:sz w:val="20"/>
              </w:rPr>
              <w:t>纠错性维护：对应用软件缺陷（错误）的整改，在应用系统运行过程中，针对发现的应用软件缺陷（错误），对应用程序进行及时的修补，并通过软件系统升级和现场服务等方式对应用软件进行升级改造。</w:t>
            </w:r>
          </w:p>
          <w:p>
            <w:pPr>
              <w:pStyle w:val="null3"/>
              <w:ind w:firstLine="400"/>
              <w:jc w:val="both"/>
            </w:pPr>
            <w:r>
              <w:rPr>
                <w:rFonts w:ascii="仿宋_GB2312" w:hAnsi="仿宋_GB2312" w:cs="仿宋_GB2312" w:eastAsia="仿宋_GB2312"/>
                <w:sz w:val="20"/>
              </w:rPr>
              <w:t>适应性维护：是针对软件系统为适应外部环境的变化进行的系统修改，为适应经办人员使用方法的改变或为提高经办人员工作效率进行的程序适应性修改，</w:t>
            </w:r>
            <w:r>
              <w:rPr>
                <w:rFonts w:ascii="仿宋_GB2312" w:hAnsi="仿宋_GB2312" w:cs="仿宋_GB2312" w:eastAsia="仿宋_GB2312"/>
                <w:sz w:val="20"/>
              </w:rPr>
              <w:t>另外由于多种原因，需要增加对应用系统功能，</w:t>
            </w:r>
            <w:r>
              <w:rPr>
                <w:rFonts w:ascii="仿宋_GB2312" w:hAnsi="仿宋_GB2312" w:cs="仿宋_GB2312" w:eastAsia="仿宋_GB2312"/>
                <w:sz w:val="20"/>
              </w:rPr>
              <w:t>对已有的功能进行改善，或因为用户需要而增加的某些模块的事后打印，包括查询功能查询条件或查询结果不能满足用户要求等进行适应性维护。</w:t>
            </w:r>
          </w:p>
          <w:p>
            <w:pPr>
              <w:pStyle w:val="null3"/>
              <w:ind w:firstLine="402"/>
              <w:jc w:val="both"/>
            </w:pPr>
            <w:r>
              <w:rPr>
                <w:rFonts w:ascii="仿宋_GB2312" w:hAnsi="仿宋_GB2312" w:cs="仿宋_GB2312" w:eastAsia="仿宋_GB2312"/>
                <w:sz w:val="20"/>
                <w:b/>
              </w:rPr>
              <w:t>3.3政策咨询及业务经办咨询服务</w:t>
            </w:r>
          </w:p>
          <w:p>
            <w:pPr>
              <w:pStyle w:val="null3"/>
              <w:ind w:firstLine="400"/>
              <w:jc w:val="both"/>
            </w:pPr>
            <w:r>
              <w:rPr>
                <w:rFonts w:ascii="仿宋_GB2312" w:hAnsi="仿宋_GB2312" w:cs="仿宋_GB2312" w:eastAsia="仿宋_GB2312"/>
                <w:sz w:val="20"/>
              </w:rPr>
              <w:t>解决新政策出台后，业务人员对政策的理解与系统的功能不一致而提出的政策咨询；解决经办人员轮岗后对相关系统操作不熟悉的业务经办咨询。重点业务咨询服务：对于系统的重点的、复杂的业务办理及流程，配合用户进行分析，提出可行的整改意见。</w:t>
            </w:r>
          </w:p>
          <w:p>
            <w:pPr>
              <w:pStyle w:val="null3"/>
              <w:ind w:firstLine="402"/>
              <w:jc w:val="both"/>
            </w:pPr>
            <w:r>
              <w:rPr>
                <w:rFonts w:ascii="仿宋_GB2312" w:hAnsi="仿宋_GB2312" w:cs="仿宋_GB2312" w:eastAsia="仿宋_GB2312"/>
                <w:sz w:val="20"/>
                <w:b/>
              </w:rPr>
              <w:t>3.4应用系统业务培训</w:t>
            </w:r>
          </w:p>
          <w:p>
            <w:pPr>
              <w:pStyle w:val="null3"/>
              <w:ind w:firstLine="400"/>
              <w:jc w:val="both"/>
            </w:pPr>
            <w:r>
              <w:rPr>
                <w:rFonts w:ascii="仿宋_GB2312" w:hAnsi="仿宋_GB2312" w:cs="仿宋_GB2312" w:eastAsia="仿宋_GB2312"/>
                <w:sz w:val="20"/>
              </w:rPr>
              <w:t>针对用户需要，对经办人员进行集中的系统业务培训，培训频次不少于每季度</w:t>
            </w:r>
            <w:r>
              <w:rPr>
                <w:rFonts w:ascii="仿宋_GB2312" w:hAnsi="仿宋_GB2312" w:cs="仿宋_GB2312" w:eastAsia="仿宋_GB2312"/>
                <w:sz w:val="20"/>
              </w:rPr>
              <w:t>1次。</w:t>
            </w:r>
          </w:p>
          <w:p>
            <w:pPr>
              <w:pStyle w:val="null3"/>
              <w:ind w:firstLine="402"/>
              <w:jc w:val="both"/>
            </w:pPr>
            <w:r>
              <w:rPr>
                <w:rFonts w:ascii="仿宋_GB2312" w:hAnsi="仿宋_GB2312" w:cs="仿宋_GB2312" w:eastAsia="仿宋_GB2312"/>
                <w:sz w:val="20"/>
                <w:b/>
              </w:rPr>
              <w:t>3.5应用系统性能调优</w:t>
            </w:r>
          </w:p>
          <w:p>
            <w:pPr>
              <w:pStyle w:val="null3"/>
              <w:ind w:firstLine="400"/>
              <w:jc w:val="both"/>
            </w:pPr>
            <w:r>
              <w:rPr>
                <w:rFonts w:ascii="仿宋_GB2312" w:hAnsi="仿宋_GB2312" w:cs="仿宋_GB2312" w:eastAsia="仿宋_GB2312"/>
                <w:sz w:val="20"/>
              </w:rPr>
              <w:t>应用系统是直接面向最终用户的一层，设计、开发人员在建设业务系统的过程中必须全面考虑性能的优化，包括利用各种设计模式、高效编程实现，多进程技术的利用、高效算法的设计等。在业务的长期使用中，会发现程序中查询语句等不够优化的情况，需长期持续跟踪，并进行调优。</w:t>
            </w:r>
          </w:p>
          <w:p>
            <w:pPr>
              <w:pStyle w:val="null3"/>
              <w:ind w:firstLine="402"/>
              <w:jc w:val="both"/>
            </w:pPr>
            <w:r>
              <w:rPr>
                <w:rFonts w:ascii="仿宋_GB2312" w:hAnsi="仿宋_GB2312" w:cs="仿宋_GB2312" w:eastAsia="仿宋_GB2312"/>
                <w:sz w:val="20"/>
                <w:b/>
              </w:rPr>
              <w:t>3.6新增需求维护内容</w:t>
            </w:r>
          </w:p>
          <w:p>
            <w:pPr>
              <w:pStyle w:val="null3"/>
              <w:ind w:firstLine="400"/>
              <w:jc w:val="both"/>
            </w:pPr>
            <w:r>
              <w:rPr>
                <w:rFonts w:ascii="仿宋_GB2312" w:hAnsi="仿宋_GB2312" w:cs="仿宋_GB2312" w:eastAsia="仿宋_GB2312"/>
                <w:sz w:val="20"/>
              </w:rPr>
              <w:t>由于需求的变化，在保持原有系统整体框架不发生大的变化的前提下对应用系统进行相关完善性维护。当出台新的政策，系统已不能通过政策参数的调整来适应政策调整要求的时候，需对系统进行较大的改动。服务商在服务期内完成局信息中心审批通过的新政策或新需求的开发、测试、应用。</w:t>
            </w:r>
          </w:p>
          <w:p>
            <w:pPr>
              <w:pStyle w:val="null3"/>
              <w:ind w:firstLine="402"/>
              <w:jc w:val="both"/>
            </w:pPr>
            <w:r>
              <w:rPr>
                <w:rFonts w:ascii="仿宋_GB2312" w:hAnsi="仿宋_GB2312" w:cs="仿宋_GB2312" w:eastAsia="仿宋_GB2312"/>
                <w:sz w:val="20"/>
                <w:b/>
              </w:rPr>
              <w:t>3.7数据库平台及应用中间件协助维护内容</w:t>
            </w:r>
          </w:p>
          <w:p>
            <w:pPr>
              <w:pStyle w:val="null3"/>
              <w:ind w:firstLine="400"/>
              <w:jc w:val="both"/>
            </w:pPr>
            <w:r>
              <w:rPr>
                <w:rFonts w:ascii="仿宋_GB2312" w:hAnsi="仿宋_GB2312" w:cs="仿宋_GB2312" w:eastAsia="仿宋_GB2312"/>
                <w:sz w:val="20"/>
              </w:rPr>
              <w:t>针对西安市人社涉及的系统所使用的数据库平台和中间件提供数据支持。协助数据库服务商对应用环境中产生的严重故障进行分析，就该故障进行讨论，密切配合，及时找出问题原因并提供建议帮助避免故障的重复发生。对中间件运行情况进行日常监控，配置、性能检查调整、紧急处理等。</w:t>
            </w:r>
          </w:p>
          <w:p>
            <w:pPr>
              <w:pStyle w:val="null3"/>
              <w:ind w:firstLine="400"/>
              <w:jc w:val="both"/>
            </w:pPr>
            <w:r>
              <w:rPr>
                <w:rFonts w:ascii="仿宋_GB2312" w:hAnsi="仿宋_GB2312" w:cs="仿宋_GB2312" w:eastAsia="仿宋_GB2312"/>
                <w:sz w:val="20"/>
              </w:rPr>
              <w:t>基于应用服务软件、操作系统国产化要求，强化系统兼容性，支持主流国产操作系统、浏览器等。</w:t>
            </w:r>
          </w:p>
          <w:p>
            <w:pPr>
              <w:pStyle w:val="null3"/>
              <w:ind w:firstLine="402"/>
              <w:jc w:val="both"/>
            </w:pPr>
            <w:r>
              <w:rPr>
                <w:rFonts w:ascii="仿宋_GB2312" w:hAnsi="仿宋_GB2312" w:cs="仿宋_GB2312" w:eastAsia="仿宋_GB2312"/>
                <w:sz w:val="20"/>
                <w:b/>
              </w:rPr>
              <w:t>3.8安全排查及整改</w:t>
            </w:r>
          </w:p>
          <w:p>
            <w:pPr>
              <w:pStyle w:val="null3"/>
              <w:ind w:firstLine="400"/>
            </w:pPr>
            <w:r>
              <w:rPr>
                <w:rFonts w:ascii="仿宋_GB2312" w:hAnsi="仿宋_GB2312" w:cs="仿宋_GB2312" w:eastAsia="仿宋_GB2312"/>
                <w:sz w:val="20"/>
              </w:rPr>
              <w:t>在项目运维服务期间，运维服务单位应保证系统安全，定期进行安全排查及整改：一是实行标准化排查，遵循人社部技术支持商风险排查要求，形成标准化排查指南和排查流程；二是开展应用实操检查，针对每个系统特别是</w:t>
            </w:r>
            <w:r>
              <w:rPr>
                <w:rFonts w:ascii="仿宋_GB2312" w:hAnsi="仿宋_GB2312" w:cs="仿宋_GB2312" w:eastAsia="仿宋_GB2312"/>
                <w:sz w:val="20"/>
              </w:rPr>
              <w:t>H5页面，核查用户认证及权限管理，通过业务访谈与实际操作梳理核心业务流程、查找风险点；三是在软件安全专家指导下进行代码审计，通过静态分析结合人工审查，主动识别潜在的编程错误、设计缺陷、输入验证不足、未加密敏感数据存储、未授权访问控制漏洞等问题，排查逻辑层面安全隐患，确保应用程序具备足够的健壮性和安全性；四是部署网络流量分析，重点排查未经授权的网络连接、内部数据泄露和数据脱敏的情况，排查应用系统是否存在异常流量情况；五是建立交叉验证机制，多技术小组独立排查后比对结果；六是汇总分析全量数据问题、风险评估结果，确定优先级最高的安全隐患和亟待解决的安全问题，为整改提供科学依据。</w:t>
            </w:r>
          </w:p>
          <w:p>
            <w:pPr>
              <w:pStyle w:val="null3"/>
              <w:ind w:firstLine="400"/>
            </w:pPr>
            <w:r>
              <w:rPr>
                <w:rFonts w:ascii="仿宋_GB2312" w:hAnsi="仿宋_GB2312" w:cs="仿宋_GB2312" w:eastAsia="仿宋_GB2312"/>
                <w:sz w:val="20"/>
                <w:b/>
              </w:rPr>
              <w:t>4.质量、安全及</w:t>
            </w:r>
            <w:r>
              <w:rPr>
                <w:rFonts w:ascii="仿宋_GB2312" w:hAnsi="仿宋_GB2312" w:cs="仿宋_GB2312" w:eastAsia="仿宋_GB2312"/>
                <w:sz w:val="20"/>
                <w:b/>
              </w:rPr>
              <w:t>管理要求</w:t>
            </w:r>
          </w:p>
          <w:p>
            <w:pPr>
              <w:pStyle w:val="null3"/>
              <w:ind w:firstLine="402"/>
            </w:pPr>
            <w:r>
              <w:rPr>
                <w:rFonts w:ascii="仿宋_GB2312" w:hAnsi="仿宋_GB2312" w:cs="仿宋_GB2312" w:eastAsia="仿宋_GB2312"/>
                <w:sz w:val="20"/>
                <w:b/>
              </w:rPr>
              <w:t>4.1</w:t>
            </w:r>
            <w:r>
              <w:rPr>
                <w:rFonts w:ascii="仿宋_GB2312" w:hAnsi="仿宋_GB2312" w:cs="仿宋_GB2312" w:eastAsia="仿宋_GB2312"/>
                <w:sz w:val="20"/>
                <w:b/>
              </w:rPr>
              <w:t>质量、安全要求</w:t>
            </w:r>
          </w:p>
          <w:p>
            <w:pPr>
              <w:pStyle w:val="null3"/>
              <w:ind w:firstLine="400"/>
              <w:jc w:val="both"/>
            </w:pPr>
            <w:r>
              <w:rPr>
                <w:rFonts w:ascii="仿宋_GB2312" w:hAnsi="仿宋_GB2312" w:cs="仿宋_GB2312" w:eastAsia="仿宋_GB2312"/>
                <w:sz w:val="20"/>
              </w:rPr>
              <w:t>运维服务期内，运维人员能够及时</w:t>
            </w:r>
            <w:r>
              <w:rPr>
                <w:rFonts w:ascii="仿宋_GB2312" w:hAnsi="仿宋_GB2312" w:cs="仿宋_GB2312" w:eastAsia="仿宋_GB2312"/>
                <w:sz w:val="20"/>
              </w:rPr>
              <w:t>7×24小时响应和处理故障发生；业务服务故障分类：</w:t>
            </w:r>
          </w:p>
          <w:p>
            <w:pPr>
              <w:pStyle w:val="null3"/>
              <w:ind w:firstLine="400"/>
              <w:jc w:val="both"/>
            </w:pPr>
            <w:r>
              <w:rPr>
                <w:rFonts w:ascii="仿宋_GB2312" w:hAnsi="仿宋_GB2312" w:cs="仿宋_GB2312" w:eastAsia="仿宋_GB2312"/>
                <w:sz w:val="20"/>
              </w:rPr>
              <w:t>一级故障：业务中断</w:t>
            </w:r>
            <w:r>
              <w:rPr>
                <w:rFonts w:ascii="仿宋_GB2312" w:hAnsi="仿宋_GB2312" w:cs="仿宋_GB2312" w:eastAsia="仿宋_GB2312"/>
                <w:sz w:val="20"/>
              </w:rPr>
              <w:t>8小时以上</w:t>
            </w:r>
          </w:p>
          <w:p>
            <w:pPr>
              <w:pStyle w:val="null3"/>
              <w:ind w:firstLine="400"/>
              <w:jc w:val="both"/>
            </w:pPr>
            <w:r>
              <w:rPr>
                <w:rFonts w:ascii="仿宋_GB2312" w:hAnsi="仿宋_GB2312" w:cs="仿宋_GB2312" w:eastAsia="仿宋_GB2312"/>
                <w:sz w:val="20"/>
              </w:rPr>
              <w:t>二级故障：业务中断</w:t>
            </w:r>
            <w:r>
              <w:rPr>
                <w:rFonts w:ascii="仿宋_GB2312" w:hAnsi="仿宋_GB2312" w:cs="仿宋_GB2312" w:eastAsia="仿宋_GB2312"/>
                <w:sz w:val="20"/>
              </w:rPr>
              <w:t>2—8小时</w:t>
            </w:r>
          </w:p>
          <w:p>
            <w:pPr>
              <w:pStyle w:val="null3"/>
              <w:ind w:firstLine="400"/>
              <w:jc w:val="both"/>
            </w:pPr>
            <w:r>
              <w:rPr>
                <w:rFonts w:ascii="仿宋_GB2312" w:hAnsi="仿宋_GB2312" w:cs="仿宋_GB2312" w:eastAsia="仿宋_GB2312"/>
                <w:sz w:val="20"/>
              </w:rPr>
              <w:t>三级故障：业务中断</w:t>
            </w:r>
            <w:r>
              <w:rPr>
                <w:rFonts w:ascii="仿宋_GB2312" w:hAnsi="仿宋_GB2312" w:cs="仿宋_GB2312" w:eastAsia="仿宋_GB2312"/>
                <w:sz w:val="20"/>
              </w:rPr>
              <w:t>1—2小时，业务核心功能无法使用</w:t>
            </w:r>
          </w:p>
          <w:p>
            <w:pPr>
              <w:pStyle w:val="null3"/>
              <w:ind w:firstLine="400"/>
              <w:jc w:val="both"/>
            </w:pPr>
            <w:r>
              <w:rPr>
                <w:rFonts w:ascii="仿宋_GB2312" w:hAnsi="仿宋_GB2312" w:cs="仿宋_GB2312" w:eastAsia="仿宋_GB2312"/>
                <w:sz w:val="20"/>
              </w:rPr>
              <w:t>四级故障：业务中断</w:t>
            </w:r>
            <w:r>
              <w:rPr>
                <w:rFonts w:ascii="仿宋_GB2312" w:hAnsi="仿宋_GB2312" w:cs="仿宋_GB2312" w:eastAsia="仿宋_GB2312"/>
                <w:sz w:val="20"/>
              </w:rPr>
              <w:t>1小时以下，业务核心功能受影响</w:t>
            </w:r>
          </w:p>
          <w:p>
            <w:pPr>
              <w:pStyle w:val="null3"/>
              <w:ind w:firstLine="400"/>
              <w:jc w:val="both"/>
            </w:pPr>
            <w:r>
              <w:rPr>
                <w:rFonts w:ascii="仿宋_GB2312" w:hAnsi="仿宋_GB2312" w:cs="仿宋_GB2312" w:eastAsia="仿宋_GB2312"/>
                <w:sz w:val="20"/>
              </w:rPr>
              <w:t>五级故障：业务中断</w:t>
            </w:r>
            <w:r>
              <w:rPr>
                <w:rFonts w:ascii="仿宋_GB2312" w:hAnsi="仿宋_GB2312" w:cs="仿宋_GB2312" w:eastAsia="仿宋_GB2312"/>
                <w:sz w:val="20"/>
              </w:rPr>
              <w:t>1小时以下，业务次要功能受影响</w:t>
            </w:r>
          </w:p>
          <w:p>
            <w:pPr>
              <w:pStyle w:val="null3"/>
              <w:ind w:firstLine="400"/>
              <w:jc w:val="both"/>
            </w:pPr>
            <w:r>
              <w:rPr>
                <w:rFonts w:ascii="仿宋_GB2312" w:hAnsi="仿宋_GB2312" w:cs="仿宋_GB2312" w:eastAsia="仿宋_GB2312"/>
                <w:sz w:val="20"/>
              </w:rPr>
              <w:t>处理要求：</w:t>
            </w:r>
          </w:p>
          <w:p>
            <w:pPr>
              <w:pStyle w:val="null3"/>
              <w:ind w:firstLine="400"/>
              <w:jc w:val="both"/>
            </w:pPr>
            <w:r>
              <w:rPr>
                <w:rFonts w:ascii="仿宋_GB2312" w:hAnsi="仿宋_GB2312" w:cs="仿宋_GB2312" w:eastAsia="仿宋_GB2312"/>
                <w:sz w:val="20"/>
              </w:rPr>
              <w:t>1、所有故障须在第一时间响应（30分钟），包括故障的通知，处理，善后等事宜；</w:t>
            </w:r>
          </w:p>
          <w:p>
            <w:pPr>
              <w:pStyle w:val="null3"/>
              <w:ind w:firstLine="400"/>
              <w:jc w:val="both"/>
            </w:pPr>
            <w:r>
              <w:rPr>
                <w:rFonts w:ascii="仿宋_GB2312" w:hAnsi="仿宋_GB2312" w:cs="仿宋_GB2312" w:eastAsia="仿宋_GB2312"/>
                <w:sz w:val="20"/>
              </w:rPr>
              <w:t>2、在最快时间内处理故障，并积极配合其他相关人员的完成故障处理工作；技术问题积极寻求解决办法和资源支持；</w:t>
            </w:r>
          </w:p>
          <w:p>
            <w:pPr>
              <w:pStyle w:val="null3"/>
              <w:ind w:firstLine="400"/>
            </w:pPr>
            <w:r>
              <w:rPr>
                <w:rFonts w:ascii="仿宋_GB2312" w:hAnsi="仿宋_GB2312" w:cs="仿宋_GB2312" w:eastAsia="仿宋_GB2312"/>
                <w:sz w:val="20"/>
              </w:rPr>
              <w:t>3、保障系统在最短时间内完全恢复正常运作，故障影响降到最低。</w:t>
            </w:r>
          </w:p>
          <w:p>
            <w:pPr>
              <w:pStyle w:val="null3"/>
              <w:ind w:firstLine="402"/>
            </w:pPr>
            <w:r>
              <w:rPr>
                <w:rFonts w:ascii="仿宋_GB2312" w:hAnsi="仿宋_GB2312" w:cs="仿宋_GB2312" w:eastAsia="仿宋_GB2312"/>
                <w:sz w:val="20"/>
                <w:b/>
              </w:rPr>
              <w:t>4.</w:t>
            </w:r>
            <w:r>
              <w:rPr>
                <w:rFonts w:ascii="仿宋_GB2312" w:hAnsi="仿宋_GB2312" w:cs="仿宋_GB2312" w:eastAsia="仿宋_GB2312"/>
                <w:sz w:val="20"/>
                <w:b/>
              </w:rPr>
              <w:t>2</w:t>
            </w:r>
            <w:r>
              <w:rPr>
                <w:rFonts w:ascii="仿宋_GB2312" w:hAnsi="仿宋_GB2312" w:cs="仿宋_GB2312" w:eastAsia="仿宋_GB2312"/>
                <w:sz w:val="20"/>
                <w:b/>
              </w:rPr>
              <w:t>保密要求</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须签订保密协议</w:t>
            </w:r>
            <w:r>
              <w:rPr>
                <w:rFonts w:ascii="仿宋_GB2312" w:hAnsi="仿宋_GB2312" w:cs="仿宋_GB2312" w:eastAsia="仿宋_GB2312"/>
                <w:sz w:val="20"/>
              </w:rPr>
              <w:t>，</w:t>
            </w:r>
            <w:r>
              <w:rPr>
                <w:rFonts w:ascii="仿宋_GB2312" w:hAnsi="仿宋_GB2312" w:cs="仿宋_GB2312" w:eastAsia="仿宋_GB2312"/>
                <w:sz w:val="20"/>
              </w:rPr>
              <w:t>对其因身份、职务、职业或技术关系而知悉的采购人商业秘密和党政机关保密信息应严格保守</w:t>
            </w:r>
            <w:r>
              <w:rPr>
                <w:rFonts w:ascii="仿宋_GB2312" w:hAnsi="仿宋_GB2312" w:cs="仿宋_GB2312" w:eastAsia="仿宋_GB2312"/>
                <w:sz w:val="20"/>
              </w:rPr>
              <w:t>，</w:t>
            </w:r>
            <w:r>
              <w:rPr>
                <w:rFonts w:ascii="仿宋_GB2312" w:hAnsi="仿宋_GB2312" w:cs="仿宋_GB2312" w:eastAsia="仿宋_GB2312"/>
                <w:sz w:val="20"/>
              </w:rPr>
              <w:t>保证不被披露或使用</w:t>
            </w:r>
            <w:r>
              <w:rPr>
                <w:rFonts w:ascii="仿宋_GB2312" w:hAnsi="仿宋_GB2312" w:cs="仿宋_GB2312" w:eastAsia="仿宋_GB2312"/>
                <w:sz w:val="20"/>
              </w:rPr>
              <w:t>，</w:t>
            </w:r>
            <w:r>
              <w:rPr>
                <w:rFonts w:ascii="仿宋_GB2312" w:hAnsi="仿宋_GB2312" w:cs="仿宋_GB2312" w:eastAsia="仿宋_GB2312"/>
                <w:sz w:val="20"/>
              </w:rPr>
              <w:t>包括意外或过失。</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在从事政府项目时</w:t>
            </w:r>
            <w:r>
              <w:rPr>
                <w:rFonts w:ascii="仿宋_GB2312" w:hAnsi="仿宋_GB2312" w:cs="仿宋_GB2312" w:eastAsia="仿宋_GB2312"/>
                <w:sz w:val="20"/>
              </w:rPr>
              <w:t>，</w:t>
            </w:r>
            <w:r>
              <w:rPr>
                <w:rFonts w:ascii="仿宋_GB2312" w:hAnsi="仿宋_GB2312" w:cs="仿宋_GB2312" w:eastAsia="仿宋_GB2312"/>
                <w:sz w:val="20"/>
              </w:rPr>
              <w:t>不得擅自记录、复制、拍摄、摘抄、收藏在工作中涉及的保密信息</w:t>
            </w:r>
            <w:r>
              <w:rPr>
                <w:rFonts w:ascii="仿宋_GB2312" w:hAnsi="仿宋_GB2312" w:cs="仿宋_GB2312" w:eastAsia="仿宋_GB2312"/>
                <w:sz w:val="20"/>
              </w:rPr>
              <w:t>，</w:t>
            </w:r>
            <w:r>
              <w:rPr>
                <w:rFonts w:ascii="仿宋_GB2312" w:hAnsi="仿宋_GB2312" w:cs="仿宋_GB2312" w:eastAsia="仿宋_GB2312"/>
                <w:sz w:val="20"/>
              </w:rPr>
              <w:t>严禁将涉及政府项目的任何资料、数据透露或以其他方式提供给项目以外的其他方或内部与该项目无关的任何人员。</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对于工作期间知悉采购人的商业秘密和党政机关保密信息（包括业务信息在内）或工作过程中接触到的政府机关文件（包括内部发文、各类通知及会议记录等）的内容</w:t>
            </w:r>
            <w:r>
              <w:rPr>
                <w:rFonts w:ascii="仿宋_GB2312" w:hAnsi="仿宋_GB2312" w:cs="仿宋_GB2312" w:eastAsia="仿宋_GB2312"/>
                <w:sz w:val="20"/>
              </w:rPr>
              <w:t>，</w:t>
            </w:r>
            <w:r>
              <w:rPr>
                <w:rFonts w:ascii="仿宋_GB2312" w:hAnsi="仿宋_GB2312" w:cs="仿宋_GB2312" w:eastAsia="仿宋_GB2312"/>
                <w:sz w:val="20"/>
              </w:rPr>
              <w:t>同样承担保密责任</w:t>
            </w:r>
            <w:r>
              <w:rPr>
                <w:rFonts w:ascii="仿宋_GB2312" w:hAnsi="仿宋_GB2312" w:cs="仿宋_GB2312" w:eastAsia="仿宋_GB2312"/>
                <w:sz w:val="20"/>
              </w:rPr>
              <w:t>，</w:t>
            </w:r>
            <w:r>
              <w:rPr>
                <w:rFonts w:ascii="仿宋_GB2312" w:hAnsi="仿宋_GB2312" w:cs="仿宋_GB2312" w:eastAsia="仿宋_GB2312"/>
                <w:sz w:val="20"/>
              </w:rPr>
              <w:t>严禁将政府机关内部会议、谈话内容泄露给无关人员；不得翻阅与工作无关的文件和资料。</w:t>
            </w:r>
          </w:p>
          <w:p>
            <w:pPr>
              <w:pStyle w:val="null3"/>
              <w:ind w:firstLine="400"/>
            </w:pPr>
            <w:r>
              <w:rPr>
                <w:rFonts w:ascii="仿宋_GB2312" w:hAnsi="仿宋_GB2312" w:cs="仿宋_GB2312" w:eastAsia="仿宋_GB2312"/>
                <w:sz w:val="20"/>
              </w:rPr>
              <w:t>4、</w:t>
            </w:r>
            <w:r>
              <w:rPr>
                <w:rFonts w:ascii="仿宋_GB2312" w:hAnsi="仿宋_GB2312" w:cs="仿宋_GB2312" w:eastAsia="仿宋_GB2312"/>
                <w:sz w:val="20"/>
              </w:rPr>
              <w:t>严禁泄露在工作中接触到的政府机关科技研究、发明、装备器材及其技术资料和政府工作信息。</w:t>
            </w:r>
          </w:p>
          <w:p>
            <w:pPr>
              <w:pStyle w:val="null3"/>
              <w:ind w:firstLine="400"/>
            </w:pPr>
            <w:r>
              <w:rPr>
                <w:rFonts w:ascii="仿宋_GB2312" w:hAnsi="仿宋_GB2312" w:cs="仿宋_GB2312" w:eastAsia="仿宋_GB2312"/>
                <w:sz w:val="20"/>
                <w:b/>
              </w:rPr>
              <w:t>5.</w:t>
            </w:r>
            <w:r>
              <w:rPr>
                <w:rFonts w:ascii="仿宋_GB2312" w:hAnsi="仿宋_GB2312" w:cs="仿宋_GB2312" w:eastAsia="仿宋_GB2312"/>
                <w:sz w:val="20"/>
                <w:b/>
              </w:rPr>
              <w:t>商务要求</w:t>
            </w:r>
          </w:p>
          <w:p>
            <w:pPr>
              <w:pStyle w:val="null3"/>
              <w:ind w:firstLine="402"/>
              <w:jc w:val="both"/>
            </w:pPr>
            <w:r>
              <w:rPr>
                <w:rFonts w:ascii="仿宋_GB2312" w:hAnsi="仿宋_GB2312" w:cs="仿宋_GB2312" w:eastAsia="仿宋_GB2312"/>
                <w:sz w:val="20"/>
                <w:b/>
              </w:rPr>
              <w:t>5.1履行合同的时间</w:t>
            </w:r>
          </w:p>
          <w:p>
            <w:pPr>
              <w:pStyle w:val="null3"/>
              <w:ind w:firstLine="400"/>
              <w:jc w:val="both"/>
            </w:pPr>
            <w:r>
              <w:rPr>
                <w:rFonts w:ascii="仿宋_GB2312" w:hAnsi="仿宋_GB2312" w:cs="仿宋_GB2312" w:eastAsia="仿宋_GB2312"/>
                <w:sz w:val="20"/>
              </w:rPr>
              <w:t>运维内容自合同签订之日起生效，运维期</w:t>
            </w:r>
            <w:r>
              <w:rPr>
                <w:rFonts w:ascii="仿宋_GB2312" w:hAnsi="仿宋_GB2312" w:cs="仿宋_GB2312" w:eastAsia="仿宋_GB2312"/>
                <w:sz w:val="20"/>
              </w:rPr>
              <w:t>1年。</w:t>
            </w:r>
          </w:p>
          <w:p>
            <w:pPr>
              <w:pStyle w:val="null3"/>
              <w:ind w:firstLine="402"/>
              <w:jc w:val="both"/>
            </w:pPr>
            <w:r>
              <w:rPr>
                <w:rFonts w:ascii="仿宋_GB2312" w:hAnsi="仿宋_GB2312" w:cs="仿宋_GB2312" w:eastAsia="仿宋_GB2312"/>
                <w:sz w:val="20"/>
                <w:b/>
              </w:rPr>
              <w:t>5.2地点及方式</w:t>
            </w:r>
          </w:p>
          <w:p>
            <w:pPr>
              <w:pStyle w:val="null3"/>
              <w:ind w:firstLine="400"/>
              <w:jc w:val="both"/>
            </w:pPr>
            <w:r>
              <w:rPr>
                <w:rFonts w:ascii="仿宋_GB2312" w:hAnsi="仿宋_GB2312" w:cs="仿宋_GB2312" w:eastAsia="仿宋_GB2312"/>
                <w:sz w:val="20"/>
              </w:rPr>
              <w:t>西安市内采购方指定地点，驻场服务（采购方提供办公场地）</w:t>
            </w:r>
          </w:p>
          <w:p>
            <w:pPr>
              <w:pStyle w:val="null3"/>
              <w:ind w:firstLine="402"/>
              <w:jc w:val="both"/>
            </w:pPr>
            <w:r>
              <w:rPr>
                <w:rFonts w:ascii="仿宋_GB2312" w:hAnsi="仿宋_GB2312" w:cs="仿宋_GB2312" w:eastAsia="仿宋_GB2312"/>
                <w:sz w:val="20"/>
                <w:b/>
              </w:rPr>
              <w:t>5.3其他</w:t>
            </w:r>
          </w:p>
          <w:p>
            <w:pPr>
              <w:pStyle w:val="null3"/>
              <w:ind w:firstLine="400"/>
              <w:jc w:val="left"/>
            </w:pPr>
            <w:r>
              <w:rPr>
                <w:rFonts w:ascii="仿宋_GB2312" w:hAnsi="仿宋_GB2312" w:cs="仿宋_GB2312" w:eastAsia="仿宋_GB2312"/>
                <w:sz w:val="20"/>
              </w:rPr>
              <w:t>成交供应商应派驻不少于</w:t>
            </w:r>
            <w:r>
              <w:rPr>
                <w:rFonts w:ascii="仿宋_GB2312" w:hAnsi="仿宋_GB2312" w:cs="仿宋_GB2312" w:eastAsia="仿宋_GB2312"/>
                <w:sz w:val="20"/>
              </w:rPr>
              <w:t>7名工程师提供驻场服务。</w:t>
            </w:r>
          </w:p>
          <w:p>
            <w:pPr>
              <w:pStyle w:val="null3"/>
              <w:ind w:firstLine="402"/>
              <w:jc w:val="left"/>
            </w:pPr>
            <w:r>
              <w:rPr>
                <w:rFonts w:ascii="仿宋_GB2312" w:hAnsi="仿宋_GB2312" w:cs="仿宋_GB2312" w:eastAsia="仿宋_GB2312"/>
                <w:sz w:val="20"/>
                <w:b/>
              </w:rPr>
              <w:t>6.</w:t>
            </w:r>
            <w:r>
              <w:rPr>
                <w:rFonts w:ascii="仿宋_GB2312" w:hAnsi="仿宋_GB2312" w:cs="仿宋_GB2312" w:eastAsia="仿宋_GB2312"/>
                <w:sz w:val="20"/>
                <w:b/>
              </w:rPr>
              <w:t>验收标准</w:t>
            </w:r>
          </w:p>
          <w:p>
            <w:pPr>
              <w:pStyle w:val="null3"/>
              <w:ind w:firstLine="400"/>
              <w:jc w:val="both"/>
            </w:pPr>
            <w:r>
              <w:rPr>
                <w:rFonts w:ascii="仿宋_GB2312" w:hAnsi="仿宋_GB2312" w:cs="仿宋_GB2312" w:eastAsia="仿宋_GB2312"/>
                <w:sz w:val="20"/>
              </w:rPr>
              <w:t>1、服务专业性：参照GB/T 25000.51和GB/T 16260.1-2006、《西安市信息化项目管理办法（暂行）》（市政办发〔2024〕2号）、《西安市信息化项目验收实施细则（试行）》（市数发〔2025〕12号）、等级保护三级有关要求执行，按照合同要求完成服务内容，验收资料齐全、合理；</w:t>
            </w:r>
          </w:p>
          <w:p>
            <w:pPr>
              <w:pStyle w:val="null3"/>
              <w:ind w:firstLine="400"/>
              <w:jc w:val="both"/>
            </w:pPr>
            <w:r>
              <w:rPr>
                <w:rFonts w:ascii="仿宋_GB2312" w:hAnsi="仿宋_GB2312" w:cs="仿宋_GB2312" w:eastAsia="仿宋_GB2312"/>
                <w:sz w:val="20"/>
              </w:rPr>
              <w:t>2、响应及时性：遵守合同约定的服务响应要求；</w:t>
            </w:r>
          </w:p>
          <w:p>
            <w:pPr>
              <w:pStyle w:val="null3"/>
              <w:jc w:val="both"/>
            </w:pPr>
            <w:r>
              <w:rPr>
                <w:rFonts w:ascii="仿宋_GB2312" w:hAnsi="仿宋_GB2312" w:cs="仿宋_GB2312" w:eastAsia="仿宋_GB2312"/>
                <w:sz w:val="20"/>
              </w:rPr>
              <w:t>3、安全性：发生运维故障恢复时间满足合同要求。</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供应商人员配置应满足磋商文件技术、服务、商务要求，满足采购需求。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供应商设施设备应满足磋商文件技术、服务、商务要求，满足采购需求。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运维内容自合同签订之日起生效，运维期1年。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西安市内采购方指定地点，驻场服务（采购方提供办公场地）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1、服务专业性：参照GB/T 25000.51和GB/T 16260.1-2006、《西安市信息化项目管理办法（暂行）》（市政办发〔2024〕2号）、《西安市信息化项目验收实施细则（试行）》（市数发〔2025〕12号）、等级保护三级有关要求执行，按照合同要求完成服务内容，验收资料齐全、合理； 2、响应及时性：遵守合同约定的服务响应要求； 3、安全性：发生运维故障恢复时间满足合同要求。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1、供应商需要在线提交所有通过电子化交易平台实施的政府采购项目的响应文件，同时，线下提交纸质响应文件正本壹份、副本叁份、电子版壹份（U盘壹份：PDF版本）。 2、纸质响应文件正本、副本、电子版，标明供应商名称分开密封递交。 3、线下纸质文件递交截止时间：同在线递交电子响应文件截止时间一致；线下纸质文件递交地点：陕西省西安市雁塔区丈八北路20号利君明天1号楼 2 层陕西天财工程造价咨询有限公司。如需邮寄响应文件，仅接受顺丰速运（联系人：范美乐、联系电话：029-88489884转8055）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提供经审计的完整的2023或2024年度财务报告（成立时间至竞争性磋商响应文件递交截止时间不足一年的可提供成立后的资产负债表）或竞争性磋商响应文件递交截止时间前六个月内其开户银行出具的资信证明。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承诺声明</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磋商的，须出具法定代表人身份证明书及身份证；法定代表人授权代表参加磋商的，须出具法定代表人授权委托书、授权代表身份证及2025年1月至今在本单位缴纳的至少1个月的社会保障资金缴存单据或社保机构开具的社会保险参保缴费情况证明；（社保证明在评标现场资格审查阶段扫码查验，若查询结果不符合要求，按无效磋商处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信用记录将在竞争性磋商响应文件递交截止日当天资格审查阶段通过【信用中国】和【中国政府采购网】网站对供应商的信用情况进行查询，若查询结果不符合要求，按无效磋商处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1、磋商响应文件的签署、加盖印章是否合格 、有效 2、磋商报价是否符合唯一性要求，是否超过最高限价</w:t>
            </w:r>
          </w:p>
        </w:tc>
        <w:tc>
          <w:tcPr>
            <w:tcW w:type="dxa" w:w="1661"/>
          </w:tcPr>
          <w:p>
            <w:pPr>
              <w:pStyle w:val="null3"/>
            </w:pPr>
            <w:r>
              <w:rPr>
                <w:rFonts w:ascii="仿宋_GB2312" w:hAnsi="仿宋_GB2312" w:cs="仿宋_GB2312" w:eastAsia="仿宋_GB2312"/>
              </w:rPr>
              <w:t>响应文件封面 响应方案说明.docx 服务内容及服务邀请应答表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1、磋商响应文件是否有重大缺项 2、磋商响应文件是否按照磋商文件要求的格式编写</w:t>
            </w:r>
          </w:p>
        </w:tc>
        <w:tc>
          <w:tcPr>
            <w:tcW w:type="dxa" w:w="1661"/>
          </w:tcPr>
          <w:p>
            <w:pPr>
              <w:pStyle w:val="null3"/>
            </w:pPr>
            <w:r>
              <w:rPr>
                <w:rFonts w:ascii="仿宋_GB2312" w:hAnsi="仿宋_GB2312" w:cs="仿宋_GB2312" w:eastAsia="仿宋_GB2312"/>
              </w:rPr>
              <w:t>响应文件封面 响应方案说明.docx 服务内容及服务邀请应答表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1、是否完整响应磋商文件采购需求，未有负偏离且响应的内容未含有采购人不能接受的附加条件 2、磋商有效期是否满足磋商文件中的规定</w:t>
            </w:r>
          </w:p>
        </w:tc>
        <w:tc>
          <w:tcPr>
            <w:tcW w:type="dxa" w:w="1661"/>
          </w:tcPr>
          <w:p>
            <w:pPr>
              <w:pStyle w:val="null3"/>
            </w:pPr>
            <w:r>
              <w:rPr>
                <w:rFonts w:ascii="仿宋_GB2312" w:hAnsi="仿宋_GB2312" w:cs="仿宋_GB2312" w:eastAsia="仿宋_GB2312"/>
              </w:rPr>
              <w:t>响应文件封面 响应方案说明.docx 服务内容及服务邀请应答表 供应商应提交的相关资格证明材料.docx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1.供应商具有有效的ISO/IEC27017、ISO/IEC27001、ISO/IEC20000证书(提供加盖供应商原色公章的扫描件或复印件)，每提供一个得1分，满分3分。 2.供应商具有运行维护标准符合性证书(ITSS证书)得2分。(提供加盖供应商原色公章的扫描件或复印件) 3.供应商具有CCRC信息安全服务资质认证（认证范围需包含安全运维、软件安全开发、安全集成），得3分。(提供加盖供应商原色公章的扫描件或复印件) 4.供应商具有公共就业、系统安全、开发运维等与本项目相关的软件著作权证书，每提供1个得1分，本项最高得4分。 (提供加盖供应商原色公章的扫描件或复印件)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1、供应商拟派项目负责人具有信息系统项目管理师（高级）证书的，得3分。 （提供人员证书及2025年1月至今在本单位缴纳的至少1个月的社保证明。(加盖供应商原色公章的扫描件或复印件)） 2、供应商拟派本项目技术负责人具有系统架构设计师（高级）证书的，得3分。 （提供人员证书及2025年1月至今在本单位缴纳的至少1个月的社保证明。(加盖供应商原色公章的扫描件或复印件)） 3、项目团队配置合理，能满足本项目建设需要，且项目团队人员（不包括项目负责人及技术负责人）具有系统集成项目管理工程师（中级）证书、软件设计师（中级）证书、数据库系统工程师（中级）证书，每提供一项得1分，最高得6分。（提供人员证书及2025年1月至今在本单位缴纳的至少1个月的社保证明(加盖供应商原色公章的扫描件或复印件)，同一人员拥有多个证书的不重复计算。）</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提供2022年1月至今的类似项目业绩，以磋商响应文件中附有的合同文件为依据(提供加盖供应商原色公章的完整合同扫描件或复印件，合同以签订时间为准)，每提供一个得2分，满分8分。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项目理解及需求分析</w:t>
            </w:r>
          </w:p>
        </w:tc>
        <w:tc>
          <w:tcPr>
            <w:tcW w:type="dxa" w:w="2492"/>
          </w:tcPr>
          <w:p>
            <w:pPr>
              <w:pStyle w:val="null3"/>
            </w:pPr>
            <w:r>
              <w:rPr>
                <w:rFonts w:ascii="仿宋_GB2312" w:hAnsi="仿宋_GB2312" w:cs="仿宋_GB2312" w:eastAsia="仿宋_GB2312"/>
              </w:rPr>
              <w:t>根据投标人对①现有业务系统的结构、功能以及②用户需求的认识及理解是否精准，进行赋分。每提供一项内容，最高得5分，在此基础上每有一处瑕疵或理解不准确扣0.3分，扣完为止。满分10分，不提供不得分。 （本项所称“瑕疵”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针对用户现有的系统提供有效、可行的业务连续性运维服务方案,包括①数据维护、②应用系统程序性日常维护、③政策咨询及业务经办咨询服务、④应用系统业务培训、⑤应用系统性能调优、⑥新增需求维护内容、⑦数据库平台及应用中间件协助维护内容、⑧安全排查及整改等服务需求，每提供一项内容满足采购文件需求，最高得1分，在此基础上每有一处瑕疵扣0.3分，扣完为止。满分8分，不提供不得分。 （本项所称“瑕疵”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结合供应商的业务特点与实际情况，提出针对本项目的①安全设计②安全保障方案，每提供一项，最高得4分，在此基础上每有一处瑕疵扣0.3分，扣完为止。满分8分，不提供不得分。 （本项所称“瑕疵”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结合供应商的业务特点与实际情况，提出针对本项目的①故障处置应对方案、②应急响应应对方案，每提供一项，最高得4分，在此基础上每有一处瑕疵扣0.3分，扣完为止。满分8分，不提供不得分。 （本项所称“瑕疵”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项目实施保障</w:t>
            </w:r>
          </w:p>
        </w:tc>
        <w:tc>
          <w:tcPr>
            <w:tcW w:type="dxa" w:w="2492"/>
          </w:tcPr>
          <w:p>
            <w:pPr>
              <w:pStyle w:val="null3"/>
            </w:pPr>
            <w:r>
              <w:rPr>
                <w:rFonts w:ascii="仿宋_GB2312" w:hAnsi="仿宋_GB2312" w:cs="仿宋_GB2312" w:eastAsia="仿宋_GB2312"/>
              </w:rPr>
              <w:t>供应商提供①规范的项目实施管理方案、②规范的质量控制方案，具有版本管理、需求管理、在线编译、知识库管理、代码评审等项目管理支撑体系（须提供系统功能截图）。依据供应商提供的方案及证明材料进行赋分，每个方案最高得4分。满分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供应商提供①项目实施过程中的所有资料的管理方案、②保密措施方案，全面确保数据及相关信息不泄密，每提供一项，最高得3分，在此基础上每有一处瑕疵扣0.3分，扣完为止。满分6分，不提供不得分。 （本项所称“瑕疵”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供应商根据采购需求提供①售后服务流程②售后服务内容③响应时间④驻场人员配置⑤售后服务保障措施，每提供一项，最高得1分，在此基础上每有一处瑕疵扣0.3分，扣完为止。满分5分，不提供不得分。 （本项所称“瑕疵”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供应商根据采购需求提供项目培训方案，制定详细的培训课程计划，确保使用人员能够独立熟练操作、维护和正常使用。本项最高得5分，每有一处瑕疵扣0.3分，扣完为止，不提供不得分。 （本项所称“瑕疵”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2.满足磋商文件实质性要求且最后报价最低的为磋商基准价，其价格分为满分10分。 3.磋商报价得分=(磋商基准价/最后磋商报价)×10%×100的公式计算得分。 对符合要求的小型和微型企业、残疾人企业、监狱企业价格给予10%的扣除，用扣除后的价格参与评审。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