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3E753">
      <w:pPr>
        <w:jc w:val="center"/>
        <w:rPr>
          <w:rFonts w:hint="eastAsia" w:ascii="宋体" w:hAnsi="宋体" w:eastAsia="宋体" w:cs="宋体"/>
          <w:b/>
          <w:bCs/>
          <w:spacing w:val="0"/>
          <w:sz w:val="44"/>
          <w:szCs w:val="44"/>
        </w:rPr>
      </w:pPr>
    </w:p>
    <w:p w14:paraId="049A23BB">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b/>
          <w:bCs/>
          <w:spacing w:val="0"/>
          <w:sz w:val="44"/>
          <w:szCs w:val="44"/>
        </w:rPr>
      </w:pPr>
    </w:p>
    <w:p w14:paraId="5EDCCFE3">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b/>
          <w:bCs/>
          <w:spacing w:val="0"/>
          <w:sz w:val="44"/>
          <w:szCs w:val="44"/>
          <w:lang w:eastAsia="zh-CN"/>
        </w:rPr>
      </w:pPr>
      <w:r>
        <w:rPr>
          <w:rFonts w:hint="eastAsia" w:ascii="宋体" w:hAnsi="宋体" w:eastAsia="宋体" w:cs="宋体"/>
          <w:b/>
          <w:bCs/>
          <w:spacing w:val="0"/>
          <w:sz w:val="44"/>
          <w:szCs w:val="44"/>
          <w:lang w:eastAsia="zh-CN"/>
        </w:rPr>
        <w:t>西安市公安局交通管理支队</w:t>
      </w:r>
    </w:p>
    <w:p w14:paraId="26BA4310">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b/>
          <w:bCs/>
          <w:spacing w:val="0"/>
          <w:sz w:val="44"/>
          <w:szCs w:val="44"/>
          <w:lang w:eastAsia="zh-CN"/>
        </w:rPr>
      </w:pPr>
      <w:r>
        <w:rPr>
          <w:rFonts w:hint="eastAsia" w:ascii="宋体" w:hAnsi="宋体" w:cs="宋体"/>
          <w:b/>
          <w:bCs/>
          <w:spacing w:val="0"/>
          <w:sz w:val="44"/>
          <w:szCs w:val="44"/>
          <w:lang w:eastAsia="zh-CN"/>
        </w:rPr>
        <w:t>2025年机动车号牌制作费项目</w:t>
      </w:r>
    </w:p>
    <w:p w14:paraId="66A74582">
      <w:pPr>
        <w:pStyle w:val="2"/>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spacing w:val="0"/>
        </w:rPr>
      </w:pPr>
    </w:p>
    <w:p w14:paraId="182B26F0">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spacing w:val="0"/>
          <w:sz w:val="24"/>
          <w:szCs w:val="20"/>
        </w:rPr>
      </w:pPr>
    </w:p>
    <w:p w14:paraId="0F1F2561">
      <w:pPr>
        <w:pStyle w:val="2"/>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spacing w:val="0"/>
        </w:rPr>
      </w:pPr>
    </w:p>
    <w:p w14:paraId="01F0415E">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spacing w:val="0"/>
          <w:sz w:val="24"/>
          <w:szCs w:val="20"/>
        </w:rPr>
      </w:pPr>
    </w:p>
    <w:p w14:paraId="4079206B">
      <w:pPr>
        <w:keepNext w:val="0"/>
        <w:keepLines w:val="0"/>
        <w:pageBreakBefore w:val="0"/>
        <w:widowControl w:val="0"/>
        <w:kinsoku/>
        <w:wordWrap/>
        <w:overflowPunct/>
        <w:topLinePunct w:val="0"/>
        <w:autoSpaceDE/>
        <w:autoSpaceDN/>
        <w:bidi w:val="0"/>
        <w:adjustRightInd w:val="0"/>
        <w:snapToGrid/>
        <w:spacing w:before="120" w:line="360" w:lineRule="auto"/>
        <w:jc w:val="center"/>
        <w:textAlignment w:val="auto"/>
        <w:rPr>
          <w:rFonts w:hint="eastAsia" w:ascii="宋体" w:hAnsi="宋体" w:eastAsia="宋体" w:cs="宋体"/>
          <w:b/>
          <w:bCs/>
          <w:spacing w:val="0"/>
          <w:sz w:val="36"/>
          <w:szCs w:val="36"/>
        </w:rPr>
      </w:pPr>
      <w:r>
        <w:rPr>
          <w:rFonts w:hint="eastAsia" w:ascii="宋体" w:hAnsi="宋体" w:eastAsia="宋体" w:cs="宋体"/>
          <w:b/>
          <w:bCs/>
          <w:spacing w:val="0"/>
          <w:sz w:val="36"/>
          <w:szCs w:val="36"/>
        </w:rPr>
        <w:t>政府采购合同</w:t>
      </w:r>
    </w:p>
    <w:p w14:paraId="2BAB07BB">
      <w:pPr>
        <w:keepNext w:val="0"/>
        <w:keepLines w:val="0"/>
        <w:pageBreakBefore w:val="0"/>
        <w:widowControl w:val="0"/>
        <w:kinsoku/>
        <w:wordWrap/>
        <w:overflowPunct/>
        <w:topLinePunct w:val="0"/>
        <w:autoSpaceDE/>
        <w:autoSpaceDN/>
        <w:bidi w:val="0"/>
        <w:adjustRightInd w:val="0"/>
        <w:snapToGrid/>
        <w:spacing w:before="120" w:line="360" w:lineRule="auto"/>
        <w:jc w:val="center"/>
        <w:textAlignment w:val="auto"/>
        <w:rPr>
          <w:rFonts w:hint="eastAsia" w:ascii="宋体" w:hAnsi="宋体" w:eastAsia="宋体" w:cs="宋体"/>
          <w:spacing w:val="0"/>
          <w:sz w:val="28"/>
          <w:szCs w:val="28"/>
          <w:lang w:val="en-US" w:eastAsia="zh-CN"/>
        </w:rPr>
      </w:pPr>
      <w:bookmarkStart w:id="0" w:name="_Toc109542396"/>
      <w:bookmarkStart w:id="1" w:name="_Toc109543216"/>
      <w:r>
        <w:rPr>
          <w:rFonts w:hint="eastAsia" w:ascii="宋体" w:hAnsi="宋体" w:eastAsia="宋体" w:cs="宋体"/>
          <w:b/>
          <w:bCs/>
          <w:spacing w:val="0"/>
          <w:sz w:val="28"/>
          <w:szCs w:val="28"/>
        </w:rPr>
        <w:t>合同编号：</w:t>
      </w:r>
      <w:bookmarkEnd w:id="0"/>
      <w:bookmarkEnd w:id="1"/>
      <w:r>
        <w:rPr>
          <w:rFonts w:hint="eastAsia" w:ascii="宋体" w:hAnsi="宋体" w:eastAsia="宋体" w:cs="宋体"/>
          <w:b/>
          <w:bCs/>
          <w:spacing w:val="0"/>
          <w:sz w:val="28"/>
          <w:szCs w:val="28"/>
          <w:lang w:val="en-US" w:eastAsia="zh-CN"/>
        </w:rPr>
        <w:t>xxx</w:t>
      </w:r>
    </w:p>
    <w:p w14:paraId="4A611553">
      <w:pPr>
        <w:spacing w:before="120" w:line="360" w:lineRule="auto"/>
        <w:rPr>
          <w:rFonts w:hint="eastAsia" w:ascii="宋体" w:hAnsi="宋体" w:eastAsia="宋体" w:cs="宋体"/>
          <w:b/>
          <w:bCs/>
          <w:spacing w:val="0"/>
          <w:sz w:val="28"/>
          <w:szCs w:val="28"/>
          <w:lang w:eastAsia="zh-CN"/>
        </w:rPr>
      </w:pPr>
    </w:p>
    <w:p w14:paraId="44DFD0F0">
      <w:pPr>
        <w:spacing w:before="120" w:line="360" w:lineRule="auto"/>
        <w:rPr>
          <w:rFonts w:hint="eastAsia" w:ascii="宋体" w:hAnsi="宋体" w:eastAsia="宋体" w:cs="宋体"/>
          <w:spacing w:val="0"/>
          <w:sz w:val="24"/>
          <w:szCs w:val="20"/>
          <w:lang w:eastAsia="zh-CN"/>
        </w:rPr>
      </w:pPr>
    </w:p>
    <w:p w14:paraId="289E0DAB">
      <w:pPr>
        <w:rPr>
          <w:rFonts w:hint="eastAsia" w:ascii="宋体" w:hAnsi="宋体" w:eastAsia="宋体" w:cs="宋体"/>
          <w:spacing w:val="0"/>
          <w:sz w:val="24"/>
          <w:szCs w:val="20"/>
        </w:rPr>
      </w:pPr>
    </w:p>
    <w:p w14:paraId="5F57179E">
      <w:pPr>
        <w:pStyle w:val="3"/>
        <w:rPr>
          <w:rFonts w:hint="eastAsia" w:ascii="宋体" w:hAnsi="宋体" w:eastAsia="宋体" w:cs="宋体"/>
          <w:spacing w:val="0"/>
        </w:rPr>
      </w:pPr>
    </w:p>
    <w:p w14:paraId="5F2EE6AC">
      <w:pPr>
        <w:jc w:val="center"/>
        <w:rPr>
          <w:rFonts w:hint="eastAsia" w:ascii="宋体" w:hAnsi="宋体" w:eastAsia="宋体" w:cs="宋体"/>
          <w:b/>
          <w:spacing w:val="0"/>
          <w:sz w:val="24"/>
          <w:szCs w:val="20"/>
        </w:rPr>
      </w:pPr>
    </w:p>
    <w:p w14:paraId="2445A02C">
      <w:pPr>
        <w:ind w:left="0" w:leftChars="0" w:firstLine="1687" w:firstLineChars="600"/>
        <w:rPr>
          <w:rFonts w:hint="eastAsia" w:ascii="宋体" w:hAnsi="宋体" w:eastAsia="宋体" w:cs="宋体"/>
          <w:b/>
          <w:spacing w:val="0"/>
          <w:sz w:val="28"/>
          <w:szCs w:val="28"/>
        </w:rPr>
      </w:pPr>
    </w:p>
    <w:p w14:paraId="2B488380">
      <w:pPr>
        <w:ind w:left="0" w:leftChars="0" w:firstLine="1687" w:firstLineChars="600"/>
        <w:rPr>
          <w:rFonts w:hint="eastAsia" w:ascii="宋体" w:hAnsi="宋体" w:eastAsia="宋体" w:cs="宋体"/>
          <w:b/>
          <w:spacing w:val="0"/>
          <w:sz w:val="28"/>
          <w:szCs w:val="28"/>
        </w:rPr>
      </w:pPr>
    </w:p>
    <w:p w14:paraId="2A9B384E">
      <w:pPr>
        <w:ind w:left="0" w:leftChars="0" w:firstLine="1687" w:firstLineChars="600"/>
        <w:rPr>
          <w:rFonts w:hint="eastAsia" w:ascii="宋体" w:hAnsi="宋体" w:eastAsia="宋体" w:cs="宋体"/>
          <w:b/>
          <w:spacing w:val="0"/>
          <w:sz w:val="28"/>
          <w:szCs w:val="28"/>
        </w:rPr>
      </w:pPr>
    </w:p>
    <w:p w14:paraId="5384F098">
      <w:pPr>
        <w:keepNext w:val="0"/>
        <w:keepLines w:val="0"/>
        <w:pageBreakBefore w:val="0"/>
        <w:widowControl w:val="0"/>
        <w:kinsoku/>
        <w:wordWrap/>
        <w:overflowPunct/>
        <w:topLinePunct w:val="0"/>
        <w:autoSpaceDE/>
        <w:autoSpaceDN/>
        <w:bidi w:val="0"/>
        <w:adjustRightInd/>
        <w:snapToGrid w:val="0"/>
        <w:ind w:left="0" w:leftChars="0" w:firstLine="1687" w:firstLineChars="600"/>
        <w:textAlignment w:val="auto"/>
        <w:rPr>
          <w:rFonts w:hint="eastAsia" w:ascii="宋体" w:hAnsi="宋体" w:eastAsia="宋体" w:cs="宋体"/>
          <w:b/>
          <w:spacing w:val="0"/>
          <w:sz w:val="28"/>
          <w:szCs w:val="28"/>
        </w:rPr>
      </w:pPr>
    </w:p>
    <w:p w14:paraId="3F002373">
      <w:pPr>
        <w:keepNext w:val="0"/>
        <w:keepLines w:val="0"/>
        <w:pageBreakBefore w:val="0"/>
        <w:widowControl w:val="0"/>
        <w:kinsoku/>
        <w:wordWrap/>
        <w:overflowPunct/>
        <w:topLinePunct w:val="0"/>
        <w:autoSpaceDE/>
        <w:autoSpaceDN/>
        <w:bidi w:val="0"/>
        <w:adjustRightInd/>
        <w:snapToGrid w:val="0"/>
        <w:ind w:left="0" w:leftChars="0" w:firstLine="1687" w:firstLineChars="600"/>
        <w:textAlignment w:val="auto"/>
        <w:rPr>
          <w:rFonts w:hint="eastAsia" w:ascii="宋体" w:hAnsi="宋体" w:eastAsia="宋体" w:cs="宋体"/>
          <w:b/>
          <w:spacing w:val="0"/>
          <w:sz w:val="28"/>
          <w:szCs w:val="28"/>
          <w:lang w:eastAsia="zh-CN"/>
        </w:rPr>
      </w:pPr>
      <w:r>
        <w:rPr>
          <w:rFonts w:hint="eastAsia" w:ascii="宋体" w:hAnsi="宋体" w:eastAsia="宋体" w:cs="宋体"/>
          <w:b/>
          <w:spacing w:val="0"/>
          <w:sz w:val="28"/>
          <w:szCs w:val="28"/>
        </w:rPr>
        <w:t>甲方：</w:t>
      </w:r>
      <w:r>
        <w:rPr>
          <w:rFonts w:hint="eastAsia" w:ascii="宋体" w:hAnsi="宋体" w:eastAsia="宋体" w:cs="宋体"/>
          <w:b/>
          <w:spacing w:val="0"/>
          <w:sz w:val="28"/>
          <w:szCs w:val="28"/>
          <w:lang w:eastAsia="zh-CN"/>
        </w:rPr>
        <w:t>西安市公安局交通管理支队</w:t>
      </w:r>
    </w:p>
    <w:p w14:paraId="38B46860">
      <w:pPr>
        <w:keepNext w:val="0"/>
        <w:keepLines w:val="0"/>
        <w:pageBreakBefore w:val="0"/>
        <w:widowControl w:val="0"/>
        <w:kinsoku/>
        <w:wordWrap/>
        <w:overflowPunct/>
        <w:topLinePunct w:val="0"/>
        <w:autoSpaceDE/>
        <w:autoSpaceDN/>
        <w:bidi w:val="0"/>
        <w:adjustRightInd/>
        <w:snapToGrid w:val="0"/>
        <w:ind w:left="0" w:leftChars="0" w:firstLine="1687" w:firstLineChars="600"/>
        <w:textAlignment w:val="auto"/>
        <w:rPr>
          <w:rFonts w:hint="eastAsia" w:ascii="宋体" w:hAnsi="宋体" w:eastAsia="宋体" w:cs="宋体"/>
          <w:b/>
          <w:spacing w:val="0"/>
          <w:sz w:val="28"/>
          <w:szCs w:val="28"/>
        </w:rPr>
      </w:pPr>
    </w:p>
    <w:p w14:paraId="71EDF382">
      <w:pPr>
        <w:keepNext w:val="0"/>
        <w:keepLines w:val="0"/>
        <w:pageBreakBefore w:val="0"/>
        <w:widowControl w:val="0"/>
        <w:kinsoku/>
        <w:wordWrap/>
        <w:overflowPunct/>
        <w:topLinePunct w:val="0"/>
        <w:autoSpaceDE/>
        <w:autoSpaceDN/>
        <w:bidi w:val="0"/>
        <w:adjustRightInd/>
        <w:snapToGrid w:val="0"/>
        <w:ind w:left="0" w:leftChars="0" w:firstLine="1687" w:firstLineChars="600"/>
        <w:textAlignment w:val="auto"/>
        <w:rPr>
          <w:rFonts w:hint="eastAsia" w:ascii="宋体" w:hAnsi="宋体" w:eastAsia="宋体" w:cs="宋体"/>
          <w:b/>
          <w:spacing w:val="0"/>
          <w:sz w:val="28"/>
          <w:szCs w:val="28"/>
        </w:rPr>
      </w:pPr>
      <w:r>
        <w:rPr>
          <w:rFonts w:hint="eastAsia" w:ascii="宋体" w:hAnsi="宋体" w:eastAsia="宋体" w:cs="宋体"/>
          <w:b/>
          <w:spacing w:val="0"/>
          <w:sz w:val="28"/>
          <w:szCs w:val="28"/>
        </w:rPr>
        <w:t>乙方：</w:t>
      </w:r>
    </w:p>
    <w:p w14:paraId="7A0CA9F2">
      <w:pPr>
        <w:keepNext w:val="0"/>
        <w:keepLines w:val="0"/>
        <w:pageBreakBefore w:val="0"/>
        <w:widowControl w:val="0"/>
        <w:kinsoku/>
        <w:wordWrap/>
        <w:overflowPunct/>
        <w:topLinePunct w:val="0"/>
        <w:autoSpaceDE/>
        <w:autoSpaceDN/>
        <w:bidi w:val="0"/>
        <w:adjustRightInd/>
        <w:snapToGrid w:val="0"/>
        <w:ind w:left="0" w:leftChars="0" w:firstLine="1687" w:firstLineChars="600"/>
        <w:textAlignment w:val="auto"/>
        <w:rPr>
          <w:rFonts w:hint="eastAsia" w:ascii="宋体" w:hAnsi="宋体" w:eastAsia="宋体" w:cs="宋体"/>
          <w:b/>
          <w:spacing w:val="0"/>
          <w:sz w:val="28"/>
          <w:szCs w:val="28"/>
        </w:rPr>
      </w:pPr>
    </w:p>
    <w:p w14:paraId="303F455A">
      <w:pPr>
        <w:keepNext w:val="0"/>
        <w:keepLines w:val="0"/>
        <w:pageBreakBefore w:val="0"/>
        <w:widowControl w:val="0"/>
        <w:kinsoku/>
        <w:wordWrap/>
        <w:overflowPunct/>
        <w:topLinePunct w:val="0"/>
        <w:autoSpaceDE/>
        <w:autoSpaceDN/>
        <w:bidi w:val="0"/>
        <w:adjustRightInd/>
        <w:snapToGrid w:val="0"/>
        <w:ind w:left="0" w:leftChars="0" w:firstLine="1687" w:firstLineChars="600"/>
        <w:textAlignment w:val="auto"/>
        <w:rPr>
          <w:rFonts w:hint="default" w:ascii="宋体" w:hAnsi="宋体" w:eastAsia="宋体" w:cs="宋体"/>
          <w:b/>
          <w:spacing w:val="0"/>
          <w:sz w:val="28"/>
          <w:szCs w:val="20"/>
          <w:lang w:val="en-US" w:eastAsia="zh-CN"/>
        </w:rPr>
      </w:pPr>
      <w:r>
        <w:rPr>
          <w:rFonts w:hint="eastAsia" w:ascii="宋体" w:hAnsi="宋体" w:cs="宋体"/>
          <w:b/>
          <w:spacing w:val="0"/>
          <w:sz w:val="28"/>
          <w:szCs w:val="20"/>
          <w:lang w:val="en-US" w:eastAsia="zh-CN"/>
        </w:rPr>
        <w:t>见证方：陕西华茂建设监理咨询有限公司</w:t>
      </w:r>
    </w:p>
    <w:p w14:paraId="6CF4F567">
      <w:pPr>
        <w:keepNext w:val="0"/>
        <w:keepLines w:val="0"/>
        <w:pageBreakBefore w:val="0"/>
        <w:widowControl w:val="0"/>
        <w:kinsoku/>
        <w:wordWrap/>
        <w:overflowPunct/>
        <w:topLinePunct w:val="0"/>
        <w:autoSpaceDE/>
        <w:autoSpaceDN/>
        <w:bidi w:val="0"/>
        <w:adjustRightInd/>
        <w:snapToGrid w:val="0"/>
        <w:ind w:left="0" w:leftChars="0" w:firstLine="1687" w:firstLineChars="600"/>
        <w:textAlignment w:val="auto"/>
        <w:rPr>
          <w:rFonts w:hint="eastAsia" w:ascii="宋体" w:hAnsi="宋体" w:eastAsia="宋体" w:cs="宋体"/>
          <w:b/>
          <w:spacing w:val="0"/>
          <w:sz w:val="28"/>
          <w:szCs w:val="20"/>
        </w:rPr>
      </w:pPr>
    </w:p>
    <w:p w14:paraId="139DC526">
      <w:pPr>
        <w:keepNext w:val="0"/>
        <w:keepLines w:val="0"/>
        <w:pageBreakBefore w:val="0"/>
        <w:widowControl w:val="0"/>
        <w:kinsoku/>
        <w:wordWrap/>
        <w:overflowPunct/>
        <w:topLinePunct w:val="0"/>
        <w:autoSpaceDE/>
        <w:autoSpaceDN/>
        <w:bidi w:val="0"/>
        <w:adjustRightInd/>
        <w:snapToGrid w:val="0"/>
        <w:ind w:left="0" w:leftChars="0" w:firstLine="1687" w:firstLineChars="600"/>
        <w:textAlignment w:val="auto"/>
        <w:rPr>
          <w:rFonts w:hint="eastAsia" w:ascii="宋体" w:hAnsi="宋体" w:eastAsia="宋体" w:cs="宋体"/>
          <w:b/>
          <w:spacing w:val="0"/>
          <w:sz w:val="28"/>
          <w:szCs w:val="20"/>
        </w:rPr>
      </w:pPr>
      <w:r>
        <w:rPr>
          <w:rFonts w:hint="eastAsia" w:ascii="宋体" w:hAnsi="宋体" w:eastAsia="宋体" w:cs="宋体"/>
          <w:b/>
          <w:spacing w:val="0"/>
          <w:sz w:val="28"/>
          <w:szCs w:val="20"/>
        </w:rPr>
        <w:t>签订时间：二零二</w:t>
      </w:r>
      <w:r>
        <w:rPr>
          <w:rFonts w:hint="eastAsia" w:ascii="宋体" w:hAnsi="宋体" w:eastAsia="宋体" w:cs="宋体"/>
          <w:b/>
          <w:spacing w:val="0"/>
          <w:sz w:val="28"/>
          <w:szCs w:val="20"/>
          <w:lang w:val="en-US" w:eastAsia="zh-CN"/>
        </w:rPr>
        <w:t>五</w:t>
      </w:r>
      <w:r>
        <w:rPr>
          <w:rFonts w:hint="eastAsia" w:ascii="宋体" w:hAnsi="宋体" w:eastAsia="宋体" w:cs="宋体"/>
          <w:b/>
          <w:spacing w:val="0"/>
          <w:sz w:val="28"/>
          <w:szCs w:val="20"/>
        </w:rPr>
        <w:t>年X月X日</w:t>
      </w:r>
    </w:p>
    <w:p w14:paraId="2DA3DD0D">
      <w:pPr>
        <w:spacing w:line="480" w:lineRule="exact"/>
        <w:ind w:firstLine="480" w:firstLineChars="200"/>
        <w:rPr>
          <w:rFonts w:hint="eastAsia" w:ascii="宋体" w:hAnsi="宋体" w:eastAsia="宋体" w:cs="宋体"/>
          <w:bCs/>
          <w:spacing w:val="0"/>
          <w:sz w:val="24"/>
          <w:szCs w:val="20"/>
        </w:rPr>
      </w:pPr>
    </w:p>
    <w:p w14:paraId="13F02489">
      <w:pPr>
        <w:rPr>
          <w:rFonts w:hint="eastAsia" w:ascii="宋体" w:hAnsi="宋体" w:eastAsia="宋体" w:cs="宋体"/>
          <w:bCs/>
          <w:spacing w:val="0"/>
          <w:sz w:val="24"/>
        </w:rPr>
      </w:pPr>
    </w:p>
    <w:p w14:paraId="4E74FCB4">
      <w:pPr>
        <w:rPr>
          <w:rFonts w:hint="eastAsia" w:ascii="宋体" w:hAnsi="宋体" w:eastAsia="宋体" w:cs="宋体"/>
          <w:bCs/>
          <w:spacing w:val="0"/>
          <w:sz w:val="24"/>
          <w:szCs w:val="20"/>
        </w:rPr>
      </w:pPr>
    </w:p>
    <w:p w14:paraId="5CA4A04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pacing w:val="0"/>
          <w:sz w:val="24"/>
          <w:szCs w:val="24"/>
        </w:rPr>
      </w:pPr>
      <w:r>
        <w:rPr>
          <w:rFonts w:hint="eastAsia" w:ascii="宋体" w:hAnsi="宋体" w:eastAsia="宋体" w:cs="宋体"/>
          <w:bCs/>
          <w:spacing w:val="0"/>
          <w:sz w:val="24"/>
          <w:szCs w:val="20"/>
        </w:rPr>
        <w:br w:type="page"/>
      </w:r>
      <w:r>
        <w:rPr>
          <w:rFonts w:hint="eastAsia" w:ascii="宋体" w:hAnsi="宋体" w:eastAsia="宋体" w:cs="宋体"/>
          <w:bCs/>
          <w:spacing w:val="0"/>
          <w:sz w:val="24"/>
          <w:szCs w:val="24"/>
        </w:rPr>
        <w:t>依据《中华人民共和国民法典》、《中华人民共和国政府采购法》与项目行业有关的法律法规，甲、乙双方同意签订本合同。详细技术说明及其他有关合同项目的特定信息由合同附件予以说明，合同、附件及原有《</w:t>
      </w:r>
      <w:r>
        <w:rPr>
          <w:rFonts w:hint="eastAsia" w:ascii="宋体" w:hAnsi="宋体" w:eastAsia="宋体" w:cs="宋体"/>
          <w:spacing w:val="0"/>
          <w:sz w:val="24"/>
          <w:szCs w:val="24"/>
        </w:rPr>
        <w:t>采购文件</w:t>
      </w:r>
      <w:r>
        <w:rPr>
          <w:rFonts w:hint="eastAsia" w:ascii="宋体" w:hAnsi="宋体" w:eastAsia="宋体" w:cs="宋体"/>
          <w:bCs/>
          <w:spacing w:val="0"/>
          <w:sz w:val="24"/>
          <w:szCs w:val="24"/>
        </w:rPr>
        <w:t>》、《响应文件》、《成交通知书》等均为本合同的组成部分：</w:t>
      </w:r>
    </w:p>
    <w:p w14:paraId="3C9EFC1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甲方（采购人）：</w:t>
      </w:r>
      <w:r>
        <w:rPr>
          <w:rFonts w:hint="eastAsia" w:ascii="宋体" w:hAnsi="宋体" w:eastAsia="宋体" w:cs="宋体"/>
          <w:spacing w:val="0"/>
          <w:sz w:val="24"/>
          <w:szCs w:val="24"/>
          <w:u w:val="single"/>
          <w:lang w:eastAsia="zh-CN"/>
        </w:rPr>
        <w:t>西安市公安局交通管理支队</w:t>
      </w:r>
    </w:p>
    <w:p w14:paraId="7E00853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spacing w:val="0"/>
          <w:sz w:val="24"/>
          <w:szCs w:val="24"/>
          <w:lang w:val="en-US" w:eastAsia="zh-CN"/>
        </w:rPr>
      </w:pPr>
      <w:r>
        <w:rPr>
          <w:rFonts w:hint="eastAsia" w:ascii="宋体" w:hAnsi="宋体" w:eastAsia="宋体" w:cs="宋体"/>
          <w:spacing w:val="0"/>
          <w:sz w:val="24"/>
          <w:szCs w:val="24"/>
        </w:rPr>
        <w:t>乙方（供应商）：</w:t>
      </w:r>
      <w:r>
        <w:rPr>
          <w:rFonts w:hint="eastAsia" w:ascii="宋体" w:hAnsi="宋体" w:cs="宋体"/>
          <w:spacing w:val="0"/>
          <w:sz w:val="24"/>
          <w:szCs w:val="24"/>
          <w:u w:val="single"/>
          <w:lang w:val="en-US" w:eastAsia="zh-CN"/>
        </w:rPr>
        <w:t xml:space="preserve">        </w:t>
      </w:r>
      <w:r>
        <w:rPr>
          <w:rFonts w:hint="eastAsia" w:ascii="宋体" w:hAnsi="宋体" w:eastAsia="宋体" w:cs="宋体"/>
          <w:spacing w:val="0"/>
          <w:sz w:val="24"/>
          <w:szCs w:val="24"/>
          <w:u w:val="single"/>
        </w:rPr>
        <w:t>（全称）</w:t>
      </w:r>
      <w:r>
        <w:rPr>
          <w:rFonts w:hint="eastAsia" w:ascii="宋体" w:hAnsi="宋体" w:cs="宋体"/>
          <w:spacing w:val="0"/>
          <w:sz w:val="24"/>
          <w:szCs w:val="24"/>
          <w:u w:val="single"/>
          <w:lang w:val="en-US" w:eastAsia="zh-CN"/>
        </w:rPr>
        <w:t xml:space="preserve">        </w:t>
      </w:r>
    </w:p>
    <w:p w14:paraId="5BCEFED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spacing w:val="0"/>
          <w:sz w:val="24"/>
          <w:szCs w:val="24"/>
        </w:rPr>
      </w:pPr>
      <w:r>
        <w:rPr>
          <w:rFonts w:hint="eastAsia" w:ascii="宋体" w:hAnsi="宋体" w:eastAsia="宋体" w:cs="宋体"/>
          <w:spacing w:val="0"/>
          <w:kern w:val="2"/>
          <w:sz w:val="24"/>
          <w:szCs w:val="24"/>
          <w:lang w:val="en-US" w:eastAsia="zh-CN" w:bidi="ar-SA"/>
        </w:rPr>
        <w:t>一、</w:t>
      </w:r>
      <w:r>
        <w:rPr>
          <w:rFonts w:hint="eastAsia" w:ascii="宋体" w:hAnsi="宋体" w:eastAsia="宋体" w:cs="宋体"/>
          <w:b/>
          <w:bCs/>
          <w:spacing w:val="0"/>
          <w:sz w:val="24"/>
          <w:szCs w:val="24"/>
        </w:rPr>
        <w:t>合同标的的内容、数量（采购合同以响应文件正本和澄清函一致）</w:t>
      </w:r>
    </w:p>
    <w:tbl>
      <w:tblPr>
        <w:tblStyle w:val="5"/>
        <w:tblW w:w="8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3"/>
        <w:gridCol w:w="2093"/>
        <w:gridCol w:w="1991"/>
        <w:gridCol w:w="1702"/>
        <w:gridCol w:w="1779"/>
      </w:tblGrid>
      <w:tr w14:paraId="558F3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933" w:type="dxa"/>
            <w:noWrap w:val="0"/>
            <w:vAlign w:val="center"/>
          </w:tcPr>
          <w:p w14:paraId="0D3F2349">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spacing w:val="0"/>
                <w:kern w:val="0"/>
                <w:sz w:val="24"/>
                <w:szCs w:val="24"/>
              </w:rPr>
            </w:pPr>
            <w:r>
              <w:rPr>
                <w:rFonts w:hint="eastAsia" w:ascii="宋体" w:hAnsi="宋体" w:eastAsia="宋体" w:cs="宋体"/>
                <w:spacing w:val="0"/>
                <w:kern w:val="0"/>
                <w:sz w:val="24"/>
                <w:szCs w:val="24"/>
              </w:rPr>
              <w:t>序号</w:t>
            </w:r>
          </w:p>
        </w:tc>
        <w:tc>
          <w:tcPr>
            <w:tcW w:w="2093" w:type="dxa"/>
            <w:noWrap w:val="0"/>
            <w:vAlign w:val="center"/>
          </w:tcPr>
          <w:p w14:paraId="75147334">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spacing w:val="0"/>
                <w:kern w:val="0"/>
                <w:sz w:val="24"/>
                <w:szCs w:val="24"/>
              </w:rPr>
            </w:pPr>
            <w:r>
              <w:rPr>
                <w:rFonts w:hint="eastAsia" w:ascii="宋体" w:hAnsi="宋体" w:eastAsia="宋体" w:cs="宋体"/>
                <w:spacing w:val="0"/>
                <w:kern w:val="0"/>
                <w:sz w:val="24"/>
                <w:szCs w:val="24"/>
              </w:rPr>
              <w:t>号牌种类</w:t>
            </w:r>
          </w:p>
        </w:tc>
        <w:tc>
          <w:tcPr>
            <w:tcW w:w="1991" w:type="dxa"/>
            <w:noWrap w:val="0"/>
            <w:vAlign w:val="center"/>
          </w:tcPr>
          <w:p w14:paraId="37B4E7B6">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spacing w:val="0"/>
                <w:kern w:val="0"/>
                <w:sz w:val="24"/>
                <w:szCs w:val="24"/>
              </w:rPr>
            </w:pPr>
            <w:r>
              <w:rPr>
                <w:rFonts w:hint="eastAsia" w:ascii="宋体" w:hAnsi="宋体" w:eastAsia="宋体" w:cs="宋体"/>
                <w:spacing w:val="0"/>
                <w:kern w:val="0"/>
                <w:sz w:val="24"/>
                <w:szCs w:val="24"/>
              </w:rPr>
              <w:t>数量（副）</w:t>
            </w:r>
          </w:p>
        </w:tc>
        <w:tc>
          <w:tcPr>
            <w:tcW w:w="1702" w:type="dxa"/>
            <w:noWrap w:val="0"/>
            <w:vAlign w:val="center"/>
          </w:tcPr>
          <w:p w14:paraId="2FA3920E">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spacing w:val="0"/>
                <w:kern w:val="0"/>
                <w:sz w:val="24"/>
                <w:szCs w:val="24"/>
              </w:rPr>
            </w:pPr>
            <w:r>
              <w:rPr>
                <w:rFonts w:hint="eastAsia" w:ascii="宋体" w:hAnsi="宋体" w:eastAsia="宋体" w:cs="宋体"/>
                <w:spacing w:val="0"/>
                <w:kern w:val="0"/>
                <w:sz w:val="24"/>
                <w:szCs w:val="24"/>
              </w:rPr>
              <w:t>单价（元）</w:t>
            </w:r>
          </w:p>
        </w:tc>
        <w:tc>
          <w:tcPr>
            <w:tcW w:w="1779" w:type="dxa"/>
            <w:noWrap w:val="0"/>
            <w:vAlign w:val="center"/>
          </w:tcPr>
          <w:p w14:paraId="6C4E7423">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spacing w:val="0"/>
                <w:kern w:val="0"/>
                <w:sz w:val="24"/>
                <w:szCs w:val="24"/>
              </w:rPr>
            </w:pPr>
            <w:r>
              <w:rPr>
                <w:rFonts w:hint="eastAsia" w:ascii="宋体" w:hAnsi="宋体" w:eastAsia="宋体" w:cs="宋体"/>
                <w:spacing w:val="0"/>
                <w:kern w:val="0"/>
                <w:sz w:val="24"/>
                <w:szCs w:val="24"/>
              </w:rPr>
              <w:t>总价（元）</w:t>
            </w:r>
          </w:p>
        </w:tc>
      </w:tr>
      <w:tr w14:paraId="06D85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933" w:type="dxa"/>
            <w:noWrap w:val="0"/>
            <w:vAlign w:val="center"/>
          </w:tcPr>
          <w:p w14:paraId="365A2EEA">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spacing w:val="0"/>
                <w:kern w:val="0"/>
                <w:sz w:val="24"/>
                <w:szCs w:val="24"/>
              </w:rPr>
            </w:pPr>
            <w:r>
              <w:rPr>
                <w:rFonts w:hint="eastAsia" w:ascii="宋体" w:hAnsi="宋体" w:eastAsia="宋体" w:cs="宋体"/>
                <w:spacing w:val="0"/>
                <w:kern w:val="0"/>
                <w:sz w:val="24"/>
                <w:szCs w:val="24"/>
              </w:rPr>
              <w:t>1</w:t>
            </w:r>
          </w:p>
        </w:tc>
        <w:tc>
          <w:tcPr>
            <w:tcW w:w="2093" w:type="dxa"/>
            <w:shd w:val="clear" w:color="auto" w:fill="auto"/>
            <w:noWrap w:val="0"/>
            <w:vAlign w:val="center"/>
          </w:tcPr>
          <w:p w14:paraId="62472A6C">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spacing w:val="0"/>
                <w:kern w:val="0"/>
                <w:sz w:val="24"/>
                <w:szCs w:val="24"/>
                <w:lang w:val="en-US" w:eastAsia="zh-CN"/>
              </w:rPr>
            </w:pPr>
          </w:p>
        </w:tc>
        <w:tc>
          <w:tcPr>
            <w:tcW w:w="1991" w:type="dxa"/>
            <w:noWrap w:val="0"/>
            <w:vAlign w:val="center"/>
          </w:tcPr>
          <w:p w14:paraId="651AB93C">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color w:val="000000"/>
                <w:spacing w:val="0"/>
                <w:kern w:val="0"/>
                <w:sz w:val="24"/>
                <w:szCs w:val="24"/>
              </w:rPr>
            </w:pPr>
          </w:p>
        </w:tc>
        <w:tc>
          <w:tcPr>
            <w:tcW w:w="1702" w:type="dxa"/>
            <w:noWrap w:val="0"/>
            <w:vAlign w:val="center"/>
          </w:tcPr>
          <w:p w14:paraId="5C333834">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color w:val="000000"/>
                <w:spacing w:val="0"/>
                <w:kern w:val="0"/>
                <w:sz w:val="24"/>
                <w:szCs w:val="24"/>
              </w:rPr>
            </w:pPr>
          </w:p>
        </w:tc>
        <w:tc>
          <w:tcPr>
            <w:tcW w:w="1779" w:type="dxa"/>
            <w:noWrap w:val="0"/>
            <w:vAlign w:val="center"/>
          </w:tcPr>
          <w:p w14:paraId="4461FE2E">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color w:val="000000"/>
                <w:spacing w:val="0"/>
                <w:kern w:val="0"/>
                <w:sz w:val="24"/>
                <w:szCs w:val="24"/>
              </w:rPr>
            </w:pPr>
          </w:p>
        </w:tc>
      </w:tr>
      <w:tr w14:paraId="3B384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933" w:type="dxa"/>
            <w:noWrap w:val="0"/>
            <w:vAlign w:val="center"/>
          </w:tcPr>
          <w:p w14:paraId="60B2E34C">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spacing w:val="0"/>
                <w:kern w:val="0"/>
                <w:sz w:val="24"/>
                <w:szCs w:val="24"/>
              </w:rPr>
            </w:pPr>
            <w:r>
              <w:rPr>
                <w:rFonts w:hint="eastAsia" w:ascii="宋体" w:hAnsi="宋体" w:eastAsia="宋体" w:cs="宋体"/>
                <w:spacing w:val="0"/>
                <w:kern w:val="0"/>
                <w:sz w:val="24"/>
                <w:szCs w:val="24"/>
              </w:rPr>
              <w:t>2</w:t>
            </w:r>
          </w:p>
        </w:tc>
        <w:tc>
          <w:tcPr>
            <w:tcW w:w="2093" w:type="dxa"/>
            <w:shd w:val="clear" w:color="auto" w:fill="auto"/>
            <w:noWrap w:val="0"/>
            <w:vAlign w:val="center"/>
          </w:tcPr>
          <w:p w14:paraId="3E20C4F3">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spacing w:val="0"/>
                <w:kern w:val="0"/>
                <w:sz w:val="24"/>
                <w:szCs w:val="24"/>
                <w:lang w:val="en-US" w:eastAsia="zh-CN"/>
              </w:rPr>
            </w:pPr>
          </w:p>
        </w:tc>
        <w:tc>
          <w:tcPr>
            <w:tcW w:w="1991" w:type="dxa"/>
            <w:noWrap w:val="0"/>
            <w:vAlign w:val="center"/>
          </w:tcPr>
          <w:p w14:paraId="1D2BD263">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color w:val="000000"/>
                <w:spacing w:val="0"/>
                <w:kern w:val="0"/>
                <w:sz w:val="24"/>
                <w:szCs w:val="24"/>
              </w:rPr>
            </w:pPr>
          </w:p>
        </w:tc>
        <w:tc>
          <w:tcPr>
            <w:tcW w:w="1702" w:type="dxa"/>
            <w:noWrap w:val="0"/>
            <w:vAlign w:val="center"/>
          </w:tcPr>
          <w:p w14:paraId="5550372C">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color w:val="000000"/>
                <w:spacing w:val="0"/>
                <w:kern w:val="0"/>
                <w:sz w:val="24"/>
                <w:szCs w:val="24"/>
              </w:rPr>
            </w:pPr>
          </w:p>
        </w:tc>
        <w:tc>
          <w:tcPr>
            <w:tcW w:w="1779" w:type="dxa"/>
            <w:noWrap w:val="0"/>
            <w:vAlign w:val="center"/>
          </w:tcPr>
          <w:p w14:paraId="33151F04">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color w:val="000000"/>
                <w:spacing w:val="0"/>
                <w:kern w:val="0"/>
                <w:sz w:val="24"/>
                <w:szCs w:val="24"/>
              </w:rPr>
            </w:pPr>
          </w:p>
        </w:tc>
      </w:tr>
      <w:tr w14:paraId="38469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933" w:type="dxa"/>
            <w:noWrap w:val="0"/>
            <w:vAlign w:val="center"/>
          </w:tcPr>
          <w:p w14:paraId="78D13EAD">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spacing w:val="0"/>
                <w:kern w:val="0"/>
                <w:sz w:val="24"/>
                <w:szCs w:val="24"/>
              </w:rPr>
            </w:pPr>
            <w:r>
              <w:rPr>
                <w:rFonts w:hint="eastAsia" w:ascii="宋体" w:hAnsi="宋体" w:eastAsia="宋体" w:cs="宋体"/>
                <w:spacing w:val="0"/>
                <w:kern w:val="0"/>
                <w:sz w:val="24"/>
                <w:szCs w:val="24"/>
              </w:rPr>
              <w:t>3</w:t>
            </w:r>
          </w:p>
        </w:tc>
        <w:tc>
          <w:tcPr>
            <w:tcW w:w="2093" w:type="dxa"/>
            <w:shd w:val="clear" w:color="auto" w:fill="auto"/>
            <w:noWrap w:val="0"/>
            <w:vAlign w:val="center"/>
          </w:tcPr>
          <w:p w14:paraId="51565311">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spacing w:val="0"/>
                <w:kern w:val="0"/>
                <w:sz w:val="24"/>
                <w:szCs w:val="24"/>
                <w:lang w:val="en-US" w:eastAsia="zh-CN"/>
              </w:rPr>
            </w:pPr>
          </w:p>
        </w:tc>
        <w:tc>
          <w:tcPr>
            <w:tcW w:w="1991" w:type="dxa"/>
            <w:noWrap w:val="0"/>
            <w:vAlign w:val="center"/>
          </w:tcPr>
          <w:p w14:paraId="57D9D63C">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color w:val="000000"/>
                <w:spacing w:val="0"/>
                <w:kern w:val="0"/>
                <w:sz w:val="24"/>
                <w:szCs w:val="24"/>
              </w:rPr>
            </w:pPr>
          </w:p>
        </w:tc>
        <w:tc>
          <w:tcPr>
            <w:tcW w:w="1702" w:type="dxa"/>
            <w:noWrap w:val="0"/>
            <w:vAlign w:val="center"/>
          </w:tcPr>
          <w:p w14:paraId="4A5EFC76">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color w:val="000000"/>
                <w:spacing w:val="0"/>
                <w:kern w:val="0"/>
                <w:sz w:val="24"/>
                <w:szCs w:val="24"/>
              </w:rPr>
            </w:pPr>
          </w:p>
        </w:tc>
        <w:tc>
          <w:tcPr>
            <w:tcW w:w="1779" w:type="dxa"/>
            <w:noWrap w:val="0"/>
            <w:vAlign w:val="center"/>
          </w:tcPr>
          <w:p w14:paraId="73301E74">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color w:val="000000"/>
                <w:spacing w:val="0"/>
                <w:kern w:val="0"/>
                <w:sz w:val="24"/>
                <w:szCs w:val="24"/>
              </w:rPr>
            </w:pPr>
          </w:p>
        </w:tc>
      </w:tr>
      <w:tr w14:paraId="6CE92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33" w:type="dxa"/>
            <w:noWrap w:val="0"/>
            <w:vAlign w:val="center"/>
          </w:tcPr>
          <w:p w14:paraId="69DE9145">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spacing w:val="0"/>
                <w:kern w:val="0"/>
                <w:sz w:val="24"/>
                <w:szCs w:val="24"/>
                <w:lang w:val="en-US" w:eastAsia="zh-CN"/>
              </w:rPr>
            </w:pPr>
            <w:r>
              <w:rPr>
                <w:rFonts w:hint="eastAsia" w:ascii="宋体" w:hAnsi="宋体" w:eastAsia="宋体" w:cs="宋体"/>
                <w:spacing w:val="0"/>
                <w:kern w:val="0"/>
                <w:sz w:val="24"/>
                <w:szCs w:val="24"/>
                <w:lang w:val="en-US" w:eastAsia="zh-CN"/>
              </w:rPr>
              <w:t>...</w:t>
            </w:r>
          </w:p>
        </w:tc>
        <w:tc>
          <w:tcPr>
            <w:tcW w:w="2093" w:type="dxa"/>
            <w:shd w:val="clear" w:color="auto" w:fill="auto"/>
            <w:noWrap w:val="0"/>
            <w:vAlign w:val="center"/>
          </w:tcPr>
          <w:p w14:paraId="59484108">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spacing w:val="0"/>
                <w:kern w:val="0"/>
                <w:sz w:val="24"/>
                <w:szCs w:val="24"/>
                <w:lang w:val="en-US" w:eastAsia="zh-CN"/>
              </w:rPr>
            </w:pPr>
          </w:p>
        </w:tc>
        <w:tc>
          <w:tcPr>
            <w:tcW w:w="1991" w:type="dxa"/>
            <w:noWrap w:val="0"/>
            <w:vAlign w:val="center"/>
          </w:tcPr>
          <w:p w14:paraId="04362B72">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color w:val="000000"/>
                <w:spacing w:val="0"/>
                <w:kern w:val="0"/>
                <w:sz w:val="24"/>
                <w:szCs w:val="24"/>
              </w:rPr>
            </w:pPr>
          </w:p>
        </w:tc>
        <w:tc>
          <w:tcPr>
            <w:tcW w:w="1702" w:type="dxa"/>
            <w:noWrap w:val="0"/>
            <w:vAlign w:val="center"/>
          </w:tcPr>
          <w:p w14:paraId="4F4BA5FF">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color w:val="000000"/>
                <w:spacing w:val="0"/>
                <w:kern w:val="0"/>
                <w:sz w:val="24"/>
                <w:szCs w:val="24"/>
              </w:rPr>
            </w:pPr>
          </w:p>
        </w:tc>
        <w:tc>
          <w:tcPr>
            <w:tcW w:w="1779" w:type="dxa"/>
            <w:noWrap w:val="0"/>
            <w:vAlign w:val="center"/>
          </w:tcPr>
          <w:p w14:paraId="3FEF79A9">
            <w:pPr>
              <w:keepNext w:val="0"/>
              <w:keepLines w:val="0"/>
              <w:pageBreakBefore w:val="0"/>
              <w:widowControl/>
              <w:kinsoku/>
              <w:wordWrap/>
              <w:overflowPunct/>
              <w:topLinePunct w:val="0"/>
              <w:autoSpaceDE/>
              <w:autoSpaceDN/>
              <w:bidi w:val="0"/>
              <w:adjustRightInd w:val="0"/>
              <w:snapToGrid w:val="0"/>
              <w:spacing w:line="240" w:lineRule="auto"/>
              <w:ind w:firstLine="0"/>
              <w:jc w:val="center"/>
              <w:textAlignment w:val="auto"/>
              <w:rPr>
                <w:rFonts w:hint="eastAsia" w:ascii="宋体" w:hAnsi="宋体" w:eastAsia="宋体" w:cs="宋体"/>
                <w:color w:val="000000"/>
                <w:spacing w:val="0"/>
                <w:kern w:val="0"/>
                <w:sz w:val="24"/>
                <w:szCs w:val="24"/>
              </w:rPr>
            </w:pPr>
          </w:p>
        </w:tc>
      </w:tr>
      <w:tr w14:paraId="5883C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498" w:type="dxa"/>
            <w:gridSpan w:val="5"/>
            <w:noWrap w:val="0"/>
            <w:vAlign w:val="center"/>
          </w:tcPr>
          <w:p w14:paraId="45AFA284">
            <w:pPr>
              <w:keepNext w:val="0"/>
              <w:keepLines w:val="0"/>
              <w:pageBreakBefore w:val="0"/>
              <w:widowControl/>
              <w:kinsoku/>
              <w:wordWrap/>
              <w:overflowPunct/>
              <w:topLinePunct w:val="0"/>
              <w:autoSpaceDE/>
              <w:autoSpaceDN/>
              <w:bidi w:val="0"/>
              <w:adjustRightInd w:val="0"/>
              <w:snapToGrid w:val="0"/>
              <w:spacing w:line="240" w:lineRule="auto"/>
              <w:ind w:firstLine="0"/>
              <w:jc w:val="both"/>
              <w:textAlignment w:val="auto"/>
              <w:rPr>
                <w:rFonts w:hint="eastAsia" w:ascii="宋体" w:hAnsi="宋体" w:eastAsia="宋体" w:cs="宋体"/>
                <w:color w:val="000000"/>
                <w:spacing w:val="0"/>
                <w:kern w:val="0"/>
                <w:sz w:val="24"/>
                <w:szCs w:val="24"/>
              </w:rPr>
            </w:pPr>
            <w:r>
              <w:rPr>
                <w:rFonts w:hint="eastAsia" w:ascii="宋体" w:hAnsi="宋体" w:eastAsia="宋体" w:cs="宋体"/>
                <w:color w:val="000000"/>
                <w:spacing w:val="0"/>
                <w:kern w:val="0"/>
                <w:sz w:val="24"/>
                <w:szCs w:val="24"/>
              </w:rPr>
              <w:t>合计</w:t>
            </w:r>
            <w:r>
              <w:rPr>
                <w:rFonts w:hint="eastAsia" w:ascii="宋体" w:hAnsi="宋体" w:eastAsia="宋体" w:cs="宋体"/>
                <w:color w:val="000000"/>
                <w:spacing w:val="0"/>
                <w:kern w:val="0"/>
                <w:sz w:val="24"/>
                <w:szCs w:val="24"/>
                <w:lang w:eastAsia="zh-CN"/>
              </w:rPr>
              <w:t>（</w:t>
            </w:r>
            <w:r>
              <w:rPr>
                <w:rFonts w:hint="eastAsia" w:ascii="宋体" w:hAnsi="宋体" w:eastAsia="宋体" w:cs="宋体"/>
                <w:color w:val="000000"/>
                <w:spacing w:val="0"/>
                <w:kern w:val="0"/>
                <w:sz w:val="24"/>
                <w:szCs w:val="24"/>
                <w:lang w:val="en-US" w:eastAsia="zh-CN"/>
              </w:rPr>
              <w:t>元）</w:t>
            </w:r>
            <w:r>
              <w:rPr>
                <w:rFonts w:hint="eastAsia" w:ascii="宋体" w:hAnsi="宋体" w:eastAsia="宋体" w:cs="宋体"/>
                <w:color w:val="000000"/>
                <w:spacing w:val="0"/>
                <w:kern w:val="0"/>
                <w:sz w:val="24"/>
                <w:szCs w:val="24"/>
              </w:rPr>
              <w:t>：</w:t>
            </w:r>
          </w:p>
        </w:tc>
      </w:tr>
    </w:tbl>
    <w:p w14:paraId="1EEBC14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both"/>
        <w:textAlignment w:val="auto"/>
        <w:rPr>
          <w:rFonts w:hint="eastAsia" w:ascii="宋体" w:hAnsi="宋体" w:cs="宋体"/>
          <w:b/>
          <w:bCs/>
          <w:spacing w:val="0"/>
          <w:sz w:val="24"/>
          <w:szCs w:val="24"/>
          <w:lang w:eastAsia="zh-CN"/>
        </w:rPr>
      </w:pPr>
      <w:r>
        <w:rPr>
          <w:rFonts w:hint="eastAsia" w:ascii="宋体" w:hAnsi="宋体" w:eastAsia="宋体" w:cs="宋体"/>
          <w:b/>
          <w:bCs/>
          <w:spacing w:val="0"/>
          <w:kern w:val="2"/>
          <w:sz w:val="24"/>
          <w:szCs w:val="24"/>
          <w:lang w:val="en-US" w:eastAsia="zh-CN" w:bidi="ar-SA"/>
        </w:rPr>
        <w:t>二、</w:t>
      </w:r>
      <w:r>
        <w:rPr>
          <w:rFonts w:hint="eastAsia" w:ascii="宋体" w:hAnsi="宋体" w:cs="宋体"/>
          <w:b/>
          <w:bCs/>
          <w:spacing w:val="0"/>
          <w:sz w:val="24"/>
          <w:szCs w:val="24"/>
          <w:lang w:eastAsia="zh-CN"/>
        </w:rPr>
        <w:t>合同金额</w:t>
      </w:r>
    </w:p>
    <w:p w14:paraId="40BE11F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lang w:eastAsia="zh-CN"/>
        </w:rPr>
      </w:pPr>
      <w:r>
        <w:rPr>
          <w:rFonts w:hint="eastAsia" w:ascii="宋体" w:hAnsi="宋体" w:eastAsia="宋体" w:cs="宋体"/>
          <w:spacing w:val="0"/>
          <w:sz w:val="24"/>
          <w:szCs w:val="24"/>
          <w:lang w:val="en-US" w:eastAsia="zh-CN"/>
        </w:rPr>
        <w:t>合同总金额为：小写：</w:t>
      </w:r>
      <w:r>
        <w:rPr>
          <w:rFonts w:hint="eastAsia" w:ascii="宋体" w:hAnsi="宋体" w:eastAsia="宋体" w:cs="宋体"/>
          <w:spacing w:val="0"/>
          <w:sz w:val="24"/>
          <w:szCs w:val="24"/>
          <w:u w:val="single"/>
          <w:lang w:val="en-US" w:eastAsia="zh-CN"/>
        </w:rPr>
        <w:t xml:space="preserve">   </w:t>
      </w:r>
      <w:r>
        <w:rPr>
          <w:rFonts w:hint="eastAsia" w:ascii="宋体" w:hAnsi="宋体" w:eastAsia="宋体" w:cs="宋体"/>
          <w:spacing w:val="0"/>
          <w:sz w:val="24"/>
          <w:szCs w:val="24"/>
          <w:lang w:val="en-US" w:eastAsia="zh-CN"/>
        </w:rPr>
        <w:t>元 ，大写：</w:t>
      </w:r>
      <w:r>
        <w:rPr>
          <w:rFonts w:hint="eastAsia" w:ascii="宋体" w:hAnsi="宋体" w:eastAsia="宋体" w:cs="宋体"/>
          <w:spacing w:val="0"/>
          <w:sz w:val="24"/>
          <w:szCs w:val="24"/>
          <w:u w:val="single"/>
          <w:lang w:val="en-US" w:eastAsia="zh-CN"/>
        </w:rPr>
        <w:t xml:space="preserve">    </w:t>
      </w:r>
      <w:r>
        <w:rPr>
          <w:rFonts w:hint="eastAsia" w:ascii="宋体" w:hAnsi="宋体" w:eastAsia="宋体" w:cs="宋体"/>
          <w:spacing w:val="0"/>
          <w:sz w:val="24"/>
          <w:szCs w:val="24"/>
          <w:lang w:val="en-US" w:eastAsia="zh-CN"/>
        </w:rPr>
        <w:t>（含税），上述金额为履行本合同的全部费用，上述费用的单价为一次性包死价，不受市场价格等因素的影响。</w:t>
      </w:r>
    </w:p>
    <w:p w14:paraId="5F343DC8">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rPr>
          <w:rFonts w:hint="eastAsia" w:ascii="宋体" w:hAnsi="宋体" w:eastAsia="宋体" w:cs="宋体"/>
          <w:b/>
          <w:bCs/>
          <w:spacing w:val="0"/>
          <w:sz w:val="24"/>
          <w:szCs w:val="24"/>
        </w:rPr>
      </w:pPr>
      <w:r>
        <w:rPr>
          <w:rFonts w:hint="eastAsia" w:ascii="宋体" w:hAnsi="宋体" w:cs="宋体"/>
          <w:b/>
          <w:bCs/>
          <w:spacing w:val="0"/>
          <w:sz w:val="24"/>
          <w:szCs w:val="24"/>
          <w:lang w:eastAsia="zh-CN"/>
        </w:rPr>
        <w:t>三</w:t>
      </w:r>
      <w:r>
        <w:rPr>
          <w:rFonts w:hint="eastAsia" w:ascii="宋体" w:hAnsi="宋体" w:eastAsia="宋体" w:cs="宋体"/>
          <w:b/>
          <w:bCs/>
          <w:spacing w:val="0"/>
          <w:sz w:val="24"/>
          <w:szCs w:val="24"/>
        </w:rPr>
        <w:t>、交货条件</w:t>
      </w:r>
    </w:p>
    <w:p w14:paraId="043EA17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lang w:eastAsia="zh-CN"/>
        </w:rPr>
      </w:pPr>
      <w:r>
        <w:rPr>
          <w:rFonts w:hint="eastAsia" w:ascii="宋体" w:hAnsi="宋体" w:eastAsia="宋体" w:cs="宋体"/>
          <w:spacing w:val="0"/>
          <w:sz w:val="24"/>
          <w:szCs w:val="24"/>
        </w:rPr>
        <w:t>（一）交货地点：</w:t>
      </w:r>
      <w:r>
        <w:rPr>
          <w:rFonts w:hint="eastAsia" w:ascii="宋体" w:hAnsi="宋体" w:eastAsia="宋体" w:cs="宋体"/>
          <w:spacing w:val="0"/>
          <w:sz w:val="24"/>
          <w:szCs w:val="24"/>
          <w:lang w:eastAsia="zh-CN"/>
        </w:rPr>
        <w:t>西安市公安局交通管理支队指定地点</w:t>
      </w:r>
      <w:r>
        <w:rPr>
          <w:rFonts w:hint="eastAsia" w:ascii="宋体" w:hAnsi="宋体" w:cs="宋体"/>
          <w:spacing w:val="0"/>
          <w:sz w:val="24"/>
          <w:szCs w:val="24"/>
          <w:lang w:eastAsia="zh-CN"/>
        </w:rPr>
        <w:t>。</w:t>
      </w:r>
    </w:p>
    <w:p w14:paraId="71DB5B2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（二）交货期：自合同签订后30个工作日内交付采购内容30%的货物运到采购人指定地点，2026年6月30日前交付其余货物运到采购人指定地点并交付验收。</w:t>
      </w:r>
    </w:p>
    <w:p w14:paraId="7DA4F0B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default" w:ascii="宋体" w:hAnsi="宋体" w:eastAsia="宋体" w:cs="宋体"/>
          <w:spacing w:val="0"/>
          <w:sz w:val="24"/>
          <w:szCs w:val="24"/>
          <w:lang w:val="en-US" w:eastAsia="zh-CN"/>
        </w:rPr>
      </w:pPr>
      <w:r>
        <w:rPr>
          <w:rFonts w:hint="eastAsia" w:ascii="宋体" w:hAnsi="宋体" w:cs="宋体"/>
          <w:spacing w:val="0"/>
          <w:sz w:val="24"/>
          <w:szCs w:val="24"/>
          <w:lang w:eastAsia="zh-CN"/>
        </w:rPr>
        <w:t>（</w:t>
      </w:r>
      <w:r>
        <w:rPr>
          <w:rFonts w:hint="eastAsia" w:ascii="宋体" w:hAnsi="宋体" w:cs="宋体"/>
          <w:spacing w:val="0"/>
          <w:sz w:val="24"/>
          <w:szCs w:val="24"/>
          <w:lang w:val="en-US" w:eastAsia="zh-CN"/>
        </w:rPr>
        <w:t>三）交货说明：交货时间为2026年6月30日前，乙方不得在未征得甲方书面同意和谅解的情况下单方面延迟交货，乙方遇到可能妨碍按时交货和提供服务的情况，应当及时以书面形式通知甲方，说明原由、拖延的期限等；甲方在收到通知后，尽快进行情况评估并确定是否通过修改合同，酌情延长交货时间或者通过协商加收误期赔偿金</w:t>
      </w:r>
    </w:p>
    <w:p w14:paraId="1E986035">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rPr>
          <w:rFonts w:hint="eastAsia" w:ascii="宋体" w:hAnsi="宋体" w:eastAsia="宋体" w:cs="宋体"/>
          <w:b/>
          <w:bCs/>
          <w:spacing w:val="0"/>
          <w:sz w:val="24"/>
          <w:szCs w:val="24"/>
        </w:rPr>
      </w:pPr>
      <w:r>
        <w:rPr>
          <w:rFonts w:hint="eastAsia" w:ascii="宋体" w:hAnsi="宋体" w:cs="宋体"/>
          <w:b/>
          <w:bCs/>
          <w:spacing w:val="0"/>
          <w:sz w:val="24"/>
          <w:szCs w:val="24"/>
          <w:lang w:eastAsia="zh-CN"/>
        </w:rPr>
        <w:t>四</w:t>
      </w:r>
      <w:r>
        <w:rPr>
          <w:rFonts w:hint="eastAsia" w:ascii="宋体" w:hAnsi="宋体" w:eastAsia="宋体" w:cs="宋体"/>
          <w:b/>
          <w:bCs/>
          <w:spacing w:val="0"/>
          <w:sz w:val="24"/>
          <w:szCs w:val="24"/>
        </w:rPr>
        <w:t>、结算方式</w:t>
      </w:r>
    </w:p>
    <w:p w14:paraId="1B5351A7">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1、付款条件说明：合同生效后，达到付款条件起30日内，支付合同总金额的40.00%。</w:t>
      </w:r>
    </w:p>
    <w:p w14:paraId="5F8933E7">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cs="宋体"/>
          <w:spacing w:val="0"/>
          <w:sz w:val="24"/>
          <w:szCs w:val="24"/>
          <w:lang w:val="en-US" w:eastAsia="zh-CN"/>
        </w:rPr>
        <w:t>2、</w:t>
      </w:r>
      <w:r>
        <w:rPr>
          <w:rFonts w:hint="eastAsia" w:ascii="宋体" w:hAnsi="宋体" w:eastAsia="宋体" w:cs="宋体"/>
          <w:spacing w:val="0"/>
          <w:sz w:val="24"/>
          <w:szCs w:val="24"/>
        </w:rPr>
        <w:t>付款条件说明：2025年9月底前进行实际交付货物的结算，验收合格后，达到付款条件起30日内，支付合同总金额的0.26%。</w:t>
      </w:r>
    </w:p>
    <w:p w14:paraId="190FD29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cs="宋体"/>
          <w:spacing w:val="0"/>
          <w:sz w:val="24"/>
          <w:szCs w:val="24"/>
          <w:lang w:val="en-US" w:eastAsia="zh-CN"/>
        </w:rPr>
        <w:t>3、</w:t>
      </w:r>
      <w:r>
        <w:rPr>
          <w:rFonts w:hint="eastAsia" w:ascii="宋体" w:hAnsi="宋体" w:eastAsia="宋体" w:cs="宋体"/>
          <w:spacing w:val="0"/>
          <w:sz w:val="24"/>
          <w:szCs w:val="24"/>
        </w:rPr>
        <w:t>付款条件说明：2026年6月底前项目验收合格后，经支队结算审计后按照结算审计结果支付合同剩余金额，达到付款条件起30日内，支付合同总金额的59.74%。</w:t>
      </w:r>
    </w:p>
    <w:p w14:paraId="7C341822">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lang w:val="en-US" w:eastAsia="zh-CN"/>
        </w:rPr>
        <w:t>4、</w:t>
      </w:r>
      <w:r>
        <w:rPr>
          <w:rFonts w:hint="eastAsia" w:ascii="宋体" w:hAnsi="宋体" w:eastAsia="宋体" w:cs="宋体"/>
          <w:spacing w:val="0"/>
          <w:sz w:val="24"/>
          <w:szCs w:val="24"/>
        </w:rPr>
        <w:t>乙方在每次接受付款前，开具实际结算相应金额的增值税普通发票给甲方。若因乙方提供发票不合格或延期提供，甲方有权迟延履行付款义务，且不承担违约责任。</w:t>
      </w:r>
    </w:p>
    <w:p w14:paraId="198F3B88">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highlight w:val="yellow"/>
        </w:rPr>
      </w:pPr>
      <w:r>
        <w:rPr>
          <w:rFonts w:hint="eastAsia" w:ascii="宋体" w:hAnsi="宋体" w:eastAsia="宋体" w:cs="宋体"/>
          <w:spacing w:val="0"/>
          <w:sz w:val="24"/>
          <w:szCs w:val="24"/>
          <w:lang w:val="en-US" w:eastAsia="zh-CN"/>
        </w:rPr>
        <w:t>5、</w:t>
      </w:r>
      <w:r>
        <w:rPr>
          <w:rFonts w:hint="eastAsia" w:ascii="宋体" w:hAnsi="宋体" w:eastAsia="宋体" w:cs="宋体"/>
          <w:spacing w:val="0"/>
          <w:sz w:val="24"/>
          <w:szCs w:val="24"/>
        </w:rPr>
        <w:t>如在实际供货过程中，各号牌种类数量发生变化，按各单价据实结算，不超过合同总预算金额。</w:t>
      </w:r>
    </w:p>
    <w:p w14:paraId="270C4151">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rPr>
          <w:rFonts w:hint="eastAsia" w:ascii="宋体" w:hAnsi="宋体" w:eastAsia="宋体" w:cs="宋体"/>
          <w:b/>
          <w:bCs/>
          <w:spacing w:val="0"/>
          <w:sz w:val="24"/>
          <w:szCs w:val="24"/>
        </w:rPr>
      </w:pPr>
      <w:r>
        <w:rPr>
          <w:rFonts w:hint="eastAsia" w:ascii="宋体" w:hAnsi="宋体" w:cs="宋体"/>
          <w:b/>
          <w:bCs/>
          <w:spacing w:val="0"/>
          <w:sz w:val="24"/>
          <w:szCs w:val="24"/>
          <w:lang w:eastAsia="zh-CN"/>
        </w:rPr>
        <w:t>五</w:t>
      </w:r>
      <w:r>
        <w:rPr>
          <w:rFonts w:hint="eastAsia" w:ascii="宋体" w:hAnsi="宋体" w:eastAsia="宋体" w:cs="宋体"/>
          <w:b/>
          <w:bCs/>
          <w:spacing w:val="0"/>
          <w:sz w:val="24"/>
          <w:szCs w:val="24"/>
        </w:rPr>
        <w:t>、合同当事人的权利和义务</w:t>
      </w:r>
    </w:p>
    <w:p w14:paraId="03AA261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cs="宋体"/>
          <w:spacing w:val="0"/>
          <w:sz w:val="24"/>
          <w:szCs w:val="24"/>
          <w:lang w:val="en-US" w:eastAsia="zh-CN"/>
        </w:rPr>
        <w:t>1、</w:t>
      </w:r>
      <w:r>
        <w:rPr>
          <w:rFonts w:hint="eastAsia" w:ascii="宋体" w:hAnsi="宋体" w:eastAsia="宋体" w:cs="宋体"/>
          <w:spacing w:val="0"/>
          <w:sz w:val="24"/>
          <w:szCs w:val="24"/>
        </w:rPr>
        <w:t>乙方在收到甲方的购置计划后，应及时安排备货，由乙方负责号牌的包装及运输，货物送达验收合格前的风险由乙方承担。</w:t>
      </w:r>
    </w:p>
    <w:p w14:paraId="2B89E6F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cs="宋体"/>
          <w:spacing w:val="0"/>
          <w:sz w:val="24"/>
          <w:szCs w:val="24"/>
          <w:lang w:val="en-US" w:eastAsia="zh-CN"/>
        </w:rPr>
        <w:t>2、</w:t>
      </w:r>
      <w:r>
        <w:rPr>
          <w:rFonts w:hint="eastAsia" w:ascii="宋体" w:hAnsi="宋体" w:eastAsia="宋体" w:cs="宋体"/>
          <w:spacing w:val="0"/>
          <w:sz w:val="24"/>
          <w:szCs w:val="24"/>
        </w:rPr>
        <w:t>甲方应当按照合同约定的时间和金额，分批次支付本合同款项；甲方逾期支付累计15天以上的，乙方有权停止提供服务。</w:t>
      </w:r>
    </w:p>
    <w:p w14:paraId="4886FA0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cs="宋体"/>
          <w:spacing w:val="0"/>
          <w:sz w:val="24"/>
          <w:szCs w:val="24"/>
          <w:lang w:val="en-US" w:eastAsia="zh-CN"/>
        </w:rPr>
        <w:t>3、</w:t>
      </w:r>
      <w:r>
        <w:rPr>
          <w:rFonts w:hint="eastAsia" w:ascii="宋体" w:hAnsi="宋体" w:eastAsia="宋体" w:cs="宋体"/>
          <w:spacing w:val="0"/>
          <w:sz w:val="24"/>
          <w:szCs w:val="24"/>
        </w:rPr>
        <w:t>乙方提供的部分产品不合格的，甲方有权要求乙方在指定期间内免费更换。乙方拒不更换的，甲方有权要求乙方承担合同价款30%的违约金，合同继续履行。甲方要求更换不合格产品，应持有权威鉴定机构出具的鉴定报告作为依据。</w:t>
      </w:r>
    </w:p>
    <w:p w14:paraId="7298D7D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cs="宋体"/>
          <w:spacing w:val="0"/>
          <w:sz w:val="24"/>
          <w:szCs w:val="24"/>
          <w:lang w:val="en-US" w:eastAsia="zh-CN"/>
        </w:rPr>
        <w:t>4、</w:t>
      </w:r>
      <w:r>
        <w:rPr>
          <w:rFonts w:hint="eastAsia" w:ascii="宋体" w:hAnsi="宋体" w:eastAsia="宋体" w:cs="宋体"/>
          <w:spacing w:val="0"/>
          <w:sz w:val="24"/>
          <w:szCs w:val="24"/>
        </w:rPr>
        <w:t>按照中华人民共和国税法和有关部门的规定，乙方需交纳的与本合同有关的一切税费均应由乙方负担。</w:t>
      </w:r>
    </w:p>
    <w:p w14:paraId="102E693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cs="宋体"/>
          <w:spacing w:val="0"/>
          <w:sz w:val="24"/>
          <w:szCs w:val="24"/>
          <w:lang w:val="en-US" w:eastAsia="zh-CN"/>
        </w:rPr>
        <w:t>5、</w:t>
      </w:r>
      <w:r>
        <w:rPr>
          <w:rFonts w:hint="eastAsia" w:ascii="宋体" w:hAnsi="宋体" w:eastAsia="宋体" w:cs="宋体"/>
          <w:spacing w:val="0"/>
          <w:sz w:val="24"/>
          <w:szCs w:val="24"/>
        </w:rPr>
        <w:t>因乙方提供的相关服务侵害他人权利或者造成采购人损害的，乙方承担全部赔偿责任；对甲方造成损失的，甲方有权追偿</w:t>
      </w:r>
    </w:p>
    <w:p w14:paraId="6BDE9ADC">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rPr>
          <w:rFonts w:hint="eastAsia" w:ascii="宋体" w:hAnsi="宋体" w:eastAsia="宋体" w:cs="宋体"/>
          <w:b/>
          <w:bCs/>
          <w:spacing w:val="0"/>
          <w:sz w:val="24"/>
          <w:szCs w:val="24"/>
        </w:rPr>
      </w:pPr>
      <w:r>
        <w:rPr>
          <w:rFonts w:hint="eastAsia" w:ascii="宋体" w:hAnsi="宋体" w:cs="宋体"/>
          <w:b/>
          <w:bCs/>
          <w:spacing w:val="0"/>
          <w:sz w:val="24"/>
          <w:szCs w:val="24"/>
          <w:lang w:eastAsia="zh-CN"/>
        </w:rPr>
        <w:t>六</w:t>
      </w:r>
      <w:r>
        <w:rPr>
          <w:rFonts w:hint="eastAsia" w:ascii="宋体" w:hAnsi="宋体" w:eastAsia="宋体" w:cs="宋体"/>
          <w:b/>
          <w:bCs/>
          <w:spacing w:val="0"/>
          <w:sz w:val="24"/>
          <w:szCs w:val="24"/>
        </w:rPr>
        <w:t>、售后服务</w:t>
      </w:r>
    </w:p>
    <w:p w14:paraId="4ADD12D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1、乙方应做好指导使用及售后服务工作，保证甲方从乙方处购置的机动车辆号牌在制造生产及检测等方面符《中华人民共和国机动车号牌》GA36-2018标准的相关要求；乙方提供的车辆号牌在质保期内存在质量问题，乙方应提供免费咨询、更换损坏的号牌及维修服务。如因甲方自身或第三方原因，造成号牌出现的问题，乙方不承担更换义务。</w:t>
      </w:r>
    </w:p>
    <w:p w14:paraId="57564355">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2、质保期内经修理后不能复原的货物，乙方必须免费予以更换。属人为因素造成货物的损坏，乙方只收零件费，免收维修费和其他费用。</w:t>
      </w:r>
    </w:p>
    <w:p w14:paraId="4E53551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3、在群众需要提供号牌现场安装服务时，乙方安排号牌制作工人现场为群众免费安装号牌。</w:t>
      </w:r>
    </w:p>
    <w:p w14:paraId="2B606E8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rPr>
          <w:rFonts w:hint="eastAsia" w:ascii="宋体" w:hAnsi="宋体" w:eastAsia="宋体" w:cs="宋体"/>
          <w:b/>
          <w:bCs/>
          <w:spacing w:val="0"/>
          <w:sz w:val="24"/>
          <w:szCs w:val="24"/>
        </w:rPr>
      </w:pPr>
      <w:r>
        <w:rPr>
          <w:rFonts w:hint="eastAsia" w:ascii="宋体" w:hAnsi="宋体" w:cs="宋体"/>
          <w:b/>
          <w:bCs/>
          <w:spacing w:val="0"/>
          <w:sz w:val="24"/>
          <w:szCs w:val="24"/>
          <w:lang w:eastAsia="zh-CN"/>
        </w:rPr>
        <w:t>七</w:t>
      </w:r>
      <w:r>
        <w:rPr>
          <w:rFonts w:hint="eastAsia" w:ascii="宋体" w:hAnsi="宋体" w:eastAsia="宋体" w:cs="宋体"/>
          <w:b/>
          <w:bCs/>
          <w:spacing w:val="0"/>
          <w:sz w:val="24"/>
          <w:szCs w:val="24"/>
        </w:rPr>
        <w:t>、质保期</w:t>
      </w:r>
      <w:r>
        <w:rPr>
          <w:rFonts w:hint="eastAsia" w:ascii="宋体" w:hAnsi="宋体" w:cs="宋体"/>
          <w:b/>
          <w:bCs/>
          <w:spacing w:val="0"/>
          <w:sz w:val="24"/>
          <w:szCs w:val="24"/>
          <w:lang w:eastAsia="zh-CN"/>
        </w:rPr>
        <w:t>：</w:t>
      </w:r>
      <w:r>
        <w:rPr>
          <w:rFonts w:hint="eastAsia" w:ascii="宋体" w:hAnsi="宋体" w:eastAsia="宋体" w:cs="宋体"/>
          <w:b/>
          <w:bCs/>
          <w:spacing w:val="0"/>
          <w:sz w:val="24"/>
          <w:szCs w:val="24"/>
        </w:rPr>
        <w:t>货物交付验收合格之日起壹年。</w:t>
      </w:r>
    </w:p>
    <w:p w14:paraId="15CA74EC">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rPr>
          <w:rFonts w:hint="eastAsia" w:ascii="宋体" w:hAnsi="宋体" w:eastAsia="宋体" w:cs="宋体"/>
          <w:b/>
          <w:bCs/>
          <w:spacing w:val="0"/>
          <w:sz w:val="24"/>
          <w:szCs w:val="24"/>
        </w:rPr>
      </w:pPr>
      <w:r>
        <w:rPr>
          <w:rFonts w:hint="eastAsia" w:ascii="宋体" w:hAnsi="宋体" w:cs="宋体"/>
          <w:b/>
          <w:bCs/>
          <w:spacing w:val="0"/>
          <w:sz w:val="24"/>
          <w:szCs w:val="24"/>
          <w:lang w:eastAsia="zh-CN"/>
        </w:rPr>
        <w:t>八</w:t>
      </w:r>
      <w:r>
        <w:rPr>
          <w:rFonts w:hint="eastAsia" w:ascii="宋体" w:hAnsi="宋体" w:eastAsia="宋体" w:cs="宋体"/>
          <w:b/>
          <w:bCs/>
          <w:spacing w:val="0"/>
          <w:sz w:val="24"/>
          <w:szCs w:val="24"/>
        </w:rPr>
        <w:t>、违约责任及赔偿损失的计算办法</w:t>
      </w:r>
    </w:p>
    <w:p w14:paraId="2C518AD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1、如乙方事先未征得甲方书面同意而单方面延迟完成项目的，每逾期一日按照合同总额的万分之五承担违约责任；乙方逾期累计15天以上的，甲方有权解除合同，且乙方应当承担本合同总金额20%的违约责任。</w:t>
      </w:r>
    </w:p>
    <w:p w14:paraId="6BC628C8">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2、甲方收到号牌并收到全额等值的增值税发票后七个工作日内按合同价款全额付清；甲方逾期累计15天以上的，乙方有权停止提供服务。</w:t>
      </w:r>
    </w:p>
    <w:p w14:paraId="43D3D2C2">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3、部分产品不合格的，甲方有权要求乙方在指定期间内免费更换。乙方拒不更换的，甲方有权要求乙方承担合同价款30%的违约金，合同继续履行。甲方要求更换不合格产品，应持有权威鉴定机构出具的鉴定报告作为依据。</w:t>
      </w:r>
    </w:p>
    <w:p w14:paraId="71A69855">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4、质保期内乙方未按照采购文件、采购响应文件规定及合同约定提供维保服务的，甲方有权指定第三方提供维保服务，但第三方维修费、交通费、人工费等合理费用由乙方承担。</w:t>
      </w:r>
    </w:p>
    <w:p w14:paraId="05702F7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5、因乙方提供的相关服务侵害他人权利或者造成采购人损害的，乙方承担全部赔偿责任。</w:t>
      </w:r>
    </w:p>
    <w:p w14:paraId="6CA79B1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6、交货后，因甲方自身原因或第三方使用不当所产生的损害与乙方无关。</w:t>
      </w:r>
    </w:p>
    <w:p w14:paraId="14238AC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7、除双方另有约定外，任意一方违反本合同约定致使另一方遭受损失的，违约方应赔偿守约方因此造成的全部损失。守约方通过诉讼的方式解决纠纷的，违约方应承担包括但不限于诉讼费、律师费、保全费、保全保险费等合理费用。</w:t>
      </w:r>
    </w:p>
    <w:p w14:paraId="21BCD76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rPr>
          <w:rFonts w:hint="eastAsia" w:ascii="宋体" w:hAnsi="宋体" w:eastAsia="宋体" w:cs="宋体"/>
          <w:b/>
          <w:bCs/>
          <w:spacing w:val="0"/>
          <w:sz w:val="24"/>
          <w:szCs w:val="24"/>
        </w:rPr>
      </w:pPr>
      <w:r>
        <w:rPr>
          <w:rFonts w:hint="eastAsia" w:ascii="宋体" w:hAnsi="宋体" w:cs="宋体"/>
          <w:b/>
          <w:bCs/>
          <w:spacing w:val="0"/>
          <w:sz w:val="24"/>
          <w:szCs w:val="24"/>
          <w:lang w:eastAsia="zh-CN"/>
        </w:rPr>
        <w:t>九</w:t>
      </w:r>
      <w:r>
        <w:rPr>
          <w:rFonts w:hint="eastAsia" w:ascii="宋体" w:hAnsi="宋体" w:eastAsia="宋体" w:cs="宋体"/>
          <w:b/>
          <w:bCs/>
          <w:spacing w:val="0"/>
          <w:sz w:val="24"/>
          <w:szCs w:val="24"/>
        </w:rPr>
        <w:t>、合同变更、解除及终止的条件</w:t>
      </w:r>
    </w:p>
    <w:p w14:paraId="551EC25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lang w:val="zh-CN"/>
        </w:rPr>
      </w:pPr>
      <w:r>
        <w:rPr>
          <w:rFonts w:hint="eastAsia" w:ascii="宋体" w:hAnsi="宋体" w:eastAsia="宋体" w:cs="宋体"/>
          <w:spacing w:val="0"/>
          <w:sz w:val="24"/>
          <w:szCs w:val="24"/>
          <w:lang w:val="zh-CN"/>
        </w:rPr>
        <w:t>1、在甲方对乙方违约而采取的任何补救措施不受影响的情况下，甲方可向乙方发出书面违约通知书，提出终止部分或全部合同,自通知发出之日起合同部分或全部终止：</w:t>
      </w:r>
    </w:p>
    <w:p w14:paraId="16EAB0C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lang w:val="zh-CN"/>
        </w:rPr>
      </w:pPr>
      <w:r>
        <w:rPr>
          <w:rFonts w:hint="eastAsia" w:ascii="宋体" w:hAnsi="宋体" w:eastAsia="宋体" w:cs="宋体"/>
          <w:spacing w:val="0"/>
          <w:sz w:val="24"/>
          <w:szCs w:val="24"/>
          <w:lang w:val="zh-CN"/>
        </w:rPr>
        <w:t>（1）如果乙方未能在合同规定的期限内提供部分或全部货物；或误期赔偿费达到最高限额。</w:t>
      </w:r>
    </w:p>
    <w:p w14:paraId="4FE481C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lang w:val="zh-CN"/>
        </w:rPr>
      </w:pPr>
      <w:r>
        <w:rPr>
          <w:rFonts w:hint="eastAsia" w:ascii="宋体" w:hAnsi="宋体" w:eastAsia="宋体" w:cs="宋体"/>
          <w:spacing w:val="0"/>
          <w:sz w:val="24"/>
          <w:szCs w:val="24"/>
          <w:lang w:val="zh-CN"/>
        </w:rPr>
        <w:t>（2）如果乙方未能履行合同规定的其它任何义务。</w:t>
      </w:r>
    </w:p>
    <w:p w14:paraId="3F48DE9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lang w:val="zh-CN"/>
        </w:rPr>
      </w:pPr>
      <w:r>
        <w:rPr>
          <w:rFonts w:hint="eastAsia" w:ascii="宋体" w:hAnsi="宋体" w:eastAsia="宋体" w:cs="宋体"/>
          <w:spacing w:val="0"/>
          <w:sz w:val="24"/>
          <w:szCs w:val="24"/>
          <w:lang w:val="zh-CN"/>
        </w:rPr>
        <w:t>（3）如果甲方认为乙方在本合同的竞争和实施过程中有腐败和欺诈行为。为此目的，定义下述条件：</w:t>
      </w:r>
    </w:p>
    <w:p w14:paraId="42B9F38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lang w:val="zh-CN"/>
        </w:rPr>
      </w:pPr>
      <w:r>
        <w:rPr>
          <w:rFonts w:hint="eastAsia" w:ascii="宋体" w:hAnsi="宋体" w:eastAsia="宋体" w:cs="宋体"/>
          <w:spacing w:val="0"/>
          <w:sz w:val="24"/>
          <w:szCs w:val="24"/>
          <w:lang w:val="zh-CN"/>
        </w:rPr>
        <w:t>“腐败行为”是指提供、给予、接受或索取任何有价值的物品来影响甲方在采购过程或合同实施过程中的行为。</w:t>
      </w:r>
    </w:p>
    <w:p w14:paraId="06427855">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lang w:val="zh-CN"/>
        </w:rPr>
      </w:pPr>
      <w:r>
        <w:rPr>
          <w:rFonts w:hint="eastAsia" w:ascii="宋体" w:hAnsi="宋体" w:eastAsia="宋体" w:cs="宋体"/>
          <w:spacing w:val="0"/>
          <w:sz w:val="24"/>
          <w:szCs w:val="24"/>
          <w:lang w:val="zh-CN"/>
        </w:rPr>
        <w:t>“欺诈行为”是指为了影响采购过程或合同实施过程而谎报或隐瞒事实，损害甲方利益的行为。</w:t>
      </w:r>
    </w:p>
    <w:p w14:paraId="54AF1E0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lang w:val="zh-CN"/>
        </w:rPr>
      </w:pPr>
      <w:r>
        <w:rPr>
          <w:rFonts w:hint="eastAsia" w:ascii="宋体" w:hAnsi="宋体" w:eastAsia="宋体" w:cs="宋体"/>
          <w:spacing w:val="0"/>
          <w:sz w:val="24"/>
          <w:szCs w:val="24"/>
          <w:lang w:val="zh-CN"/>
        </w:rPr>
        <w:t>2、如果甲方根据上述规定，终止了全部或部分合同，甲方可以依其认为适当的条件和方法购买与未交货物类似的货物或服务，乙方应承担甲方因购买类似货物或服务而产生的额外支出。但是，乙方应继续执行合同中未终止的部分。</w:t>
      </w:r>
    </w:p>
    <w:p w14:paraId="130CB14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rPr>
          <w:rFonts w:hint="eastAsia" w:ascii="宋体" w:hAnsi="宋体" w:eastAsia="宋体" w:cs="宋体"/>
          <w:b/>
          <w:bCs/>
          <w:spacing w:val="0"/>
          <w:sz w:val="24"/>
          <w:szCs w:val="24"/>
        </w:rPr>
      </w:pPr>
      <w:r>
        <w:rPr>
          <w:rFonts w:hint="eastAsia" w:ascii="宋体" w:hAnsi="宋体" w:cs="宋体"/>
          <w:b/>
          <w:bCs/>
          <w:spacing w:val="0"/>
          <w:sz w:val="24"/>
          <w:szCs w:val="24"/>
          <w:lang w:eastAsia="zh-CN"/>
        </w:rPr>
        <w:t>十</w:t>
      </w:r>
      <w:r>
        <w:rPr>
          <w:rFonts w:hint="eastAsia" w:ascii="宋体" w:hAnsi="宋体" w:eastAsia="宋体" w:cs="宋体"/>
          <w:b/>
          <w:bCs/>
          <w:spacing w:val="0"/>
          <w:sz w:val="24"/>
          <w:szCs w:val="24"/>
        </w:rPr>
        <w:t>、验收</w:t>
      </w:r>
    </w:p>
    <w:p w14:paraId="0D2FD88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1. 验收标准：货物应按采购文件、响应文件以及国家和行业验收规范要求及合同中的相关条款进行数量及质量的验收。</w:t>
      </w:r>
    </w:p>
    <w:p w14:paraId="1806E5E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2. 验收程序：货物验收分出厂检验、交货验收二个阶段。验收合格后，甲方签发《政府采购验收单》。</w:t>
      </w:r>
    </w:p>
    <w:p w14:paraId="7F53C80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cs="宋体"/>
          <w:spacing w:val="0"/>
          <w:sz w:val="24"/>
          <w:szCs w:val="24"/>
          <w:lang w:eastAsia="zh-CN"/>
        </w:rPr>
        <w:t>（</w:t>
      </w:r>
      <w:r>
        <w:rPr>
          <w:rFonts w:hint="eastAsia" w:ascii="宋体" w:hAnsi="宋体" w:eastAsia="宋体" w:cs="宋体"/>
          <w:spacing w:val="0"/>
          <w:sz w:val="24"/>
          <w:szCs w:val="24"/>
        </w:rPr>
        <w:t>1</w:t>
      </w:r>
      <w:r>
        <w:rPr>
          <w:rFonts w:hint="eastAsia" w:ascii="宋体" w:hAnsi="宋体" w:cs="宋体"/>
          <w:spacing w:val="0"/>
          <w:sz w:val="24"/>
          <w:szCs w:val="24"/>
          <w:lang w:eastAsia="zh-CN"/>
        </w:rPr>
        <w:t>）</w:t>
      </w:r>
      <w:r>
        <w:rPr>
          <w:rFonts w:hint="eastAsia" w:ascii="宋体" w:hAnsi="宋体" w:eastAsia="宋体" w:cs="宋体"/>
          <w:spacing w:val="0"/>
          <w:sz w:val="24"/>
          <w:szCs w:val="24"/>
        </w:rPr>
        <w:t>出厂检验：乙方负责所提供货物的出厂检验，保证货物原产地和技术指标的真实性、完整性、合法性，并负责将货物送达指定地点，并向甲方提供公安部出具的检测报告。甲方在货物到货后，按合同规定对所交货物进行清点、核对和商检。</w:t>
      </w:r>
    </w:p>
    <w:p w14:paraId="6D5E1D6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cs="宋体"/>
          <w:spacing w:val="0"/>
          <w:sz w:val="24"/>
          <w:szCs w:val="24"/>
          <w:lang w:eastAsia="zh-CN"/>
        </w:rPr>
        <w:t>（</w:t>
      </w:r>
      <w:r>
        <w:rPr>
          <w:rFonts w:hint="eastAsia" w:ascii="宋体" w:hAnsi="宋体" w:eastAsia="宋体" w:cs="宋体"/>
          <w:spacing w:val="0"/>
          <w:sz w:val="24"/>
          <w:szCs w:val="24"/>
        </w:rPr>
        <w:t>2</w:t>
      </w:r>
      <w:r>
        <w:rPr>
          <w:rFonts w:hint="eastAsia" w:ascii="宋体" w:hAnsi="宋体" w:cs="宋体"/>
          <w:spacing w:val="0"/>
          <w:sz w:val="24"/>
          <w:szCs w:val="24"/>
          <w:lang w:eastAsia="zh-CN"/>
        </w:rPr>
        <w:t>）</w:t>
      </w:r>
      <w:r>
        <w:rPr>
          <w:rFonts w:hint="eastAsia" w:ascii="宋体" w:hAnsi="宋体" w:eastAsia="宋体" w:cs="宋体"/>
          <w:spacing w:val="0"/>
          <w:sz w:val="24"/>
          <w:szCs w:val="24"/>
        </w:rPr>
        <w:t>交货验收：货物到达交货地点后，由甲方会同有关部门进行基本质量和数量的验收（但不作为最终合格的保证），该验收应达到合同规定的要求。同时，甲方有权对所配送的货物送指定专业权威检测机构进行检测（包括破坏性实验及环保指数检测），检测费、检测产品损失由乙方承担。如送检结果达不到采购文件要求及我国执行的相应国标及相关规定（如国标与其他相关标准不一致的，以国标为准），甲方有权终止合同，甲方有权拒付不合格产品货款并追究乙方法律、经济责任。破坏性检测的产品乙方必须无偿补全该产品，但抽检产品应有数额限制，抽检每季度每一种抽检一副车牌。超出约定送检产品数量的，由甲方承担费用。甲方送检时间应在付款期限之前进行，不得以送检为由拖欠货款。</w:t>
      </w:r>
    </w:p>
    <w:p w14:paraId="6AB58FC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十</w:t>
      </w:r>
      <w:r>
        <w:rPr>
          <w:rFonts w:hint="eastAsia" w:ascii="宋体" w:hAnsi="宋体" w:cs="宋体"/>
          <w:b/>
          <w:bCs/>
          <w:spacing w:val="0"/>
          <w:sz w:val="24"/>
          <w:szCs w:val="24"/>
          <w:lang w:eastAsia="zh-CN"/>
        </w:rPr>
        <w:t>一</w:t>
      </w:r>
      <w:r>
        <w:rPr>
          <w:rFonts w:hint="eastAsia" w:ascii="宋体" w:hAnsi="宋体" w:eastAsia="宋体" w:cs="宋体"/>
          <w:b/>
          <w:bCs/>
          <w:spacing w:val="0"/>
          <w:sz w:val="24"/>
          <w:szCs w:val="24"/>
        </w:rPr>
        <w:t>、保密约定</w:t>
      </w:r>
    </w:p>
    <w:p w14:paraId="4B210D08">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1、没有甲方事先书面同意，乙方不得将甲方或代表甲方提供的有关合同或任何合同条文、规格、计划、资料提供给与履行本合同无关的任何其他人，即使向与履行本合同有关的人员提供，也应注意保密并限于履行合同必须的范围。</w:t>
      </w:r>
    </w:p>
    <w:p w14:paraId="5F2F23D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2、没有甲方事先书面同意，除了履行本合同之外，乙方不应使用合同条款所列举的任何文件和资料。</w:t>
      </w:r>
    </w:p>
    <w:p w14:paraId="73AAFA0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3、除了合同本身以外，合同条款所列举的任何文件是甲方的财产。如果甲方有要求，乙方在完成合同后应将这些文件及全部复制件还给甲方。</w:t>
      </w:r>
    </w:p>
    <w:p w14:paraId="7E5F728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乙方应保证，甲方在使用该货物或货物的任何一部分时，免受第三方提出的侵犯（其专利权）、商标权、著作权或其它知识产权的起诉。因乙方原因致使本合同项下工作成果侵犯任何第三方知识产权或其他合法权益的，相应后果由乙方自行承担；甲方因此遭受损失的，甲方有权向乙方追偿全部损失。</w:t>
      </w:r>
    </w:p>
    <w:p w14:paraId="36D12F6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5、履行保密义务，不受本合同期满终止、中止或解除等任何情形的影响而被限制或取消。</w:t>
      </w:r>
    </w:p>
    <w:p w14:paraId="5E967DA5">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十</w:t>
      </w:r>
      <w:r>
        <w:rPr>
          <w:rFonts w:hint="eastAsia" w:ascii="宋体" w:hAnsi="宋体" w:cs="宋体"/>
          <w:b/>
          <w:bCs/>
          <w:spacing w:val="0"/>
          <w:sz w:val="24"/>
          <w:szCs w:val="24"/>
          <w:lang w:eastAsia="zh-CN"/>
        </w:rPr>
        <w:t>二</w:t>
      </w:r>
      <w:r>
        <w:rPr>
          <w:rFonts w:hint="eastAsia" w:ascii="宋体" w:hAnsi="宋体" w:eastAsia="宋体" w:cs="宋体"/>
          <w:b/>
          <w:bCs/>
          <w:spacing w:val="0"/>
          <w:sz w:val="24"/>
          <w:szCs w:val="24"/>
        </w:rPr>
        <w:t>、包装和运输</w:t>
      </w:r>
    </w:p>
    <w:p w14:paraId="32BC531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1、货物交货时应按国家有关标准要求进行包装。</w:t>
      </w:r>
    </w:p>
    <w:p w14:paraId="2FC3A0C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2、货物运输过程中的安全事宜由乙方自行负责，应充分考虑到运输途中的各种情况和气候特点（如暴露于恶劣气候等），由于不适当的包装而造成货物在运输过程中有任何损坏由乙方负责。</w:t>
      </w:r>
    </w:p>
    <w:p w14:paraId="39298AE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3、货物由乙方按照合同约定的具体数量、地点及时间送到指定的地方。</w:t>
      </w:r>
    </w:p>
    <w:p w14:paraId="41C8CE28">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4、在甲方场地装卸时，乙方有责任保证安装人员和他方人员不因乙方的运输、装卸而遭受任何损伤，保证甲方任何设施不受损害和污染，保证甲方的财产不受任何损失。</w:t>
      </w:r>
    </w:p>
    <w:p w14:paraId="75A2E3D4">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十</w:t>
      </w:r>
      <w:r>
        <w:rPr>
          <w:rFonts w:hint="eastAsia" w:ascii="宋体" w:hAnsi="宋体" w:cs="宋体"/>
          <w:b/>
          <w:bCs/>
          <w:spacing w:val="0"/>
          <w:sz w:val="24"/>
          <w:szCs w:val="24"/>
          <w:lang w:eastAsia="zh-CN"/>
        </w:rPr>
        <w:t>三</w:t>
      </w:r>
      <w:r>
        <w:rPr>
          <w:rFonts w:hint="eastAsia" w:ascii="宋体" w:hAnsi="宋体" w:eastAsia="宋体" w:cs="宋体"/>
          <w:b/>
          <w:bCs/>
          <w:spacing w:val="0"/>
          <w:sz w:val="24"/>
          <w:szCs w:val="24"/>
        </w:rPr>
        <w:t>、不可抗力情况下的免责约定</w:t>
      </w:r>
    </w:p>
    <w:p w14:paraId="22F1BF6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1、在合同有效期内，因不可抗力事件，如：火灾、地震、洪水、雷击、台风、等自然灾害、战争、戒严或其他超出双方合理控制范围内，不可抗力事件导致迟延或者不能履行合同，应当及时以书面形式通知对方，说明原由、拖延的期限等；双方任何一方由于不可抗力事件的影响而不能履行合同时，履行合同的期限应予延长，其延长的期限应相当于事件所影响的时间；</w:t>
      </w:r>
    </w:p>
    <w:p w14:paraId="679CBF3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2、不可抗力事件发生后，应立即通知对方，并寄送有关机构出具的证明。</w:t>
      </w:r>
    </w:p>
    <w:p w14:paraId="42F1B64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3、双方当事人应在不可抗力事件结束或其影响消除后立即继续履行其合同义务，合同期限也应相应顺延。不可抗力事件延续 15 天以上，双方应通过友好协商，确定是否继续履行合同。</w:t>
      </w:r>
    </w:p>
    <w:p w14:paraId="26A1E49C">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十</w:t>
      </w:r>
      <w:r>
        <w:rPr>
          <w:rFonts w:hint="eastAsia" w:ascii="宋体" w:hAnsi="宋体" w:cs="宋体"/>
          <w:b/>
          <w:bCs/>
          <w:spacing w:val="0"/>
          <w:sz w:val="24"/>
          <w:szCs w:val="24"/>
          <w:lang w:eastAsia="zh-CN"/>
        </w:rPr>
        <w:t>四</w:t>
      </w:r>
      <w:r>
        <w:rPr>
          <w:rFonts w:hint="eastAsia" w:ascii="宋体" w:hAnsi="宋体" w:eastAsia="宋体" w:cs="宋体"/>
          <w:b/>
          <w:bCs/>
          <w:spacing w:val="0"/>
          <w:sz w:val="24"/>
          <w:szCs w:val="24"/>
        </w:rPr>
        <w:t>、合同争议解决方式</w:t>
      </w:r>
    </w:p>
    <w:p w14:paraId="1142CB8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 xml:space="preserve">因执行本合同所发生的或与本合同有关的一切争议，双方应通过友好协商解决。如果协商开始后六十（60）天还不能解决，双方可依以下第2种方式解决： </w:t>
      </w:r>
    </w:p>
    <w:p w14:paraId="4F3AC61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1、双方达成仲裁协议，向约定的仲裁委员会申请仲裁。</w:t>
      </w:r>
    </w:p>
    <w:p w14:paraId="1897E4A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2、向甲方所在地有管</w:t>
      </w:r>
      <w:bookmarkStart w:id="2" w:name="_GoBack"/>
      <w:bookmarkEnd w:id="2"/>
      <w:r>
        <w:rPr>
          <w:rFonts w:hint="eastAsia" w:ascii="宋体" w:hAnsi="宋体" w:eastAsia="宋体" w:cs="宋体"/>
          <w:spacing w:val="0"/>
          <w:sz w:val="24"/>
          <w:szCs w:val="24"/>
        </w:rPr>
        <w:t>辖权的人民法院起诉。</w:t>
      </w:r>
    </w:p>
    <w:p w14:paraId="790DAAB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十</w:t>
      </w:r>
      <w:r>
        <w:rPr>
          <w:rFonts w:hint="eastAsia" w:ascii="宋体" w:hAnsi="宋体" w:cs="宋体"/>
          <w:b/>
          <w:bCs/>
          <w:spacing w:val="0"/>
          <w:sz w:val="24"/>
          <w:szCs w:val="24"/>
          <w:lang w:eastAsia="zh-CN"/>
        </w:rPr>
        <w:t>五</w:t>
      </w:r>
      <w:r>
        <w:rPr>
          <w:rFonts w:hint="eastAsia" w:ascii="宋体" w:hAnsi="宋体" w:eastAsia="宋体" w:cs="宋体"/>
          <w:b/>
          <w:bCs/>
          <w:spacing w:val="0"/>
          <w:sz w:val="24"/>
          <w:szCs w:val="24"/>
        </w:rPr>
        <w:t>、生效条件、订立日期</w:t>
      </w:r>
    </w:p>
    <w:p w14:paraId="49F7E1E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本合同一式陆份，具有同等法律效力，甲方叁份，乙方壹份，监管部门备案壹份、采购代理机构存档壹份。各方签字盖章后生效，合同执行完毕自动失效。(合同的服务承诺则长期有效)。</w:t>
      </w:r>
    </w:p>
    <w:p w14:paraId="2AE845C3">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十</w:t>
      </w:r>
      <w:r>
        <w:rPr>
          <w:rFonts w:hint="eastAsia" w:ascii="宋体" w:hAnsi="宋体" w:cs="宋体"/>
          <w:b/>
          <w:bCs/>
          <w:spacing w:val="0"/>
          <w:sz w:val="24"/>
          <w:szCs w:val="24"/>
          <w:lang w:eastAsia="zh-CN"/>
        </w:rPr>
        <w:t>六</w:t>
      </w:r>
      <w:r>
        <w:rPr>
          <w:rFonts w:hint="eastAsia" w:ascii="宋体" w:hAnsi="宋体" w:eastAsia="宋体" w:cs="宋体"/>
          <w:b/>
          <w:bCs/>
          <w:spacing w:val="0"/>
          <w:sz w:val="24"/>
          <w:szCs w:val="24"/>
        </w:rPr>
        <w:t>、其他事项</w:t>
      </w:r>
    </w:p>
    <w:p w14:paraId="3D8473AA">
      <w:pPr>
        <w:keepNext w:val="0"/>
        <w:keepLines w:val="0"/>
        <w:pageBreakBefore w:val="0"/>
        <w:widowControl w:val="0"/>
        <w:kinsoku/>
        <w:wordWrap w:val="0"/>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kern w:val="0"/>
          <w:sz w:val="24"/>
          <w:szCs w:val="24"/>
        </w:rPr>
      </w:pPr>
      <w:r>
        <w:rPr>
          <w:rFonts w:hint="eastAsia" w:ascii="宋体" w:hAnsi="宋体" w:eastAsia="宋体" w:cs="宋体"/>
          <w:spacing w:val="0"/>
          <w:kern w:val="0"/>
          <w:sz w:val="24"/>
          <w:szCs w:val="24"/>
        </w:rPr>
        <w:t>1、双方承诺</w:t>
      </w:r>
    </w:p>
    <w:p w14:paraId="178C0336">
      <w:pPr>
        <w:keepNext w:val="0"/>
        <w:keepLines w:val="0"/>
        <w:pageBreakBefore w:val="0"/>
        <w:widowControl w:val="0"/>
        <w:kinsoku/>
        <w:wordWrap w:val="0"/>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kern w:val="0"/>
          <w:sz w:val="24"/>
          <w:szCs w:val="24"/>
        </w:rPr>
      </w:pPr>
      <w:r>
        <w:rPr>
          <w:rFonts w:hint="eastAsia" w:ascii="宋体" w:hAnsi="宋体" w:eastAsia="宋体" w:cs="宋体"/>
          <w:spacing w:val="0"/>
          <w:kern w:val="0"/>
          <w:sz w:val="24"/>
          <w:szCs w:val="24"/>
        </w:rPr>
        <w:t>乙方向甲方承诺，按照本合同约定提供相关货物及服务。</w:t>
      </w:r>
    </w:p>
    <w:p w14:paraId="36042F36">
      <w:pPr>
        <w:keepNext w:val="0"/>
        <w:keepLines w:val="0"/>
        <w:pageBreakBefore w:val="0"/>
        <w:widowControl w:val="0"/>
        <w:kinsoku/>
        <w:wordWrap w:val="0"/>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kern w:val="0"/>
          <w:sz w:val="24"/>
          <w:szCs w:val="24"/>
        </w:rPr>
      </w:pPr>
      <w:r>
        <w:rPr>
          <w:rFonts w:hint="eastAsia" w:ascii="宋体" w:hAnsi="宋体" w:eastAsia="宋体" w:cs="宋体"/>
          <w:spacing w:val="0"/>
          <w:kern w:val="0"/>
          <w:sz w:val="24"/>
          <w:szCs w:val="24"/>
        </w:rPr>
        <w:t>甲方向乙方承诺，按照本合同约定支付合同款项。</w:t>
      </w:r>
    </w:p>
    <w:p w14:paraId="0DE4F0DC">
      <w:pPr>
        <w:keepNext w:val="0"/>
        <w:keepLines w:val="0"/>
        <w:pageBreakBefore w:val="0"/>
        <w:widowControl w:val="0"/>
        <w:kinsoku/>
        <w:wordWrap w:val="0"/>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kern w:val="0"/>
          <w:sz w:val="24"/>
          <w:szCs w:val="24"/>
        </w:rPr>
      </w:pPr>
      <w:r>
        <w:rPr>
          <w:rFonts w:hint="eastAsia" w:ascii="宋体" w:hAnsi="宋体" w:eastAsia="宋体" w:cs="宋体"/>
          <w:spacing w:val="0"/>
          <w:kern w:val="0"/>
          <w:sz w:val="24"/>
          <w:szCs w:val="24"/>
        </w:rPr>
        <w:t>2、组成本合同的文件</w:t>
      </w:r>
    </w:p>
    <w:p w14:paraId="541AD52D">
      <w:pPr>
        <w:keepNext w:val="0"/>
        <w:keepLines w:val="0"/>
        <w:pageBreakBefore w:val="0"/>
        <w:widowControl w:val="0"/>
        <w:kinsoku/>
        <w:wordWrap w:val="0"/>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kern w:val="0"/>
          <w:sz w:val="24"/>
          <w:szCs w:val="24"/>
        </w:rPr>
      </w:pPr>
      <w:r>
        <w:rPr>
          <w:rFonts w:hint="eastAsia" w:ascii="宋体" w:hAnsi="宋体" w:eastAsia="宋体" w:cs="宋体"/>
          <w:spacing w:val="0"/>
          <w:kern w:val="0"/>
          <w:sz w:val="24"/>
          <w:szCs w:val="24"/>
        </w:rPr>
        <w:t>（1）协议书；</w:t>
      </w:r>
    </w:p>
    <w:p w14:paraId="5DF9FBD9">
      <w:pPr>
        <w:keepNext w:val="0"/>
        <w:keepLines w:val="0"/>
        <w:pageBreakBefore w:val="0"/>
        <w:widowControl w:val="0"/>
        <w:kinsoku/>
        <w:wordWrap w:val="0"/>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kern w:val="0"/>
          <w:sz w:val="24"/>
          <w:szCs w:val="24"/>
        </w:rPr>
      </w:pPr>
      <w:r>
        <w:rPr>
          <w:rFonts w:hint="eastAsia" w:ascii="宋体" w:hAnsi="宋体" w:eastAsia="宋体" w:cs="宋体"/>
          <w:spacing w:val="0"/>
          <w:kern w:val="0"/>
          <w:sz w:val="24"/>
          <w:szCs w:val="24"/>
        </w:rPr>
        <w:t>（2）成交通知书、单一来源采购响应文件、单一来源采购文件、澄清、补充文件；</w:t>
      </w:r>
    </w:p>
    <w:p w14:paraId="4D7162D6">
      <w:pPr>
        <w:keepNext w:val="0"/>
        <w:keepLines w:val="0"/>
        <w:pageBreakBefore w:val="0"/>
        <w:widowControl w:val="0"/>
        <w:kinsoku/>
        <w:wordWrap w:val="0"/>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kern w:val="0"/>
          <w:sz w:val="24"/>
          <w:szCs w:val="24"/>
        </w:rPr>
      </w:pPr>
      <w:r>
        <w:rPr>
          <w:rFonts w:hint="eastAsia" w:ascii="宋体" w:hAnsi="宋体" w:eastAsia="宋体" w:cs="宋体"/>
          <w:spacing w:val="0"/>
          <w:kern w:val="0"/>
          <w:sz w:val="24"/>
          <w:szCs w:val="24"/>
        </w:rPr>
        <w:t>（3）相关服务建议书；</w:t>
      </w:r>
    </w:p>
    <w:p w14:paraId="4B4F8FA1">
      <w:pPr>
        <w:keepNext w:val="0"/>
        <w:keepLines w:val="0"/>
        <w:pageBreakBefore w:val="0"/>
        <w:widowControl w:val="0"/>
        <w:kinsoku/>
        <w:wordWrap w:val="0"/>
        <w:overflowPunct/>
        <w:topLinePunct w:val="0"/>
        <w:autoSpaceDE/>
        <w:autoSpaceDN/>
        <w:bidi w:val="0"/>
        <w:adjustRightInd w:val="0"/>
        <w:snapToGrid w:val="0"/>
        <w:spacing w:line="360" w:lineRule="auto"/>
        <w:ind w:right="0" w:rightChars="0" w:firstLine="480" w:firstLineChars="200"/>
        <w:jc w:val="both"/>
        <w:textAlignment w:val="auto"/>
        <w:rPr>
          <w:rFonts w:hint="eastAsia" w:ascii="宋体" w:hAnsi="宋体" w:eastAsia="宋体" w:cs="宋体"/>
          <w:spacing w:val="0"/>
          <w:sz w:val="24"/>
          <w:szCs w:val="24"/>
        </w:rPr>
      </w:pPr>
      <w:r>
        <w:rPr>
          <w:rFonts w:hint="eastAsia" w:ascii="宋体" w:hAnsi="宋体" w:eastAsia="宋体" w:cs="宋体"/>
          <w:spacing w:val="0"/>
          <w:kern w:val="0"/>
          <w:sz w:val="24"/>
          <w:szCs w:val="24"/>
        </w:rPr>
        <w:t>本合同签订后，双方依法签订的补充协议也是本合同文件的组成部分。</w:t>
      </w:r>
    </w:p>
    <w:p w14:paraId="0430D060">
      <w:pPr>
        <w:keepNext w:val="0"/>
        <w:keepLines w:val="0"/>
        <w:pageBreakBefore w:val="0"/>
        <w:widowControl w:val="0"/>
        <w:kinsoku/>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宋体"/>
          <w:b/>
          <w:bCs/>
          <w:spacing w:val="0"/>
          <w:sz w:val="24"/>
          <w:szCs w:val="24"/>
        </w:rPr>
        <w:sectPr>
          <w:pgSz w:w="11906" w:h="16838"/>
          <w:pgMar w:top="1440" w:right="1800" w:bottom="1440" w:left="1800" w:header="851" w:footer="992" w:gutter="0"/>
          <w:cols w:space="425" w:num="1"/>
          <w:docGrid w:type="lines" w:linePitch="312" w:charSpace="0"/>
        </w:sectPr>
      </w:pPr>
    </w:p>
    <w:p w14:paraId="5639631C">
      <w:pPr>
        <w:keepNext w:val="0"/>
        <w:keepLines w:val="0"/>
        <w:pageBreakBefore w:val="0"/>
        <w:widowControl w:val="0"/>
        <w:kinsoku/>
        <w:overflowPunct/>
        <w:topLinePunct w:val="0"/>
        <w:autoSpaceDE/>
        <w:autoSpaceDN/>
        <w:bidi w:val="0"/>
        <w:adjustRightInd w:val="0"/>
        <w:snapToGrid w:val="0"/>
        <w:spacing w:line="360" w:lineRule="auto"/>
        <w:jc w:val="both"/>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w:t>
      </w:r>
      <w:r>
        <w:rPr>
          <w:rFonts w:hint="eastAsia" w:ascii="宋体" w:hAnsi="宋体" w:eastAsia="宋体" w:cs="宋体"/>
          <w:b/>
          <w:bCs/>
          <w:spacing w:val="0"/>
          <w:sz w:val="24"/>
          <w:szCs w:val="24"/>
        </w:rPr>
        <w:t>签章页</w:t>
      </w:r>
      <w:r>
        <w:rPr>
          <w:rFonts w:hint="eastAsia" w:ascii="宋体" w:hAnsi="宋体" w:cs="宋体"/>
          <w:b/>
          <w:bCs/>
          <w:spacing w:val="0"/>
          <w:sz w:val="24"/>
          <w:szCs w:val="24"/>
          <w:lang w:eastAsia="zh-CN"/>
        </w:rPr>
        <w:t>）</w:t>
      </w:r>
    </w:p>
    <w:p w14:paraId="7EF54F3C">
      <w:pPr>
        <w:keepNext w:val="0"/>
        <w:keepLines w:val="0"/>
        <w:pageBreakBefore w:val="0"/>
        <w:widowControl w:val="0"/>
        <w:kinsoku/>
        <w:overflowPunct/>
        <w:topLinePunct w:val="0"/>
        <w:autoSpaceDE/>
        <w:autoSpaceDN/>
        <w:bidi w:val="0"/>
        <w:adjustRightInd w:val="0"/>
        <w:snapToGrid w:val="0"/>
        <w:spacing w:line="360" w:lineRule="auto"/>
        <w:jc w:val="both"/>
        <w:textAlignment w:val="auto"/>
        <w:rPr>
          <w:rFonts w:hint="eastAsia" w:ascii="宋体" w:hAnsi="宋体" w:cs="宋体"/>
          <w:b/>
          <w:bCs/>
          <w:spacing w:val="0"/>
          <w:sz w:val="24"/>
          <w:szCs w:val="24"/>
          <w:lang w:eastAsia="zh-CN"/>
        </w:rPr>
      </w:pPr>
    </w:p>
    <w:tbl>
      <w:tblPr>
        <w:tblStyle w:val="5"/>
        <w:tblW w:w="9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5"/>
        <w:gridCol w:w="3107"/>
        <w:gridCol w:w="3107"/>
      </w:tblGrid>
      <w:tr w14:paraId="76169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3105" w:type="dxa"/>
            <w:noWrap w:val="0"/>
            <w:vAlign w:val="top"/>
          </w:tcPr>
          <w:p w14:paraId="318D71A4">
            <w:pPr>
              <w:autoSpaceDE w:val="0"/>
              <w:autoSpaceDN w:val="0"/>
              <w:adjustRightInd w:val="0"/>
              <w:spacing w:line="640" w:lineRule="exact"/>
              <w:rPr>
                <w:rFonts w:hint="eastAsia" w:ascii="宋体" w:hAnsi="宋体" w:eastAsia="宋体" w:cs="宋体"/>
                <w:bCs/>
                <w:spacing w:val="0"/>
                <w:sz w:val="24"/>
                <w:szCs w:val="24"/>
              </w:rPr>
            </w:pPr>
            <w:r>
              <w:rPr>
                <w:rFonts w:hint="eastAsia" w:ascii="宋体" w:hAnsi="宋体" w:eastAsia="宋体" w:cs="宋体"/>
                <w:bCs/>
                <w:spacing w:val="0"/>
                <w:sz w:val="24"/>
                <w:szCs w:val="24"/>
              </w:rPr>
              <w:t>甲  方</w:t>
            </w:r>
          </w:p>
        </w:tc>
        <w:tc>
          <w:tcPr>
            <w:tcW w:w="3107" w:type="dxa"/>
            <w:noWrap w:val="0"/>
            <w:vAlign w:val="top"/>
          </w:tcPr>
          <w:p w14:paraId="4FBECF4F">
            <w:pPr>
              <w:autoSpaceDE w:val="0"/>
              <w:autoSpaceDN w:val="0"/>
              <w:adjustRightInd w:val="0"/>
              <w:spacing w:line="640" w:lineRule="exact"/>
              <w:rPr>
                <w:rFonts w:hint="eastAsia" w:ascii="宋体" w:hAnsi="宋体" w:eastAsia="宋体" w:cs="宋体"/>
                <w:bCs/>
                <w:spacing w:val="0"/>
                <w:sz w:val="24"/>
                <w:szCs w:val="24"/>
              </w:rPr>
            </w:pPr>
            <w:r>
              <w:rPr>
                <w:rFonts w:hint="eastAsia" w:ascii="宋体" w:hAnsi="宋体" w:eastAsia="宋体" w:cs="宋体"/>
                <w:bCs/>
                <w:spacing w:val="0"/>
                <w:sz w:val="24"/>
                <w:szCs w:val="24"/>
              </w:rPr>
              <w:t>乙  方</w:t>
            </w:r>
          </w:p>
        </w:tc>
        <w:tc>
          <w:tcPr>
            <w:tcW w:w="3107" w:type="dxa"/>
            <w:noWrap w:val="0"/>
            <w:vAlign w:val="top"/>
          </w:tcPr>
          <w:p w14:paraId="0EF12365">
            <w:pPr>
              <w:autoSpaceDE w:val="0"/>
              <w:autoSpaceDN w:val="0"/>
              <w:adjustRightInd w:val="0"/>
              <w:spacing w:line="640" w:lineRule="exact"/>
              <w:rPr>
                <w:rFonts w:hint="eastAsia" w:ascii="宋体" w:hAnsi="宋体" w:eastAsia="宋体" w:cs="宋体"/>
                <w:bCs/>
                <w:spacing w:val="0"/>
                <w:sz w:val="24"/>
                <w:szCs w:val="24"/>
                <w:lang w:val="en-US" w:eastAsia="zh-CN"/>
              </w:rPr>
            </w:pPr>
            <w:r>
              <w:rPr>
                <w:rFonts w:hint="eastAsia" w:ascii="宋体" w:hAnsi="宋体" w:cs="宋体"/>
                <w:bCs/>
                <w:spacing w:val="0"/>
                <w:sz w:val="24"/>
                <w:szCs w:val="24"/>
                <w:lang w:val="en-US" w:eastAsia="zh-CN"/>
              </w:rPr>
              <w:t>见证方</w:t>
            </w:r>
          </w:p>
        </w:tc>
      </w:tr>
      <w:tr w14:paraId="0BE3C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7" w:hRule="atLeast"/>
          <w:jc w:val="center"/>
        </w:trPr>
        <w:tc>
          <w:tcPr>
            <w:tcW w:w="3105" w:type="dxa"/>
            <w:noWrap w:val="0"/>
            <w:vAlign w:val="top"/>
          </w:tcPr>
          <w:p w14:paraId="413CD52F">
            <w:pPr>
              <w:autoSpaceDE w:val="0"/>
              <w:autoSpaceDN w:val="0"/>
              <w:adjustRightInd w:val="0"/>
              <w:spacing w:line="640" w:lineRule="exact"/>
              <w:rPr>
                <w:rFonts w:hint="eastAsia" w:ascii="宋体" w:hAnsi="宋体" w:eastAsia="宋体" w:cs="宋体"/>
                <w:bCs/>
                <w:spacing w:val="0"/>
                <w:sz w:val="24"/>
                <w:szCs w:val="24"/>
                <w:lang w:eastAsia="zh-CN"/>
              </w:rPr>
            </w:pPr>
            <w:r>
              <w:rPr>
                <w:rFonts w:hint="eastAsia" w:ascii="宋体" w:hAnsi="宋体" w:eastAsia="宋体" w:cs="宋体"/>
                <w:bCs/>
                <w:spacing w:val="0"/>
                <w:sz w:val="24"/>
                <w:szCs w:val="24"/>
                <w:lang w:eastAsia="zh-CN"/>
              </w:rPr>
              <w:t>西安市公安局交通管理支队</w:t>
            </w:r>
          </w:p>
          <w:p w14:paraId="01973126">
            <w:pPr>
              <w:autoSpaceDE w:val="0"/>
              <w:autoSpaceDN w:val="0"/>
              <w:adjustRightInd w:val="0"/>
              <w:spacing w:line="640" w:lineRule="exact"/>
              <w:rPr>
                <w:rFonts w:hint="eastAsia" w:ascii="宋体" w:hAnsi="宋体" w:eastAsia="宋体" w:cs="宋体"/>
                <w:bCs/>
                <w:spacing w:val="0"/>
                <w:sz w:val="24"/>
                <w:szCs w:val="24"/>
              </w:rPr>
            </w:pPr>
            <w:r>
              <w:rPr>
                <w:rFonts w:hint="eastAsia" w:ascii="宋体" w:hAnsi="宋体" w:eastAsia="宋体" w:cs="宋体"/>
                <w:bCs/>
                <w:spacing w:val="0"/>
                <w:sz w:val="24"/>
                <w:szCs w:val="24"/>
              </w:rPr>
              <w:t>（公章）</w:t>
            </w:r>
          </w:p>
        </w:tc>
        <w:tc>
          <w:tcPr>
            <w:tcW w:w="3107" w:type="dxa"/>
            <w:noWrap w:val="0"/>
            <w:vAlign w:val="top"/>
          </w:tcPr>
          <w:p w14:paraId="6E8FD496">
            <w:pPr>
              <w:autoSpaceDE w:val="0"/>
              <w:autoSpaceDN w:val="0"/>
              <w:adjustRightInd w:val="0"/>
              <w:spacing w:line="640" w:lineRule="exact"/>
              <w:rPr>
                <w:rFonts w:hint="eastAsia" w:ascii="宋体" w:hAnsi="宋体" w:eastAsia="宋体" w:cs="宋体"/>
                <w:bCs/>
                <w:spacing w:val="0"/>
                <w:sz w:val="24"/>
                <w:szCs w:val="24"/>
              </w:rPr>
            </w:pPr>
          </w:p>
          <w:p w14:paraId="0CEDB7A6">
            <w:pPr>
              <w:autoSpaceDE w:val="0"/>
              <w:autoSpaceDN w:val="0"/>
              <w:adjustRightInd w:val="0"/>
              <w:spacing w:line="640" w:lineRule="exact"/>
              <w:rPr>
                <w:rFonts w:hint="eastAsia" w:ascii="宋体" w:hAnsi="宋体" w:eastAsia="宋体" w:cs="宋体"/>
                <w:bCs/>
                <w:spacing w:val="0"/>
                <w:sz w:val="24"/>
                <w:szCs w:val="24"/>
              </w:rPr>
            </w:pPr>
          </w:p>
          <w:p w14:paraId="14984F5F">
            <w:pPr>
              <w:autoSpaceDE w:val="0"/>
              <w:autoSpaceDN w:val="0"/>
              <w:adjustRightInd w:val="0"/>
              <w:spacing w:line="640" w:lineRule="exact"/>
              <w:rPr>
                <w:rFonts w:hint="eastAsia" w:ascii="宋体" w:hAnsi="宋体" w:eastAsia="宋体" w:cs="宋体"/>
                <w:bCs/>
                <w:spacing w:val="0"/>
                <w:sz w:val="24"/>
                <w:szCs w:val="24"/>
              </w:rPr>
            </w:pPr>
            <w:r>
              <w:rPr>
                <w:rFonts w:hint="eastAsia" w:ascii="宋体" w:hAnsi="宋体" w:eastAsia="宋体" w:cs="宋体"/>
                <w:bCs/>
                <w:spacing w:val="0"/>
                <w:sz w:val="24"/>
                <w:szCs w:val="24"/>
              </w:rPr>
              <w:t>（公章）</w:t>
            </w:r>
          </w:p>
        </w:tc>
        <w:tc>
          <w:tcPr>
            <w:tcW w:w="3107" w:type="dxa"/>
            <w:noWrap w:val="0"/>
            <w:vAlign w:val="top"/>
          </w:tcPr>
          <w:p w14:paraId="3DEFC9F5">
            <w:pPr>
              <w:autoSpaceDE w:val="0"/>
              <w:autoSpaceDN w:val="0"/>
              <w:adjustRightInd w:val="0"/>
              <w:spacing w:line="640" w:lineRule="exact"/>
              <w:rPr>
                <w:rFonts w:hint="eastAsia" w:ascii="宋体" w:hAnsi="宋体" w:eastAsia="宋体" w:cs="宋体"/>
                <w:bCs/>
                <w:spacing w:val="0"/>
                <w:sz w:val="24"/>
                <w:szCs w:val="24"/>
              </w:rPr>
            </w:pPr>
            <w:r>
              <w:rPr>
                <w:rFonts w:hint="eastAsia" w:ascii="宋体" w:hAnsi="宋体" w:eastAsia="宋体" w:cs="宋体"/>
                <w:bCs/>
                <w:spacing w:val="0"/>
                <w:sz w:val="24"/>
                <w:szCs w:val="24"/>
              </w:rPr>
              <w:t>陕西华茂建设监理咨询有限公司</w:t>
            </w:r>
          </w:p>
          <w:p w14:paraId="3A5B6AD1">
            <w:pPr>
              <w:autoSpaceDE w:val="0"/>
              <w:autoSpaceDN w:val="0"/>
              <w:adjustRightInd w:val="0"/>
              <w:spacing w:line="640" w:lineRule="exact"/>
              <w:rPr>
                <w:rFonts w:hint="eastAsia" w:ascii="宋体" w:hAnsi="宋体" w:eastAsia="宋体" w:cs="宋体"/>
                <w:bCs/>
                <w:spacing w:val="0"/>
                <w:sz w:val="24"/>
                <w:szCs w:val="24"/>
              </w:rPr>
            </w:pPr>
            <w:r>
              <w:rPr>
                <w:rFonts w:hint="eastAsia" w:ascii="宋体" w:hAnsi="宋体" w:eastAsia="宋体" w:cs="宋体"/>
                <w:bCs/>
                <w:spacing w:val="0"/>
                <w:sz w:val="24"/>
                <w:szCs w:val="24"/>
              </w:rPr>
              <w:t>（公章）</w:t>
            </w:r>
          </w:p>
        </w:tc>
      </w:tr>
      <w:tr w14:paraId="06975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3" w:hRule="atLeast"/>
          <w:jc w:val="center"/>
        </w:trPr>
        <w:tc>
          <w:tcPr>
            <w:tcW w:w="3105" w:type="dxa"/>
            <w:noWrap w:val="0"/>
            <w:vAlign w:val="top"/>
          </w:tcPr>
          <w:p w14:paraId="3131801B">
            <w:pPr>
              <w:autoSpaceDE w:val="0"/>
              <w:autoSpaceDN w:val="0"/>
              <w:adjustRightInd w:val="0"/>
              <w:spacing w:line="640" w:lineRule="exact"/>
              <w:rPr>
                <w:rFonts w:hint="eastAsia" w:ascii="宋体" w:hAnsi="宋体" w:eastAsia="宋体" w:cs="宋体"/>
                <w:bCs/>
                <w:spacing w:val="0"/>
                <w:sz w:val="24"/>
                <w:szCs w:val="24"/>
              </w:rPr>
            </w:pPr>
            <w:r>
              <w:rPr>
                <w:rFonts w:hint="eastAsia" w:ascii="宋体" w:hAnsi="宋体" w:eastAsia="宋体" w:cs="宋体"/>
                <w:bCs/>
                <w:spacing w:val="0"/>
                <w:sz w:val="24"/>
                <w:szCs w:val="24"/>
              </w:rPr>
              <w:t>地址：陕西省西安市雁塔区太白南路222号</w:t>
            </w:r>
          </w:p>
        </w:tc>
        <w:tc>
          <w:tcPr>
            <w:tcW w:w="3107" w:type="dxa"/>
            <w:noWrap w:val="0"/>
            <w:vAlign w:val="top"/>
          </w:tcPr>
          <w:p w14:paraId="51820E99">
            <w:pPr>
              <w:autoSpaceDE w:val="0"/>
              <w:autoSpaceDN w:val="0"/>
              <w:adjustRightInd w:val="0"/>
              <w:spacing w:line="640" w:lineRule="exact"/>
              <w:rPr>
                <w:rFonts w:hint="eastAsia" w:ascii="宋体" w:hAnsi="宋体" w:eastAsia="宋体" w:cs="宋体"/>
                <w:bCs/>
                <w:spacing w:val="0"/>
                <w:sz w:val="24"/>
                <w:szCs w:val="24"/>
              </w:rPr>
            </w:pPr>
            <w:r>
              <w:rPr>
                <w:rFonts w:hint="eastAsia" w:ascii="宋体" w:hAnsi="宋体" w:eastAsia="宋体" w:cs="宋体"/>
                <w:bCs/>
                <w:spacing w:val="0"/>
                <w:sz w:val="24"/>
                <w:szCs w:val="24"/>
              </w:rPr>
              <w:t>地址：</w:t>
            </w:r>
          </w:p>
        </w:tc>
        <w:tc>
          <w:tcPr>
            <w:tcW w:w="3107" w:type="dxa"/>
            <w:shd w:val="clear" w:color="auto" w:fill="auto"/>
            <w:noWrap w:val="0"/>
            <w:vAlign w:val="top"/>
          </w:tcPr>
          <w:p w14:paraId="3415BF81">
            <w:pPr>
              <w:autoSpaceDE w:val="0"/>
              <w:autoSpaceDN w:val="0"/>
              <w:adjustRightInd w:val="0"/>
              <w:spacing w:line="640" w:lineRule="exact"/>
              <w:rPr>
                <w:rFonts w:hint="eastAsia" w:ascii="宋体" w:hAnsi="宋体" w:eastAsia="宋体" w:cs="宋体"/>
                <w:bCs/>
                <w:spacing w:val="0"/>
                <w:sz w:val="24"/>
                <w:szCs w:val="24"/>
                <w:lang w:val="en-US" w:eastAsia="zh-CN"/>
              </w:rPr>
            </w:pPr>
            <w:r>
              <w:rPr>
                <w:rFonts w:hint="eastAsia" w:ascii="宋体" w:hAnsi="宋体" w:eastAsia="宋体" w:cs="宋体"/>
                <w:bCs/>
                <w:spacing w:val="0"/>
                <w:sz w:val="24"/>
                <w:szCs w:val="24"/>
              </w:rPr>
              <w:t>地址：西安市新城区东六路民安大厦二期五楼526室</w:t>
            </w:r>
          </w:p>
        </w:tc>
      </w:tr>
      <w:tr w14:paraId="59E7C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3105" w:type="dxa"/>
            <w:noWrap w:val="0"/>
            <w:vAlign w:val="top"/>
          </w:tcPr>
          <w:p w14:paraId="39453BCD">
            <w:pPr>
              <w:autoSpaceDE w:val="0"/>
              <w:autoSpaceDN w:val="0"/>
              <w:adjustRightInd w:val="0"/>
              <w:spacing w:line="640" w:lineRule="exact"/>
              <w:rPr>
                <w:rFonts w:hint="eastAsia" w:ascii="宋体" w:hAnsi="宋体" w:eastAsia="宋体" w:cs="宋体"/>
                <w:bCs/>
                <w:spacing w:val="0"/>
                <w:sz w:val="24"/>
                <w:szCs w:val="24"/>
              </w:rPr>
            </w:pPr>
            <w:r>
              <w:rPr>
                <w:rFonts w:hint="eastAsia" w:ascii="宋体" w:hAnsi="宋体" w:eastAsia="宋体" w:cs="宋体"/>
                <w:bCs/>
                <w:spacing w:val="0"/>
                <w:sz w:val="24"/>
                <w:szCs w:val="24"/>
              </w:rPr>
              <w:t>邮编：710000</w:t>
            </w:r>
          </w:p>
        </w:tc>
        <w:tc>
          <w:tcPr>
            <w:tcW w:w="3107" w:type="dxa"/>
            <w:noWrap w:val="0"/>
            <w:vAlign w:val="top"/>
          </w:tcPr>
          <w:p w14:paraId="757C7368">
            <w:pPr>
              <w:autoSpaceDE w:val="0"/>
              <w:autoSpaceDN w:val="0"/>
              <w:adjustRightInd w:val="0"/>
              <w:spacing w:line="640" w:lineRule="exact"/>
              <w:rPr>
                <w:rFonts w:hint="eastAsia" w:ascii="宋体" w:hAnsi="宋体" w:eastAsia="宋体" w:cs="宋体"/>
                <w:bCs/>
                <w:spacing w:val="0"/>
                <w:sz w:val="24"/>
                <w:szCs w:val="24"/>
              </w:rPr>
            </w:pPr>
            <w:r>
              <w:rPr>
                <w:rFonts w:hint="eastAsia" w:ascii="宋体" w:hAnsi="宋体" w:eastAsia="宋体" w:cs="宋体"/>
                <w:bCs/>
                <w:spacing w:val="0"/>
                <w:sz w:val="24"/>
                <w:szCs w:val="24"/>
              </w:rPr>
              <w:t>邮编：</w:t>
            </w:r>
          </w:p>
        </w:tc>
        <w:tc>
          <w:tcPr>
            <w:tcW w:w="3107" w:type="dxa"/>
            <w:shd w:val="clear" w:color="auto" w:fill="auto"/>
            <w:noWrap w:val="0"/>
            <w:vAlign w:val="top"/>
          </w:tcPr>
          <w:p w14:paraId="1CCE64CB">
            <w:pPr>
              <w:autoSpaceDE w:val="0"/>
              <w:autoSpaceDN w:val="0"/>
              <w:adjustRightInd w:val="0"/>
              <w:spacing w:line="640" w:lineRule="exact"/>
              <w:rPr>
                <w:rFonts w:hint="eastAsia" w:ascii="宋体" w:hAnsi="宋体" w:eastAsia="宋体" w:cs="宋体"/>
                <w:bCs/>
                <w:spacing w:val="0"/>
                <w:sz w:val="24"/>
                <w:szCs w:val="24"/>
                <w:lang w:val="en-US" w:eastAsia="zh-CN"/>
              </w:rPr>
            </w:pPr>
            <w:r>
              <w:rPr>
                <w:rFonts w:hint="eastAsia" w:ascii="宋体" w:hAnsi="宋体" w:eastAsia="宋体" w:cs="宋体"/>
                <w:bCs/>
                <w:spacing w:val="0"/>
                <w:sz w:val="24"/>
                <w:szCs w:val="24"/>
              </w:rPr>
              <w:t>邮编：710000</w:t>
            </w:r>
          </w:p>
        </w:tc>
      </w:tr>
      <w:tr w14:paraId="059A3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3105" w:type="dxa"/>
            <w:noWrap w:val="0"/>
            <w:vAlign w:val="top"/>
          </w:tcPr>
          <w:p w14:paraId="0A99F871">
            <w:pPr>
              <w:autoSpaceDE w:val="0"/>
              <w:autoSpaceDN w:val="0"/>
              <w:adjustRightInd w:val="0"/>
              <w:spacing w:line="640" w:lineRule="exact"/>
              <w:rPr>
                <w:rFonts w:hint="eastAsia" w:ascii="宋体" w:hAnsi="宋体" w:eastAsia="宋体" w:cs="宋体"/>
                <w:bCs/>
                <w:spacing w:val="0"/>
                <w:sz w:val="24"/>
                <w:szCs w:val="24"/>
              </w:rPr>
            </w:pPr>
            <w:r>
              <w:rPr>
                <w:rFonts w:hint="eastAsia" w:ascii="宋体" w:hAnsi="宋体" w:eastAsia="宋体" w:cs="宋体"/>
                <w:bCs/>
                <w:spacing w:val="0"/>
                <w:sz w:val="24"/>
                <w:szCs w:val="24"/>
              </w:rPr>
              <w:t>法定代表人：</w:t>
            </w:r>
          </w:p>
        </w:tc>
        <w:tc>
          <w:tcPr>
            <w:tcW w:w="3107" w:type="dxa"/>
            <w:noWrap w:val="0"/>
            <w:vAlign w:val="top"/>
          </w:tcPr>
          <w:p w14:paraId="41DD1A49">
            <w:pPr>
              <w:autoSpaceDE w:val="0"/>
              <w:autoSpaceDN w:val="0"/>
              <w:adjustRightInd w:val="0"/>
              <w:spacing w:line="640" w:lineRule="exact"/>
              <w:rPr>
                <w:rFonts w:hint="eastAsia" w:ascii="宋体" w:hAnsi="宋体" w:eastAsia="宋体" w:cs="宋体"/>
                <w:bCs/>
                <w:spacing w:val="0"/>
                <w:sz w:val="24"/>
                <w:szCs w:val="24"/>
              </w:rPr>
            </w:pPr>
            <w:r>
              <w:rPr>
                <w:rFonts w:hint="eastAsia" w:ascii="宋体" w:hAnsi="宋体" w:eastAsia="宋体" w:cs="宋体"/>
                <w:bCs/>
                <w:spacing w:val="0"/>
                <w:sz w:val="24"/>
                <w:szCs w:val="24"/>
              </w:rPr>
              <w:t>法定代表人：</w:t>
            </w:r>
          </w:p>
        </w:tc>
        <w:tc>
          <w:tcPr>
            <w:tcW w:w="3107" w:type="dxa"/>
            <w:shd w:val="clear" w:color="auto" w:fill="auto"/>
            <w:noWrap w:val="0"/>
            <w:vAlign w:val="top"/>
          </w:tcPr>
          <w:p w14:paraId="39789852">
            <w:pPr>
              <w:autoSpaceDE w:val="0"/>
              <w:autoSpaceDN w:val="0"/>
              <w:adjustRightInd w:val="0"/>
              <w:spacing w:line="640" w:lineRule="exact"/>
              <w:rPr>
                <w:rFonts w:hint="eastAsia" w:ascii="宋体" w:hAnsi="宋体" w:eastAsia="宋体" w:cs="宋体"/>
                <w:bCs/>
                <w:spacing w:val="0"/>
                <w:sz w:val="24"/>
                <w:szCs w:val="24"/>
                <w:lang w:val="en-US" w:eastAsia="zh-CN"/>
              </w:rPr>
            </w:pPr>
            <w:r>
              <w:rPr>
                <w:rFonts w:hint="eastAsia" w:ascii="宋体" w:hAnsi="宋体" w:eastAsia="宋体" w:cs="宋体"/>
                <w:bCs/>
                <w:spacing w:val="0"/>
                <w:sz w:val="24"/>
                <w:szCs w:val="24"/>
              </w:rPr>
              <w:t>法定代表人：</w:t>
            </w:r>
          </w:p>
        </w:tc>
      </w:tr>
      <w:tr w14:paraId="66C3E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3105" w:type="dxa"/>
            <w:noWrap w:val="0"/>
            <w:vAlign w:val="top"/>
          </w:tcPr>
          <w:p w14:paraId="0938F7C7">
            <w:pPr>
              <w:autoSpaceDE w:val="0"/>
              <w:autoSpaceDN w:val="0"/>
              <w:adjustRightInd w:val="0"/>
              <w:spacing w:line="640" w:lineRule="exact"/>
              <w:rPr>
                <w:rFonts w:hint="eastAsia" w:ascii="宋体" w:hAnsi="宋体" w:eastAsia="宋体" w:cs="宋体"/>
                <w:bCs/>
                <w:spacing w:val="0"/>
                <w:sz w:val="24"/>
                <w:szCs w:val="24"/>
              </w:rPr>
            </w:pPr>
            <w:r>
              <w:rPr>
                <w:rFonts w:hint="eastAsia" w:ascii="宋体" w:hAnsi="宋体" w:eastAsia="宋体" w:cs="宋体"/>
                <w:bCs/>
                <w:spacing w:val="0"/>
                <w:sz w:val="24"/>
                <w:szCs w:val="24"/>
              </w:rPr>
              <w:t>负责人：</w:t>
            </w:r>
          </w:p>
        </w:tc>
        <w:tc>
          <w:tcPr>
            <w:tcW w:w="3107" w:type="dxa"/>
            <w:noWrap w:val="0"/>
            <w:vAlign w:val="top"/>
          </w:tcPr>
          <w:p w14:paraId="299A5A4B">
            <w:pPr>
              <w:autoSpaceDE w:val="0"/>
              <w:autoSpaceDN w:val="0"/>
              <w:adjustRightInd w:val="0"/>
              <w:spacing w:line="640" w:lineRule="exact"/>
              <w:rPr>
                <w:rFonts w:hint="eastAsia" w:ascii="宋体" w:hAnsi="宋体" w:eastAsia="宋体" w:cs="宋体"/>
                <w:bCs/>
                <w:spacing w:val="0"/>
                <w:sz w:val="24"/>
                <w:szCs w:val="24"/>
              </w:rPr>
            </w:pPr>
            <w:r>
              <w:rPr>
                <w:rFonts w:hint="eastAsia" w:ascii="宋体" w:hAnsi="宋体" w:eastAsia="宋体" w:cs="宋体"/>
                <w:bCs/>
                <w:spacing w:val="0"/>
                <w:sz w:val="24"/>
                <w:szCs w:val="24"/>
              </w:rPr>
              <w:t>负责人：</w:t>
            </w:r>
          </w:p>
        </w:tc>
        <w:tc>
          <w:tcPr>
            <w:tcW w:w="3107" w:type="dxa"/>
            <w:shd w:val="clear" w:color="auto" w:fill="auto"/>
            <w:noWrap w:val="0"/>
            <w:vAlign w:val="top"/>
          </w:tcPr>
          <w:p w14:paraId="67AFB83E">
            <w:pPr>
              <w:autoSpaceDE w:val="0"/>
              <w:autoSpaceDN w:val="0"/>
              <w:adjustRightInd w:val="0"/>
              <w:spacing w:line="640" w:lineRule="exact"/>
              <w:rPr>
                <w:rFonts w:hint="eastAsia" w:ascii="宋体" w:hAnsi="宋体" w:eastAsia="宋体" w:cs="宋体"/>
                <w:bCs/>
                <w:spacing w:val="0"/>
                <w:sz w:val="24"/>
                <w:szCs w:val="24"/>
                <w:lang w:val="en-US" w:eastAsia="zh-CN"/>
              </w:rPr>
            </w:pPr>
            <w:r>
              <w:rPr>
                <w:rFonts w:hint="eastAsia" w:ascii="宋体" w:hAnsi="宋体" w:eastAsia="宋体" w:cs="宋体"/>
                <w:bCs/>
                <w:spacing w:val="0"/>
                <w:sz w:val="24"/>
                <w:szCs w:val="24"/>
              </w:rPr>
              <w:t>负责人：</w:t>
            </w:r>
          </w:p>
        </w:tc>
      </w:tr>
      <w:tr w14:paraId="66FAD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3105" w:type="dxa"/>
            <w:noWrap w:val="0"/>
            <w:vAlign w:val="top"/>
          </w:tcPr>
          <w:p w14:paraId="3CA1E564">
            <w:pPr>
              <w:autoSpaceDE w:val="0"/>
              <w:autoSpaceDN w:val="0"/>
              <w:adjustRightInd w:val="0"/>
              <w:spacing w:line="640" w:lineRule="exact"/>
              <w:rPr>
                <w:rFonts w:hint="eastAsia" w:ascii="宋体" w:hAnsi="宋体" w:eastAsia="宋体" w:cs="宋体"/>
                <w:bCs/>
                <w:spacing w:val="0"/>
                <w:sz w:val="24"/>
                <w:szCs w:val="24"/>
              </w:rPr>
            </w:pPr>
            <w:r>
              <w:rPr>
                <w:rFonts w:hint="eastAsia" w:ascii="宋体" w:hAnsi="宋体" w:eastAsia="宋体" w:cs="宋体"/>
                <w:bCs/>
                <w:spacing w:val="0"/>
                <w:sz w:val="24"/>
                <w:szCs w:val="24"/>
              </w:rPr>
              <w:t>电话：</w:t>
            </w:r>
          </w:p>
        </w:tc>
        <w:tc>
          <w:tcPr>
            <w:tcW w:w="3107" w:type="dxa"/>
            <w:noWrap w:val="0"/>
            <w:vAlign w:val="top"/>
          </w:tcPr>
          <w:p w14:paraId="59FD2887">
            <w:pPr>
              <w:autoSpaceDE w:val="0"/>
              <w:autoSpaceDN w:val="0"/>
              <w:adjustRightInd w:val="0"/>
              <w:spacing w:line="640" w:lineRule="exact"/>
              <w:rPr>
                <w:rFonts w:hint="eastAsia" w:ascii="宋体" w:hAnsi="宋体" w:eastAsia="宋体" w:cs="宋体"/>
                <w:bCs/>
                <w:spacing w:val="0"/>
                <w:sz w:val="24"/>
                <w:szCs w:val="24"/>
              </w:rPr>
            </w:pPr>
            <w:r>
              <w:rPr>
                <w:rFonts w:hint="eastAsia" w:ascii="宋体" w:hAnsi="宋体" w:eastAsia="宋体" w:cs="宋体"/>
                <w:bCs/>
                <w:spacing w:val="0"/>
                <w:sz w:val="24"/>
                <w:szCs w:val="24"/>
              </w:rPr>
              <w:t>电话：</w:t>
            </w:r>
          </w:p>
        </w:tc>
        <w:tc>
          <w:tcPr>
            <w:tcW w:w="3107" w:type="dxa"/>
            <w:shd w:val="clear" w:color="auto" w:fill="auto"/>
            <w:noWrap w:val="0"/>
            <w:vAlign w:val="top"/>
          </w:tcPr>
          <w:p w14:paraId="2D175475">
            <w:pPr>
              <w:autoSpaceDE w:val="0"/>
              <w:autoSpaceDN w:val="0"/>
              <w:adjustRightInd w:val="0"/>
              <w:spacing w:line="640" w:lineRule="exact"/>
              <w:rPr>
                <w:rFonts w:hint="eastAsia" w:ascii="宋体" w:hAnsi="宋体" w:eastAsia="宋体" w:cs="宋体"/>
                <w:bCs/>
                <w:spacing w:val="0"/>
                <w:sz w:val="24"/>
                <w:szCs w:val="24"/>
                <w:lang w:val="en-US" w:eastAsia="zh-CN"/>
              </w:rPr>
            </w:pPr>
            <w:r>
              <w:rPr>
                <w:rFonts w:hint="eastAsia" w:ascii="宋体" w:hAnsi="宋体" w:eastAsia="宋体" w:cs="宋体"/>
                <w:bCs/>
                <w:spacing w:val="0"/>
                <w:sz w:val="24"/>
                <w:szCs w:val="24"/>
              </w:rPr>
              <w:t>电话：</w:t>
            </w:r>
          </w:p>
        </w:tc>
      </w:tr>
      <w:tr w14:paraId="76F16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3105" w:type="dxa"/>
            <w:noWrap w:val="0"/>
            <w:vAlign w:val="top"/>
          </w:tcPr>
          <w:p w14:paraId="07F923B0">
            <w:pPr>
              <w:autoSpaceDE w:val="0"/>
              <w:autoSpaceDN w:val="0"/>
              <w:adjustRightInd w:val="0"/>
              <w:spacing w:line="640" w:lineRule="exact"/>
              <w:rPr>
                <w:rFonts w:hint="eastAsia" w:ascii="宋体" w:hAnsi="宋体" w:eastAsia="宋体" w:cs="宋体"/>
                <w:bCs/>
                <w:spacing w:val="0"/>
                <w:sz w:val="24"/>
                <w:szCs w:val="24"/>
              </w:rPr>
            </w:pPr>
          </w:p>
        </w:tc>
        <w:tc>
          <w:tcPr>
            <w:tcW w:w="3107" w:type="dxa"/>
            <w:noWrap w:val="0"/>
            <w:vAlign w:val="top"/>
          </w:tcPr>
          <w:p w14:paraId="0AA2989C">
            <w:pPr>
              <w:autoSpaceDE w:val="0"/>
              <w:autoSpaceDN w:val="0"/>
              <w:adjustRightInd w:val="0"/>
              <w:spacing w:line="640" w:lineRule="exact"/>
              <w:rPr>
                <w:rFonts w:hint="eastAsia" w:ascii="宋体" w:hAnsi="宋体" w:eastAsia="宋体" w:cs="宋体"/>
                <w:bCs/>
                <w:spacing w:val="0"/>
                <w:sz w:val="24"/>
                <w:szCs w:val="24"/>
              </w:rPr>
            </w:pPr>
            <w:r>
              <w:rPr>
                <w:rFonts w:hint="eastAsia" w:ascii="宋体" w:hAnsi="宋体" w:eastAsia="宋体" w:cs="宋体"/>
                <w:bCs/>
                <w:spacing w:val="0"/>
                <w:sz w:val="24"/>
                <w:szCs w:val="24"/>
              </w:rPr>
              <w:t>开户银行：</w:t>
            </w:r>
          </w:p>
        </w:tc>
        <w:tc>
          <w:tcPr>
            <w:tcW w:w="3107" w:type="dxa"/>
            <w:shd w:val="clear" w:color="auto" w:fill="auto"/>
            <w:noWrap w:val="0"/>
            <w:vAlign w:val="top"/>
          </w:tcPr>
          <w:p w14:paraId="36E94432">
            <w:pPr>
              <w:autoSpaceDE w:val="0"/>
              <w:autoSpaceDN w:val="0"/>
              <w:adjustRightInd w:val="0"/>
              <w:spacing w:line="640" w:lineRule="exact"/>
              <w:rPr>
                <w:rFonts w:hint="eastAsia" w:ascii="宋体" w:hAnsi="宋体" w:eastAsia="宋体" w:cs="宋体"/>
                <w:bCs/>
                <w:spacing w:val="0"/>
                <w:sz w:val="24"/>
                <w:szCs w:val="24"/>
                <w:lang w:val="en-US" w:eastAsia="zh-CN"/>
              </w:rPr>
            </w:pPr>
          </w:p>
        </w:tc>
      </w:tr>
      <w:tr w14:paraId="3D6B5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3105" w:type="dxa"/>
            <w:noWrap w:val="0"/>
            <w:vAlign w:val="top"/>
          </w:tcPr>
          <w:p w14:paraId="65D860F7">
            <w:pPr>
              <w:autoSpaceDE w:val="0"/>
              <w:autoSpaceDN w:val="0"/>
              <w:adjustRightInd w:val="0"/>
              <w:spacing w:line="640" w:lineRule="exact"/>
              <w:rPr>
                <w:rFonts w:hint="eastAsia" w:ascii="宋体" w:hAnsi="宋体" w:eastAsia="宋体" w:cs="宋体"/>
                <w:bCs/>
                <w:spacing w:val="0"/>
                <w:sz w:val="24"/>
                <w:szCs w:val="24"/>
              </w:rPr>
            </w:pPr>
          </w:p>
        </w:tc>
        <w:tc>
          <w:tcPr>
            <w:tcW w:w="3107" w:type="dxa"/>
            <w:noWrap w:val="0"/>
            <w:vAlign w:val="top"/>
          </w:tcPr>
          <w:p w14:paraId="1C2D6C0D">
            <w:pPr>
              <w:autoSpaceDE w:val="0"/>
              <w:autoSpaceDN w:val="0"/>
              <w:adjustRightInd w:val="0"/>
              <w:spacing w:line="640" w:lineRule="exact"/>
              <w:rPr>
                <w:rFonts w:hint="eastAsia" w:ascii="宋体" w:hAnsi="宋体" w:eastAsia="宋体" w:cs="宋体"/>
                <w:bCs/>
                <w:spacing w:val="0"/>
                <w:sz w:val="24"/>
                <w:szCs w:val="24"/>
              </w:rPr>
            </w:pPr>
            <w:r>
              <w:rPr>
                <w:rFonts w:hint="eastAsia" w:ascii="宋体" w:hAnsi="宋体" w:eastAsia="宋体" w:cs="宋体"/>
                <w:bCs/>
                <w:spacing w:val="0"/>
                <w:sz w:val="24"/>
                <w:szCs w:val="24"/>
              </w:rPr>
              <w:t>账号：</w:t>
            </w:r>
          </w:p>
        </w:tc>
        <w:tc>
          <w:tcPr>
            <w:tcW w:w="3107" w:type="dxa"/>
            <w:shd w:val="clear" w:color="auto" w:fill="auto"/>
            <w:noWrap w:val="0"/>
            <w:vAlign w:val="top"/>
          </w:tcPr>
          <w:p w14:paraId="6003DEF8">
            <w:pPr>
              <w:autoSpaceDE w:val="0"/>
              <w:autoSpaceDN w:val="0"/>
              <w:adjustRightInd w:val="0"/>
              <w:spacing w:line="640" w:lineRule="exact"/>
              <w:rPr>
                <w:rFonts w:hint="eastAsia" w:ascii="宋体" w:hAnsi="宋体" w:eastAsia="宋体" w:cs="宋体"/>
                <w:bCs/>
                <w:spacing w:val="0"/>
                <w:sz w:val="24"/>
                <w:szCs w:val="24"/>
                <w:lang w:val="en-US" w:eastAsia="zh-CN"/>
              </w:rPr>
            </w:pPr>
          </w:p>
        </w:tc>
      </w:tr>
      <w:tr w14:paraId="1DDA0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3105" w:type="dxa"/>
            <w:noWrap w:val="0"/>
            <w:vAlign w:val="top"/>
          </w:tcPr>
          <w:p w14:paraId="4E9995A3">
            <w:pPr>
              <w:autoSpaceDE w:val="0"/>
              <w:autoSpaceDN w:val="0"/>
              <w:adjustRightInd w:val="0"/>
              <w:spacing w:line="640" w:lineRule="exact"/>
              <w:rPr>
                <w:rFonts w:hint="eastAsia" w:ascii="宋体" w:hAnsi="宋体" w:eastAsia="宋体" w:cs="宋体"/>
                <w:bCs/>
                <w:spacing w:val="0"/>
                <w:sz w:val="24"/>
                <w:szCs w:val="24"/>
              </w:rPr>
            </w:pPr>
            <w:r>
              <w:rPr>
                <w:rFonts w:hint="eastAsia" w:ascii="宋体" w:hAnsi="宋体" w:eastAsia="宋体" w:cs="宋体"/>
                <w:bCs/>
                <w:spacing w:val="0"/>
                <w:sz w:val="24"/>
                <w:szCs w:val="24"/>
              </w:rPr>
              <w:t>日期：   年   月   日</w:t>
            </w:r>
          </w:p>
        </w:tc>
        <w:tc>
          <w:tcPr>
            <w:tcW w:w="3107" w:type="dxa"/>
            <w:noWrap w:val="0"/>
            <w:vAlign w:val="top"/>
          </w:tcPr>
          <w:p w14:paraId="13C95390">
            <w:pPr>
              <w:autoSpaceDE w:val="0"/>
              <w:autoSpaceDN w:val="0"/>
              <w:adjustRightInd w:val="0"/>
              <w:spacing w:line="640" w:lineRule="exact"/>
              <w:rPr>
                <w:rFonts w:hint="eastAsia" w:ascii="宋体" w:hAnsi="宋体" w:eastAsia="宋体" w:cs="宋体"/>
                <w:bCs/>
                <w:spacing w:val="0"/>
                <w:sz w:val="24"/>
                <w:szCs w:val="24"/>
              </w:rPr>
            </w:pPr>
            <w:r>
              <w:rPr>
                <w:rFonts w:hint="eastAsia" w:ascii="宋体" w:hAnsi="宋体" w:eastAsia="宋体" w:cs="宋体"/>
                <w:bCs/>
                <w:spacing w:val="0"/>
                <w:sz w:val="24"/>
                <w:szCs w:val="24"/>
              </w:rPr>
              <w:t>日期：   年   月   日</w:t>
            </w:r>
          </w:p>
        </w:tc>
        <w:tc>
          <w:tcPr>
            <w:tcW w:w="3107" w:type="dxa"/>
            <w:shd w:val="clear" w:color="auto" w:fill="auto"/>
            <w:noWrap w:val="0"/>
            <w:vAlign w:val="top"/>
          </w:tcPr>
          <w:p w14:paraId="26970AB9">
            <w:pPr>
              <w:autoSpaceDE w:val="0"/>
              <w:autoSpaceDN w:val="0"/>
              <w:adjustRightInd w:val="0"/>
              <w:spacing w:line="640" w:lineRule="exact"/>
              <w:rPr>
                <w:rFonts w:hint="eastAsia" w:ascii="宋体" w:hAnsi="宋体" w:eastAsia="宋体" w:cs="宋体"/>
                <w:bCs/>
                <w:spacing w:val="0"/>
                <w:sz w:val="24"/>
                <w:szCs w:val="24"/>
                <w:lang w:val="en-US" w:eastAsia="zh-CN"/>
              </w:rPr>
            </w:pPr>
            <w:r>
              <w:rPr>
                <w:rFonts w:hint="eastAsia" w:ascii="宋体" w:hAnsi="宋体" w:eastAsia="宋体" w:cs="宋体"/>
                <w:bCs/>
                <w:spacing w:val="0"/>
                <w:sz w:val="24"/>
                <w:szCs w:val="24"/>
              </w:rPr>
              <w:t>日期：   年   月   日</w:t>
            </w:r>
          </w:p>
        </w:tc>
      </w:tr>
    </w:tbl>
    <w:p w14:paraId="5CF6F752">
      <w:pPr>
        <w:autoSpaceDE w:val="0"/>
        <w:autoSpaceDN w:val="0"/>
        <w:adjustRightInd w:val="0"/>
        <w:spacing w:line="640" w:lineRule="exact"/>
        <w:rPr>
          <w:rFonts w:hint="eastAsia" w:ascii="宋体" w:hAnsi="宋体" w:eastAsia="宋体" w:cs="宋体"/>
          <w:bCs/>
          <w:spacing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0301BB0"/>
    <w:rsid w:val="01814321"/>
    <w:rsid w:val="03685549"/>
    <w:rsid w:val="070F26FC"/>
    <w:rsid w:val="0A8B5655"/>
    <w:rsid w:val="0D4E3017"/>
    <w:rsid w:val="138E29BE"/>
    <w:rsid w:val="1A703458"/>
    <w:rsid w:val="1B2B737F"/>
    <w:rsid w:val="25787C62"/>
    <w:rsid w:val="29B80978"/>
    <w:rsid w:val="2C1C22EA"/>
    <w:rsid w:val="2E066453"/>
    <w:rsid w:val="2ED753FC"/>
    <w:rsid w:val="3BC046A9"/>
    <w:rsid w:val="405B57EB"/>
    <w:rsid w:val="406E2B9E"/>
    <w:rsid w:val="449256E7"/>
    <w:rsid w:val="44C839F7"/>
    <w:rsid w:val="4F8C6801"/>
    <w:rsid w:val="56A63783"/>
    <w:rsid w:val="5BA81531"/>
    <w:rsid w:val="5BB10966"/>
    <w:rsid w:val="5BE53237"/>
    <w:rsid w:val="5E450A8F"/>
    <w:rsid w:val="60536729"/>
    <w:rsid w:val="61030D8D"/>
    <w:rsid w:val="610362D4"/>
    <w:rsid w:val="62797F9D"/>
    <w:rsid w:val="654C258E"/>
    <w:rsid w:val="66144AC0"/>
    <w:rsid w:val="66DF6DBA"/>
    <w:rsid w:val="69D43FFF"/>
    <w:rsid w:val="6C660A88"/>
    <w:rsid w:val="6EB62531"/>
    <w:rsid w:val="73B135A7"/>
    <w:rsid w:val="792425B9"/>
    <w:rsid w:val="7F9322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next w:val="1"/>
    <w:autoRedefine/>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3">
    <w:name w:val="toc 1"/>
    <w:next w:val="1"/>
    <w:autoRedefine/>
    <w:qFormat/>
    <w:uiPriority w:val="39"/>
    <w:pPr>
      <w:widowControl w:val="0"/>
      <w:jc w:val="both"/>
    </w:pPr>
    <w:rPr>
      <w:rFonts w:ascii="Times New Roman" w:hAnsi="Times New Roman" w:eastAsia="宋体" w:cs="Times New Roman"/>
      <w:kern w:val="2"/>
      <w:sz w:val="21"/>
      <w:szCs w:val="24"/>
      <w:lang w:val="en-US" w:eastAsia="zh-CN" w:bidi="ar-SA"/>
    </w:rPr>
  </w:style>
  <w:style w:type="paragraph" w:styleId="4">
    <w:name w:val="Normal (Web)"/>
    <w:autoRedefine/>
    <w:qFormat/>
    <w:uiPriority w:val="0"/>
    <w:pPr>
      <w:widowControl w:val="0"/>
      <w:spacing w:before="0" w:beforeAutospacing="1" w:after="0" w:afterAutospacing="1"/>
      <w:ind w:left="0" w:right="0"/>
      <w:jc w:val="left"/>
    </w:pPr>
    <w:rPr>
      <w:rFonts w:asciiTheme="minorHAnsi" w:hAnsiTheme="minorHAnsi" w:eastAsiaTheme="minorEastAsia" w:cstheme="minorBidi"/>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4053</Words>
  <Characters>4140</Characters>
  <Lines>0</Lines>
  <Paragraphs>0</Paragraphs>
  <TotalTime>0</TotalTime>
  <ScaleCrop>false</ScaleCrop>
  <LinksUpToDate>false</LinksUpToDate>
  <CharactersWithSpaces>4165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2024-04-23T09:37:00Z</dcterms:created>
  <dc:creator>Administrator</dc:creator>
  <cp:lastModifiedBy>劉瑛</cp:lastModifiedBy>
  <cp:lastPrinted>2025-06-20T00:23:51Z</cp:lastPrinted>
  <dcterms:modified xsi:type="dcterms:W3CDTF">2025-06-20T00:38:04Z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E889DE3F084342A3A3BC8ABA05AF941E_12</vt:lpwstr>
  </property>
  <property fmtid="{D5CDD505-2E9C-101B-9397-08002B2CF9AE}" pid="4" name="KSOTemplateDocerSaveRecord">
    <vt:lpwstr>eyJoZGlkIjoiMDJjNjI3ODg4NDA3NTVkNzIwY2I0ZmJkZDRjOWFhZDQiLCJ1c2VySWQiOiI1NzQ3NjczNDAifQ==</vt:lpwstr>
  </property>
</Properties>
</file>