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版本号：SHMZ08（2025）第013号20250620001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2025年机动车号牌制作费项目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SHMZ08（2025）第013号</w:t>
      </w:r>
      <w:r>
        <w:br/>
      </w:r>
      <w:r>
        <w:br/>
      </w:r>
      <w:r>
        <w:br/>
      </w:r>
      <w:r>
        <w:br/>
      </w:r>
      <w:r>
        <w:br/>
      </w:r>
    </w:p>
    <w:p>
      <w:pPr>
        <w:pStyle w:val="null3"/>
        <w:jc w:val="center"/>
        <w:outlineLvl w:val="5"/>
      </w:pPr>
      <w:r>
        <w:rPr>
          <w:rFonts w:ascii="仿宋_GB2312" w:hAnsi="仿宋_GB2312" w:cs="仿宋_GB2312" w:eastAsia="仿宋_GB2312"/>
          <w:sz w:val="15"/>
          <w:b/>
        </w:rPr>
        <w:t>西安市公安局交通管理支队</w:t>
      </w:r>
    </w:p>
    <w:p>
      <w:pPr>
        <w:pStyle w:val="null3"/>
        <w:jc w:val="center"/>
        <w:outlineLvl w:val="5"/>
      </w:pPr>
      <w:r>
        <w:rPr>
          <w:rFonts w:ascii="仿宋_GB2312" w:hAnsi="仿宋_GB2312" w:cs="仿宋_GB2312" w:eastAsia="仿宋_GB2312"/>
          <w:sz w:val="15"/>
          <w:b/>
        </w:rPr>
        <w:t>陕西华茂建设监理咨询有限公司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陕西华茂建设监理咨询有限公司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2025年机动车号牌制作费项目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SHMZ08（2025）第013号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2025年机动车号牌制作费项目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全市机动车业务办理的需求，支队2025年拟采购机动车号牌，总数2234120副（含大型汽车号牌、小型汽车号牌、摩托车号牌、轻骑号牌、农用车号牌、挂车号牌、学车号牌、新能源大车号牌、新能源小车号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采购包1（2025年机动车号牌制作费项目）：属于专门面向中小企业采购。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授权书：供应商应授权合法的人员参加协商全过程，其中法定代表人直接参加协商的，须出具法定代表人身份证，并与营业执照上信息一致。法定代表人授权代表参加协商的，须同时出具法定代表人授权书、授权代表身份证及其近三个月内的本单位社保缴纳证明；</w:t>
      </w:r>
    </w:p>
    <w:p>
      <w:pPr>
        <w:pStyle w:val="null3"/>
      </w:pPr>
      <w:r>
        <w:rPr>
          <w:rFonts w:ascii="仿宋_GB2312" w:hAnsi="仿宋_GB2312" w:cs="仿宋_GB2312" w:eastAsia="仿宋_GB2312"/>
        </w:rPr>
        <w:t>3、税收缴纳证明：提供2025年1月1日至今任意一个月的缴纳凭据（任意税种），依法免税的供应商应提供相关文件证明；</w:t>
      </w:r>
    </w:p>
    <w:p>
      <w:pPr>
        <w:pStyle w:val="null3"/>
      </w:pPr>
      <w:r>
        <w:rPr>
          <w:rFonts w:ascii="仿宋_GB2312" w:hAnsi="仿宋_GB2312" w:cs="仿宋_GB2312" w:eastAsia="仿宋_GB2312"/>
        </w:rPr>
        <w:t>4、社会保障资金缴纳证明：提供2025年1月1日至今任意一个月的社保缴纳凭据或社保机构开具的社会保险参保缴纳情况证明，依法不需要缴纳社会保障资金的供应商应提供相关证明；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财务状况报告：提供审计事务所出具的2023年度或2024年度的财务报告（成立时间至提交响应文件截止时间不足一年的可提供成立后任意时段的资产负债表）或在协商截止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6、说明及承诺：提供具有履行合同所必需的设备和专业技术能力的说明及承诺；</w:t>
      </w:r>
    </w:p>
    <w:p>
      <w:pPr>
        <w:pStyle w:val="null3"/>
      </w:pPr>
      <w:r>
        <w:rPr>
          <w:rFonts w:ascii="仿宋_GB2312" w:hAnsi="仿宋_GB2312" w:cs="仿宋_GB2312" w:eastAsia="仿宋_GB2312"/>
        </w:rPr>
        <w:t>7、书面声明：提供参加政府采购活动前3年内在经营活动中没有重大违法记录的书面声明；</w:t>
      </w:r>
    </w:p>
    <w:p>
      <w:pPr>
        <w:pStyle w:val="null3"/>
      </w:pPr>
      <w:r>
        <w:rPr>
          <w:rFonts w:ascii="仿宋_GB2312" w:hAnsi="仿宋_GB2312" w:cs="仿宋_GB2312" w:eastAsia="仿宋_GB2312"/>
        </w:rPr>
        <w:t>8、信用记录：不得为“信用中国”网站（http：//www.creditch 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协商截止时间当天在“信用中国”网站和中国政府采购网站进行查询，截图留档；如网站无供应商信息的，供应商须提供相关证明资料或书面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029-86755037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陕西华茂建设监理咨询有限公司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西安市新城区东六路民安大厦二期五楼526室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029-89246265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采购包1：108,780,000.00元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采购包1：108,780,000.00元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陕西华茂建设监理咨询有限公司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陕西华茂建设监理咨询有限公司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陕西华茂建设监理咨询有限公司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西安市公安局交通管理支队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满足全市机动车业务办理的需求，支队2025年拟采购机动车号牌，总数2234120副（含大型汽车号牌、小型汽车号牌、摩托车号牌、轻骑号牌、农用车号牌、挂车号牌、学车号牌、新能源大车号牌、新能源小车号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108,780,000.00</w:t>
      </w:r>
    </w:p>
    <w:p>
      <w:pPr>
        <w:pStyle w:val="null3"/>
      </w:pPr>
      <w:r>
        <w:rPr>
          <w:rFonts w:ascii="仿宋_GB2312" w:hAnsi="仿宋_GB2312" w:cs="仿宋_GB2312" w:eastAsia="仿宋_GB2312"/>
        </w:rPr>
        <w:t>采购包最高限价（元）: 108,780,000.00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机动车号牌制作费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108,780,000.00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标的名称：机动车号牌制作费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自合同签订后30个工作日内交付采购内容30%的货物运到采购人指定地点，2026年6月30日前交付其余货物运到采购人指定地点并交付验收。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西安市公安局交通管理支队指定地点。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2025年9月底前进行实际交付货物的结算，验收合格后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0.26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2026年6月底前项目验收合格后，经支队结算审计后按照结算审计结果支付合同剩余金额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59.74</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验收标准：货物应按采购文件、响应文件以及国家和行业验收规范要求及合同中的相关条款进行数量及质量的验收。 2. 验收程序：货物验收分出厂检验、交货验收二个阶段。验收合格后，甲方签发《政府采购验收单》。 （1）出厂检验：乙方负责所提供货物的出厂检验，保证货物原产地和技术指标的真实性、完整性、合法性，并负责将货物送达指定地点，并向甲方提供公安部出具的检测报告。甲方在货物到货后，按合同规定对所交货物进行清点、核对和商检。 （2）交货验收：货物到达交货地点后，由甲方会同有关部门进行基本质量和数量的验收（但不作为最终合格的保证），该验收应达到合同规定的要求。同时，甲方有权对所配送的货物送指定专业权威检测机构进行检测（包括破坏性实验及环保指数检测），检测费、检测产品损失由乙方承担。如送检结果达不到采购文件要求及我国执行的相应国标及相关规定（如国标与其他相关标准不一致的，以国标为准），甲方有权终止合同，甲方有权拒付不合格产品货款并追究乙方法律、经济责任。破坏性检测的产品乙方必须无偿补全该产品，但抽检产品应有数额限制，抽检每季度每一种抽检一副车牌。超出约定送检产品数量的，由甲方承担费用。甲方送检时间应在付款期限之前进行，不得以送检为由拖欠货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1、货物交货时应按国家有关标准要求进行包装。 2、货物运输过程中的安全事宜由乙方自行负责，应充分考虑到运输途中的各种情况和气候特点（如暴露于恶劣气候等），由于不适当的包装而造成货物在运输过程中有任何损坏由乙方负责。 3、货物由乙方按照合同约定的具体数量、地点及时间送到指定的地方。 4、在甲方场地装卸时，乙方有责任保证安装人员和他方人员不因乙方的运输、装卸而遭受任何损伤，保证甲方任何设施不受损害和污染，保证甲方的财产不受任何损失。</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质保期为：货物交付验收合格之日起壹年。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1、如乙方事先未征得甲方书面同意而单方面延迟完成项目的，每逾期一日按照合同总额的万分之五承担违约责任；乙方逾期累计15天以上的，甲方有权解除合同，且乙方应当承担本合同总金额20%的违约责任。 2、甲方应当按照合同约定的时间和金额，分批次支付本合同款项；甲方逾期支付累计15天以上的，乙方有权停止提供服务。 3、乙方提供的部分产品不合格的，甲方有权要求乙方在指定期间内免费更换。乙方拒不更换的，甲方有权要求乙方承担合同价款30%的违约金，合同继续履行。甲方要求更换不合格产品，应持有权威鉴定机构出具的鉴定报告作为依据。 4、质保期内乙方未按照采购文件、采购响应文件规定及合同约定提供维保服务的，甲方有权指定第三方提供维保服务，但第三方维修费、交通费、人工费等合理费用由乙方承担。 5、因乙方提供的相关服务侵害他人权利或者造成采购人损害的，乙方承担全部赔偿责任；对甲方造成损失的，甲方有权追偿。 6、交货后，因甲方自身原因或第三方使用不当所产生的损害与乙方无关。 7、除双方另有约定外，任意一方违反本合同约定致使另一方遭受损失的，违约方应赔偿守约方因此造成的全部损失。守约方通过诉讼的方式解决纠纷的，违约方应承担包括但不限于诉讼费、律师费、保全费、保全保险费等合理费用。</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平台格式限制，其他说明如下：（1）采购人应在成交通知书发出之日起二十五日内与成交供应商签订采购合同。（2）乙方在每次接受付款前，开具实际结算相应金额的增值税普通发票给甲方。若因乙方提供发票不合格或延期提供，甲方有权迟延履行付款义务，且不承担违约责任。（3）如在实际供货过程中，各号牌种类数量发生变化，按各单价据实结算，不超过合同总预算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协商全过程，其中法定代表人直接参加协商的，须出具法定代表人身份证，并与营业执照上信息一致。法定代表人授权代表参加协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提供2025年1月1日至今任意一个月的缴纳凭据（任意税种），依法免税的供应商应提供相关文件证明；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协商截止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 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协商截止时间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响应报价过低，有可能影响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响应报价合理性的，评审小组应当将其响应文件作为无效处理。</w:t>
            </w:r>
          </w:p>
        </w:tc>
        <w:tc>
          <w:tcPr>
            <w:tcW w:type="dxa" w:w="1661"/>
          </w:tcPr>
          <w:p>
            <w:pPr>
              <w:pStyle w:val="null3"/>
            </w:pPr>
            <w:r>
              <w:rPr>
                <w:rFonts w:ascii="仿宋_GB2312" w:hAnsi="仿宋_GB2312" w:cs="仿宋_GB2312" w:eastAsia="仿宋_GB2312"/>
              </w:rPr>
              <w:t>分项报价表 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不存在其他不符合法律法规或采购文件规定的被视为无效响应的其他条款。</w:t>
            </w:r>
          </w:p>
        </w:tc>
        <w:tc>
          <w:tcPr>
            <w:tcW w:type="dxa" w:w="1661"/>
          </w:tcPr>
          <w:p>
            <w:pPr>
              <w:pStyle w:val="null3"/>
            </w:pPr>
            <w:r>
              <w:rPr>
                <w:rFonts w:ascii="仿宋_GB2312" w:hAnsi="仿宋_GB2312" w:cs="仿宋_GB2312" w:eastAsia="仿宋_GB2312"/>
              </w:rPr>
              <w:t>售后服务方案 项目实施方案 质量保证承诺</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响应文件格式、语言及有效期符合采购文件要求。格式、语言及有效期符合采购文件要求。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（1）报价表填写符合要求；（2）计量单位、报价货币均符合采购文件要求；（3）报价未超出采购预算或采购文件规定的最高限价。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采购内容及要求</w:t>
            </w:r>
          </w:p>
        </w:tc>
        <w:tc>
          <w:tcPr>
            <w:tcW w:type="dxa" w:w="3322"/>
          </w:tcPr>
          <w:p>
            <w:pPr>
              <w:pStyle w:val="null3"/>
            </w:pPr>
            <w:r>
              <w:rPr>
                <w:rFonts w:ascii="仿宋_GB2312" w:hAnsi="仿宋_GB2312" w:cs="仿宋_GB2312" w:eastAsia="仿宋_GB2312"/>
              </w:rPr>
              <w:t>完全理解并接受对合格供应商的服务要求，对采购内容及要求的响应没有重大偏离和保留。</w:t>
            </w:r>
          </w:p>
        </w:tc>
        <w:tc>
          <w:tcPr>
            <w:tcW w:type="dxa" w:w="1661"/>
          </w:tcPr>
          <w:p>
            <w:pPr>
              <w:pStyle w:val="null3"/>
            </w:pPr>
            <w:r>
              <w:rPr>
                <w:rFonts w:ascii="仿宋_GB2312" w:hAnsi="仿宋_GB2312" w:cs="仿宋_GB2312" w:eastAsia="仿宋_GB2312"/>
              </w:rPr>
              <w:t>售后服务方案 产品技术参数表 项目实施方案 质量保证承诺</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售后服务方案 商务应答表 项目实施方案 质量保证承诺</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详见附件：质量保证承诺</w:t>
      </w:r>
    </w:p>
    <w:p>
      <w:pPr>
        <w:pStyle w:val="null3"/>
        <w:ind w:firstLine="960"/>
      </w:pPr>
      <w:r>
        <w:rPr>
          <w:rFonts w:ascii="仿宋_GB2312" w:hAnsi="仿宋_GB2312" w:cs="仿宋_GB2312" w:eastAsia="仿宋_GB2312"/>
        </w:rPr>
        <w:t>详见附件：售后服务方案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