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版本号：YC255280o6（CGQ）.120250620001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2025年朱宏路立交桥在线监测服务项目(二次)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YC255280o6（CGQ）.1</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2025年朱宏路立交桥在线监测服务项目(二次)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YC255280o6（CGQ）.1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2025年朱宏路立交桥在线监测服务项目(二次)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朱宏路立交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早发现、早预警、早处置”。同时对该桥进行结构定期检测，编制《桥梁结构定期检测评定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1、资质证书：供应商须具备交通运输部公路工程试验检测综合甲级或桥梁隧道工程专项资质，且同时具备省级及以上质量技术监督部门颁发的CMA 计量认证证书</w:t>
      </w:r>
    </w:p>
    <w:p>
      <w:pPr>
        <w:pStyle w:val="null3"/>
      </w:pPr>
      <w:r>
        <w:rPr>
          <w:rFonts w:ascii="仿宋_GB2312" w:hAnsi="仿宋_GB2312" w:cs="仿宋_GB2312" w:eastAsia="仿宋_GB2312"/>
        </w:rPr>
        <w:t>2、项目负责人：供应商拟派项目负责人须具有桥梁专业或相近专业的高级职称，同时须具有交通运输部颁发的桥梁试验检测工程师资格证书；</w:t>
      </w:r>
    </w:p>
    <w:p>
      <w:pPr>
        <w:pStyle w:val="null3"/>
      </w:pPr>
      <w:r>
        <w:rPr>
          <w:rFonts w:ascii="仿宋_GB2312" w:hAnsi="仿宋_GB2312" w:cs="仿宋_GB2312" w:eastAsia="仿宋_GB2312"/>
        </w:rPr>
        <w:t>3、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代理服务费收费标准：参照《国家计委关于印发&lt;招标代理服务收费管理暂行办法&gt;的通知》（计价格[2002]1980号）规定标准下浮10%按标段收取。 开户名称：亿诚建设项目管理有限公司 开户银行：中国民生银行股份有限公司西安吉祥路支行 账号:699295538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对朱宏路立交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早发现、早预警、早处置”。同时对该桥进行结构定期检测，编制《桥梁结构定期检测评定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2025年朱宏路立交桥在线监测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标的名称：2025年朱宏路立交桥在线监测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b/>
                <w:color w:val="0000FF"/>
              </w:rPr>
              <w:t>一、项目概况</w:t>
            </w:r>
          </w:p>
          <w:p>
            <w:pPr>
              <w:pStyle w:val="null3"/>
              <w:jc w:val="both"/>
            </w:pPr>
            <w:r>
              <w:rPr>
                <w:rFonts w:ascii="仿宋_GB2312" w:hAnsi="仿宋_GB2312" w:cs="仿宋_GB2312" w:eastAsia="仿宋_GB2312"/>
                <w:sz w:val="24"/>
              </w:rPr>
              <w:t>本项目对朱宏路立交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w:t>
            </w:r>
            <w:r>
              <w:rPr>
                <w:rFonts w:ascii="仿宋_GB2312" w:hAnsi="仿宋_GB2312" w:cs="仿宋_GB2312" w:eastAsia="仿宋_GB2312"/>
                <w:sz w:val="24"/>
              </w:rPr>
              <w:t>“早发现、早预警、早处置”。同时对该桥进行结构定期检测，编制《桥梁结构定期检测评定报告》</w:t>
            </w:r>
          </w:p>
          <w:p>
            <w:pPr>
              <w:pStyle w:val="null3"/>
              <w:spacing w:before="120" w:after="120"/>
              <w:jc w:val="both"/>
            </w:pPr>
            <w:r>
              <w:rPr>
                <w:rFonts w:ascii="仿宋_GB2312" w:hAnsi="仿宋_GB2312" w:cs="仿宋_GB2312" w:eastAsia="仿宋_GB2312"/>
                <w:sz w:val="24"/>
              </w:rPr>
              <w:t>二、监测总体要求</w:t>
            </w:r>
          </w:p>
          <w:p>
            <w:pPr>
              <w:pStyle w:val="null3"/>
              <w:jc w:val="both"/>
            </w:pPr>
            <w:r>
              <w:rPr>
                <w:rFonts w:ascii="仿宋_GB2312" w:hAnsi="仿宋_GB2312" w:cs="仿宋_GB2312" w:eastAsia="仿宋_GB2312"/>
                <w:sz w:val="24"/>
              </w:rPr>
              <w:t>1 、监测目的</w:t>
            </w:r>
          </w:p>
          <w:p>
            <w:pPr>
              <w:pStyle w:val="null3"/>
              <w:ind w:firstLine="504"/>
              <w:jc w:val="both"/>
            </w:pPr>
            <w:r>
              <w:rPr>
                <w:rFonts w:ascii="仿宋_GB2312" w:hAnsi="仿宋_GB2312" w:cs="仿宋_GB2312" w:eastAsia="仿宋_GB2312"/>
                <w:sz w:val="24"/>
              </w:rPr>
              <w:t>1）建立桥梁全寿命期的数字化、信息化“档案”，实现桥梁信息化、智能化管理。</w:t>
            </w:r>
          </w:p>
          <w:p>
            <w:pPr>
              <w:pStyle w:val="null3"/>
              <w:ind w:firstLine="504"/>
              <w:jc w:val="both"/>
            </w:pPr>
            <w:r>
              <w:rPr>
                <w:rFonts w:ascii="仿宋_GB2312" w:hAnsi="仿宋_GB2312" w:cs="仿宋_GB2312" w:eastAsia="仿宋_GB2312"/>
                <w:sz w:val="24"/>
              </w:rPr>
              <w:t>2）结合人工巡检和定期检测，及时发现桥梁安全隐患并预警，有助于确保桥梁运营安全。</w:t>
            </w:r>
          </w:p>
          <w:p>
            <w:pPr>
              <w:pStyle w:val="null3"/>
              <w:ind w:firstLine="504"/>
              <w:jc w:val="both"/>
            </w:pPr>
            <w:r>
              <w:rPr>
                <w:rFonts w:ascii="仿宋_GB2312" w:hAnsi="仿宋_GB2312" w:cs="仿宋_GB2312" w:eastAsia="仿宋_GB2312"/>
                <w:sz w:val="24"/>
              </w:rPr>
              <w:t>3）掌控运营期桥梁的结构运营状态及其发展演化趋势，为制定桥梁管养对策提供数据支持，降低桥梁的运营成本，有助于延长桥梁服役寿命。</w:t>
            </w:r>
          </w:p>
          <w:p>
            <w:pPr>
              <w:pStyle w:val="null3"/>
              <w:jc w:val="both"/>
            </w:pPr>
            <w:r>
              <w:rPr>
                <w:rFonts w:ascii="仿宋_GB2312" w:hAnsi="仿宋_GB2312" w:cs="仿宋_GB2312" w:eastAsia="仿宋_GB2312"/>
                <w:sz w:val="24"/>
              </w:rPr>
              <w:t>2、朱宏路立交桥梁概况</w:t>
            </w:r>
          </w:p>
          <w:p>
            <w:pPr>
              <w:pStyle w:val="null3"/>
              <w:ind w:firstLine="480"/>
              <w:jc w:val="both"/>
            </w:pPr>
            <w:r>
              <w:rPr>
                <w:rFonts w:ascii="仿宋_GB2312" w:hAnsi="仿宋_GB2312" w:cs="仿宋_GB2312" w:eastAsia="仿宋_GB2312"/>
                <w:sz w:val="24"/>
              </w:rPr>
              <w:t>朱宏路</w:t>
            </w:r>
            <w:r>
              <w:rPr>
                <w:rFonts w:ascii="仿宋_GB2312" w:hAnsi="仿宋_GB2312" w:cs="仿宋_GB2312" w:eastAsia="仿宋_GB2312"/>
                <w:sz w:val="24"/>
              </w:rPr>
              <w:t>~</w:t>
            </w:r>
            <w:r>
              <w:rPr>
                <w:rFonts w:ascii="仿宋_GB2312" w:hAnsi="仿宋_GB2312" w:cs="仿宋_GB2312" w:eastAsia="仿宋_GB2312"/>
                <w:sz w:val="24"/>
              </w:rPr>
              <w:t>北二环立交位于西安市二环路西北角。南北主线桥位于朱宏路上，上跨北二环高架桥。桥梁起点桩号为</w:t>
            </w:r>
            <w:r>
              <w:rPr>
                <w:rFonts w:ascii="仿宋_GB2312" w:hAnsi="仿宋_GB2312" w:cs="仿宋_GB2312" w:eastAsia="仿宋_GB2312"/>
                <w:sz w:val="24"/>
              </w:rPr>
              <w:t>ZK0+346.836</w:t>
            </w:r>
            <w:r>
              <w:rPr>
                <w:rFonts w:ascii="仿宋_GB2312" w:hAnsi="仿宋_GB2312" w:cs="仿宋_GB2312" w:eastAsia="仿宋_GB2312"/>
                <w:sz w:val="24"/>
              </w:rPr>
              <w:t>，终点桩号为</w:t>
            </w:r>
            <w:r>
              <w:rPr>
                <w:rFonts w:ascii="仿宋_GB2312" w:hAnsi="仿宋_GB2312" w:cs="仿宋_GB2312" w:eastAsia="仿宋_GB2312"/>
                <w:sz w:val="24"/>
              </w:rPr>
              <w:t>ZK0+993.939</w:t>
            </w:r>
            <w:r>
              <w:rPr>
                <w:rFonts w:ascii="仿宋_GB2312" w:hAnsi="仿宋_GB2312" w:cs="仿宋_GB2312" w:eastAsia="仿宋_GB2312"/>
                <w:sz w:val="24"/>
              </w:rPr>
              <w:t>，全长</w:t>
            </w:r>
            <w:r>
              <w:rPr>
                <w:rFonts w:ascii="仿宋_GB2312" w:hAnsi="仿宋_GB2312" w:cs="仿宋_GB2312" w:eastAsia="仿宋_GB2312"/>
                <w:sz w:val="24"/>
              </w:rPr>
              <w:t>647.103m</w:t>
            </w:r>
            <w:r>
              <w:rPr>
                <w:rFonts w:ascii="仿宋_GB2312" w:hAnsi="仿宋_GB2312" w:cs="仿宋_GB2312" w:eastAsia="仿宋_GB2312"/>
                <w:sz w:val="24"/>
              </w:rPr>
              <w:t>，共六联。跨径布置为：第一联（</w:t>
            </w:r>
            <w:r>
              <w:rPr>
                <w:rFonts w:ascii="仿宋_GB2312" w:hAnsi="仿宋_GB2312" w:cs="仿宋_GB2312" w:eastAsia="仿宋_GB2312"/>
                <w:sz w:val="24"/>
              </w:rPr>
              <w:t>3×30</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第二联（</w:t>
            </w:r>
            <w:r>
              <w:rPr>
                <w:rFonts w:ascii="仿宋_GB2312" w:hAnsi="仿宋_GB2312" w:cs="仿宋_GB2312" w:eastAsia="仿宋_GB2312"/>
                <w:sz w:val="24"/>
              </w:rPr>
              <w:t>3×30</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第三联（</w:t>
            </w:r>
            <w:r>
              <w:rPr>
                <w:rFonts w:ascii="仿宋_GB2312" w:hAnsi="仿宋_GB2312" w:cs="仿宋_GB2312" w:eastAsia="仿宋_GB2312"/>
                <w:sz w:val="24"/>
              </w:rPr>
              <w:t>2×22</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第四联（</w:t>
            </w:r>
            <w:r>
              <w:rPr>
                <w:rFonts w:ascii="仿宋_GB2312" w:hAnsi="仿宋_GB2312" w:cs="仿宋_GB2312" w:eastAsia="仿宋_GB2312"/>
                <w:sz w:val="24"/>
              </w:rPr>
              <w:t>45.3+54+45.623+36</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第五联（</w:t>
            </w:r>
            <w:r>
              <w:rPr>
                <w:rFonts w:ascii="仿宋_GB2312" w:hAnsi="仿宋_GB2312" w:cs="仿宋_GB2312" w:eastAsia="仿宋_GB2312"/>
                <w:sz w:val="24"/>
              </w:rPr>
              <w:t>4×30</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第六联（</w:t>
            </w:r>
            <w:r>
              <w:rPr>
                <w:rFonts w:ascii="仿宋_GB2312" w:hAnsi="仿宋_GB2312" w:cs="仿宋_GB2312" w:eastAsia="仿宋_GB2312"/>
                <w:sz w:val="24"/>
              </w:rPr>
              <w:t>4×30</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。其中除第四联为连续梁钢箱梁外，其余各联均为预应力混凝土箱梁。桥面布设为：</w:t>
            </w:r>
            <w:r>
              <w:rPr>
                <w:rFonts w:ascii="仿宋_GB2312" w:hAnsi="仿宋_GB2312" w:cs="仿宋_GB2312" w:eastAsia="仿宋_GB2312"/>
                <w:sz w:val="24"/>
              </w:rPr>
              <w:t>25.5m=0.5m</w:t>
            </w:r>
            <w:r>
              <w:rPr>
                <w:rFonts w:ascii="仿宋_GB2312" w:hAnsi="仿宋_GB2312" w:cs="仿宋_GB2312" w:eastAsia="仿宋_GB2312"/>
                <w:sz w:val="24"/>
              </w:rPr>
              <w:t>（防撞护栏）</w:t>
            </w:r>
            <w:r>
              <w:rPr>
                <w:rFonts w:ascii="仿宋_GB2312" w:hAnsi="仿宋_GB2312" w:cs="仿宋_GB2312" w:eastAsia="仿宋_GB2312"/>
                <w:sz w:val="24"/>
              </w:rPr>
              <w:t>+12m</w:t>
            </w:r>
            <w:r>
              <w:rPr>
                <w:rFonts w:ascii="仿宋_GB2312" w:hAnsi="仿宋_GB2312" w:cs="仿宋_GB2312" w:eastAsia="仿宋_GB2312"/>
                <w:sz w:val="24"/>
              </w:rPr>
              <w:t>（机动车道）</w:t>
            </w:r>
            <w:r>
              <w:rPr>
                <w:rFonts w:ascii="仿宋_GB2312" w:hAnsi="仿宋_GB2312" w:cs="仿宋_GB2312" w:eastAsia="仿宋_GB2312"/>
                <w:sz w:val="24"/>
              </w:rPr>
              <w:t>+0.5m</w:t>
            </w:r>
            <w:r>
              <w:rPr>
                <w:rFonts w:ascii="仿宋_GB2312" w:hAnsi="仿宋_GB2312" w:cs="仿宋_GB2312" w:eastAsia="仿宋_GB2312"/>
                <w:sz w:val="24"/>
              </w:rPr>
              <w:t>（中央隔离墩）</w:t>
            </w:r>
            <w:r>
              <w:rPr>
                <w:rFonts w:ascii="仿宋_GB2312" w:hAnsi="仿宋_GB2312" w:cs="仿宋_GB2312" w:eastAsia="仿宋_GB2312"/>
                <w:sz w:val="24"/>
              </w:rPr>
              <w:t>+12m</w:t>
            </w:r>
            <w:r>
              <w:rPr>
                <w:rFonts w:ascii="仿宋_GB2312" w:hAnsi="仿宋_GB2312" w:cs="仿宋_GB2312" w:eastAsia="仿宋_GB2312"/>
                <w:sz w:val="24"/>
              </w:rPr>
              <w:t>（机动车道）</w:t>
            </w:r>
            <w:r>
              <w:rPr>
                <w:rFonts w:ascii="仿宋_GB2312" w:hAnsi="仿宋_GB2312" w:cs="仿宋_GB2312" w:eastAsia="仿宋_GB2312"/>
                <w:sz w:val="24"/>
              </w:rPr>
              <w:t>+0.5m</w:t>
            </w:r>
            <w:r>
              <w:rPr>
                <w:rFonts w:ascii="仿宋_GB2312" w:hAnsi="仿宋_GB2312" w:cs="仿宋_GB2312" w:eastAsia="仿宋_GB2312"/>
                <w:sz w:val="24"/>
              </w:rPr>
              <w:t>（防撞护栏），桥梁悬臂宽</w:t>
            </w:r>
            <w:r>
              <w:rPr>
                <w:rFonts w:ascii="仿宋_GB2312" w:hAnsi="仿宋_GB2312" w:cs="仿宋_GB2312" w:eastAsia="仿宋_GB2312"/>
                <w:sz w:val="24"/>
              </w:rPr>
              <w:t>2.25m</w:t>
            </w:r>
            <w:r>
              <w:rPr>
                <w:rFonts w:ascii="仿宋_GB2312" w:hAnsi="仿宋_GB2312" w:cs="仿宋_GB2312" w:eastAsia="仿宋_GB2312"/>
                <w:sz w:val="24"/>
              </w:rPr>
              <w:t>，直腹板。下部结构桥台采用钢筋混凝土轻型桥台，桩基础均采用钻孔灌注桩并进行后压浆工艺处理，墩柱为双柱圆端形断面桥墩。</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匝道桥位于立交的西南象限，右南北主线起桥，向东与现状北二环高架桥东段并排布设。</w:t>
            </w:r>
            <w:r>
              <w:rPr>
                <w:rFonts w:ascii="仿宋_GB2312" w:hAnsi="仿宋_GB2312" w:cs="仿宋_GB2312" w:eastAsia="仿宋_GB2312"/>
                <w:sz w:val="24"/>
              </w:rPr>
              <w:t>A</w:t>
            </w:r>
            <w:r>
              <w:rPr>
                <w:rFonts w:ascii="仿宋_GB2312" w:hAnsi="仿宋_GB2312" w:cs="仿宋_GB2312" w:eastAsia="仿宋_GB2312"/>
                <w:sz w:val="24"/>
              </w:rPr>
              <w:t>匝道桥起点桩号为</w:t>
            </w:r>
            <w:r>
              <w:rPr>
                <w:rFonts w:ascii="仿宋_GB2312" w:hAnsi="仿宋_GB2312" w:cs="仿宋_GB2312" w:eastAsia="仿宋_GB2312"/>
                <w:sz w:val="24"/>
              </w:rPr>
              <w:t>AK0+37.747</w:t>
            </w:r>
            <w:r>
              <w:rPr>
                <w:rFonts w:ascii="仿宋_GB2312" w:hAnsi="仿宋_GB2312" w:cs="仿宋_GB2312" w:eastAsia="仿宋_GB2312"/>
                <w:sz w:val="24"/>
              </w:rPr>
              <w:t>，终点桩号为</w:t>
            </w:r>
            <w:r>
              <w:rPr>
                <w:rFonts w:ascii="仿宋_GB2312" w:hAnsi="仿宋_GB2312" w:cs="仿宋_GB2312" w:eastAsia="仿宋_GB2312"/>
                <w:sz w:val="24"/>
              </w:rPr>
              <w:t>AK0+423.727</w:t>
            </w:r>
            <w:r>
              <w:rPr>
                <w:rFonts w:ascii="仿宋_GB2312" w:hAnsi="仿宋_GB2312" w:cs="仿宋_GB2312" w:eastAsia="仿宋_GB2312"/>
                <w:sz w:val="24"/>
              </w:rPr>
              <w:t>，全长</w:t>
            </w:r>
            <w:r>
              <w:rPr>
                <w:rFonts w:ascii="仿宋_GB2312" w:hAnsi="仿宋_GB2312" w:cs="仿宋_GB2312" w:eastAsia="仿宋_GB2312"/>
                <w:sz w:val="24"/>
              </w:rPr>
              <w:t>385.98m</w:t>
            </w:r>
            <w:r>
              <w:rPr>
                <w:rFonts w:ascii="仿宋_GB2312" w:hAnsi="仿宋_GB2312" w:cs="仿宋_GB2312" w:eastAsia="仿宋_GB2312"/>
                <w:sz w:val="24"/>
              </w:rPr>
              <w:t>，共五联。跨径布置为：第一联（</w:t>
            </w:r>
            <w:r>
              <w:rPr>
                <w:rFonts w:ascii="仿宋_GB2312" w:hAnsi="仿宋_GB2312" w:cs="仿宋_GB2312" w:eastAsia="仿宋_GB2312"/>
                <w:sz w:val="24"/>
              </w:rPr>
              <w:t>4×18.67</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第二联（</w:t>
            </w:r>
            <w:r>
              <w:rPr>
                <w:rFonts w:ascii="仿宋_GB2312" w:hAnsi="仿宋_GB2312" w:cs="仿宋_GB2312" w:eastAsia="仿宋_GB2312"/>
                <w:sz w:val="24"/>
              </w:rPr>
              <w:t>3×24</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第三联（</w:t>
            </w:r>
            <w:r>
              <w:rPr>
                <w:rFonts w:ascii="仿宋_GB2312" w:hAnsi="仿宋_GB2312" w:cs="仿宋_GB2312" w:eastAsia="仿宋_GB2312"/>
                <w:sz w:val="24"/>
              </w:rPr>
              <w:t>21.8+22+21.8</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第四联（</w:t>
            </w:r>
            <w:r>
              <w:rPr>
                <w:rFonts w:ascii="仿宋_GB2312" w:hAnsi="仿宋_GB2312" w:cs="仿宋_GB2312" w:eastAsia="仿宋_GB2312"/>
                <w:sz w:val="24"/>
              </w:rPr>
              <w:t>3×28.76</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第五联（</w:t>
            </w:r>
            <w:r>
              <w:rPr>
                <w:rFonts w:ascii="仿宋_GB2312" w:hAnsi="仿宋_GB2312" w:cs="仿宋_GB2312" w:eastAsia="仿宋_GB2312"/>
                <w:sz w:val="24"/>
              </w:rPr>
              <w:t>3×28.76</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A</w:t>
            </w:r>
            <w:r>
              <w:rPr>
                <w:rFonts w:ascii="仿宋_GB2312" w:hAnsi="仿宋_GB2312" w:cs="仿宋_GB2312" w:eastAsia="仿宋_GB2312"/>
                <w:sz w:val="24"/>
              </w:rPr>
              <w:t>匝道桥第一联及第二联为普通钢筋混凝土连续箱梁，其余各跨为预应力混凝土连续箱梁。</w:t>
            </w:r>
            <w:r>
              <w:rPr>
                <w:rFonts w:ascii="仿宋_GB2312" w:hAnsi="仿宋_GB2312" w:cs="仿宋_GB2312" w:eastAsia="仿宋_GB2312"/>
                <w:sz w:val="24"/>
              </w:rPr>
              <w:t>A</w:t>
            </w:r>
            <w:r>
              <w:rPr>
                <w:rFonts w:ascii="仿宋_GB2312" w:hAnsi="仿宋_GB2312" w:cs="仿宋_GB2312" w:eastAsia="仿宋_GB2312"/>
                <w:sz w:val="24"/>
              </w:rPr>
              <w:t xml:space="preserve">匝道桥标准横断面布设为： </w:t>
            </w:r>
            <w:r>
              <w:rPr>
                <w:rFonts w:ascii="仿宋_GB2312" w:hAnsi="仿宋_GB2312" w:cs="仿宋_GB2312" w:eastAsia="仿宋_GB2312"/>
                <w:sz w:val="24"/>
              </w:rPr>
              <w:t>9m=0.5m</w:t>
            </w:r>
            <w:r>
              <w:rPr>
                <w:rFonts w:ascii="仿宋_GB2312" w:hAnsi="仿宋_GB2312" w:cs="仿宋_GB2312" w:eastAsia="仿宋_GB2312"/>
                <w:sz w:val="24"/>
              </w:rPr>
              <w:t>（防撞护栏）</w:t>
            </w:r>
            <w:r>
              <w:rPr>
                <w:rFonts w:ascii="仿宋_GB2312" w:hAnsi="仿宋_GB2312" w:cs="仿宋_GB2312" w:eastAsia="仿宋_GB2312"/>
                <w:sz w:val="24"/>
              </w:rPr>
              <w:t>+8m</w:t>
            </w:r>
            <w:r>
              <w:rPr>
                <w:rFonts w:ascii="仿宋_GB2312" w:hAnsi="仿宋_GB2312" w:cs="仿宋_GB2312" w:eastAsia="仿宋_GB2312"/>
                <w:sz w:val="24"/>
              </w:rPr>
              <w:t>（机动车道）</w:t>
            </w:r>
            <w:r>
              <w:rPr>
                <w:rFonts w:ascii="仿宋_GB2312" w:hAnsi="仿宋_GB2312" w:cs="仿宋_GB2312" w:eastAsia="仿宋_GB2312"/>
                <w:sz w:val="24"/>
              </w:rPr>
              <w:t>+0.5m</w:t>
            </w:r>
            <w:r>
              <w:rPr>
                <w:rFonts w:ascii="仿宋_GB2312" w:hAnsi="仿宋_GB2312" w:cs="仿宋_GB2312" w:eastAsia="仿宋_GB2312"/>
                <w:sz w:val="24"/>
              </w:rPr>
              <w:t>（防撞护栏）；桥梁悬臂宽</w:t>
            </w:r>
            <w:r>
              <w:rPr>
                <w:rFonts w:ascii="仿宋_GB2312" w:hAnsi="仿宋_GB2312" w:cs="仿宋_GB2312" w:eastAsia="仿宋_GB2312"/>
                <w:sz w:val="24"/>
              </w:rPr>
              <w:t>2.25m</w:t>
            </w:r>
            <w:r>
              <w:rPr>
                <w:rFonts w:ascii="仿宋_GB2312" w:hAnsi="仿宋_GB2312" w:cs="仿宋_GB2312" w:eastAsia="仿宋_GB2312"/>
                <w:sz w:val="24"/>
              </w:rPr>
              <w:t>，直腹板。下部结构桥台采用钢筋混凝土轻型桥台，桩基础均采用钻孔灌注桩并进行后压浆工艺处理，墩柱均为单柱墩。</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匝道桥为定向匝道，由北二环高架桥西段并线起桥后，跨越朱宏路南北主线桥及北二环高架桥后接入南北主线。</w:t>
            </w:r>
            <w:r>
              <w:rPr>
                <w:rFonts w:ascii="仿宋_GB2312" w:hAnsi="仿宋_GB2312" w:cs="仿宋_GB2312" w:eastAsia="仿宋_GB2312"/>
                <w:sz w:val="24"/>
              </w:rPr>
              <w:t>B</w:t>
            </w:r>
            <w:r>
              <w:rPr>
                <w:rFonts w:ascii="仿宋_GB2312" w:hAnsi="仿宋_GB2312" w:cs="仿宋_GB2312" w:eastAsia="仿宋_GB2312"/>
                <w:sz w:val="24"/>
              </w:rPr>
              <w:t>匝道桥起点桩号为</w:t>
            </w:r>
            <w:r>
              <w:rPr>
                <w:rFonts w:ascii="仿宋_GB2312" w:hAnsi="仿宋_GB2312" w:cs="仿宋_GB2312" w:eastAsia="仿宋_GB2312"/>
                <w:sz w:val="24"/>
              </w:rPr>
              <w:t>BK0+105.444</w:t>
            </w:r>
            <w:r>
              <w:rPr>
                <w:rFonts w:ascii="仿宋_GB2312" w:hAnsi="仿宋_GB2312" w:cs="仿宋_GB2312" w:eastAsia="仿宋_GB2312"/>
                <w:sz w:val="24"/>
              </w:rPr>
              <w:t>，终点桩号为</w:t>
            </w:r>
            <w:r>
              <w:rPr>
                <w:rFonts w:ascii="仿宋_GB2312" w:hAnsi="仿宋_GB2312" w:cs="仿宋_GB2312" w:eastAsia="仿宋_GB2312"/>
                <w:sz w:val="24"/>
              </w:rPr>
              <w:t>BK0+774.384</w:t>
            </w:r>
            <w:r>
              <w:rPr>
                <w:rFonts w:ascii="仿宋_GB2312" w:hAnsi="仿宋_GB2312" w:cs="仿宋_GB2312" w:eastAsia="仿宋_GB2312"/>
                <w:sz w:val="24"/>
              </w:rPr>
              <w:t>，全长</w:t>
            </w:r>
            <w:r>
              <w:rPr>
                <w:rFonts w:ascii="仿宋_GB2312" w:hAnsi="仿宋_GB2312" w:cs="仿宋_GB2312" w:eastAsia="仿宋_GB2312"/>
                <w:sz w:val="24"/>
              </w:rPr>
              <w:t>668.94m</w:t>
            </w:r>
            <w:r>
              <w:rPr>
                <w:rFonts w:ascii="仿宋_GB2312" w:hAnsi="仿宋_GB2312" w:cs="仿宋_GB2312" w:eastAsia="仿宋_GB2312"/>
                <w:sz w:val="24"/>
              </w:rPr>
              <w:t>，共八联。跨径布置为：第一联（</w:t>
            </w:r>
            <w:r>
              <w:rPr>
                <w:rFonts w:ascii="仿宋_GB2312" w:hAnsi="仿宋_GB2312" w:cs="仿宋_GB2312" w:eastAsia="仿宋_GB2312"/>
                <w:sz w:val="24"/>
              </w:rPr>
              <w:t>3×27</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第二联（</w:t>
            </w:r>
            <w:r>
              <w:rPr>
                <w:rFonts w:ascii="仿宋_GB2312" w:hAnsi="仿宋_GB2312" w:cs="仿宋_GB2312" w:eastAsia="仿宋_GB2312"/>
                <w:sz w:val="24"/>
              </w:rPr>
              <w:t>3×27</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第三联（</w:t>
            </w:r>
            <w:r>
              <w:rPr>
                <w:rFonts w:ascii="仿宋_GB2312" w:hAnsi="仿宋_GB2312" w:cs="仿宋_GB2312" w:eastAsia="仿宋_GB2312"/>
                <w:sz w:val="24"/>
              </w:rPr>
              <w:t>3×27</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第四联（</w:t>
            </w:r>
            <w:r>
              <w:rPr>
                <w:rFonts w:ascii="仿宋_GB2312" w:hAnsi="仿宋_GB2312" w:cs="仿宋_GB2312" w:eastAsia="仿宋_GB2312"/>
                <w:sz w:val="24"/>
              </w:rPr>
              <w:t>3×25</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第五联（</w:t>
            </w:r>
            <w:r>
              <w:rPr>
                <w:rFonts w:ascii="仿宋_GB2312" w:hAnsi="仿宋_GB2312" w:cs="仿宋_GB2312" w:eastAsia="仿宋_GB2312"/>
                <w:sz w:val="24"/>
              </w:rPr>
              <w:t>2×23</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第六联（</w:t>
            </w:r>
            <w:r>
              <w:rPr>
                <w:rFonts w:ascii="仿宋_GB2312" w:hAnsi="仿宋_GB2312" w:cs="仿宋_GB2312" w:eastAsia="仿宋_GB2312"/>
                <w:sz w:val="24"/>
              </w:rPr>
              <w:t>44+48+46</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第七联（</w:t>
            </w:r>
            <w:r>
              <w:rPr>
                <w:rFonts w:ascii="仿宋_GB2312" w:hAnsi="仿宋_GB2312" w:cs="仿宋_GB2312" w:eastAsia="仿宋_GB2312"/>
                <w:sz w:val="24"/>
              </w:rPr>
              <w:t>36+52+36</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第八联（</w:t>
            </w:r>
            <w:r>
              <w:rPr>
                <w:rFonts w:ascii="仿宋_GB2312" w:hAnsi="仿宋_GB2312" w:cs="仿宋_GB2312" w:eastAsia="仿宋_GB2312"/>
                <w:sz w:val="24"/>
              </w:rPr>
              <w:t>2×18.9</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。其中除第六、第七联为钢箱梁连续钢构外，其余各联均为预应力混凝土连续箱梁。</w:t>
            </w:r>
            <w:r>
              <w:rPr>
                <w:rFonts w:ascii="仿宋_GB2312" w:hAnsi="仿宋_GB2312" w:cs="仿宋_GB2312" w:eastAsia="仿宋_GB2312"/>
                <w:sz w:val="24"/>
              </w:rPr>
              <w:t>B</w:t>
            </w:r>
            <w:r>
              <w:rPr>
                <w:rFonts w:ascii="仿宋_GB2312" w:hAnsi="仿宋_GB2312" w:cs="仿宋_GB2312" w:eastAsia="仿宋_GB2312"/>
                <w:sz w:val="24"/>
              </w:rPr>
              <w:t>匝道桥标准横断面布设为</w:t>
            </w:r>
            <w:r>
              <w:rPr>
                <w:rFonts w:ascii="仿宋_GB2312" w:hAnsi="仿宋_GB2312" w:cs="仿宋_GB2312" w:eastAsia="仿宋_GB2312"/>
                <w:sz w:val="24"/>
              </w:rPr>
              <w:t>9m=0.5m</w:t>
            </w:r>
            <w:r>
              <w:rPr>
                <w:rFonts w:ascii="仿宋_GB2312" w:hAnsi="仿宋_GB2312" w:cs="仿宋_GB2312" w:eastAsia="仿宋_GB2312"/>
                <w:sz w:val="24"/>
              </w:rPr>
              <w:t>（防撞护栏）</w:t>
            </w:r>
            <w:r>
              <w:rPr>
                <w:rFonts w:ascii="仿宋_GB2312" w:hAnsi="仿宋_GB2312" w:cs="仿宋_GB2312" w:eastAsia="仿宋_GB2312"/>
                <w:sz w:val="24"/>
              </w:rPr>
              <w:t>+8m</w:t>
            </w:r>
            <w:r>
              <w:rPr>
                <w:rFonts w:ascii="仿宋_GB2312" w:hAnsi="仿宋_GB2312" w:cs="仿宋_GB2312" w:eastAsia="仿宋_GB2312"/>
                <w:sz w:val="24"/>
              </w:rPr>
              <w:t>（机动车道）</w:t>
            </w:r>
            <w:r>
              <w:rPr>
                <w:rFonts w:ascii="仿宋_GB2312" w:hAnsi="仿宋_GB2312" w:cs="仿宋_GB2312" w:eastAsia="仿宋_GB2312"/>
                <w:sz w:val="24"/>
              </w:rPr>
              <w:t>+0.5m</w:t>
            </w:r>
            <w:r>
              <w:rPr>
                <w:rFonts w:ascii="仿宋_GB2312" w:hAnsi="仿宋_GB2312" w:cs="仿宋_GB2312" w:eastAsia="仿宋_GB2312"/>
                <w:sz w:val="24"/>
              </w:rPr>
              <w:t xml:space="preserve">（防撞护栏）。加宽横断面布设为： </w:t>
            </w:r>
            <w:r>
              <w:rPr>
                <w:rFonts w:ascii="仿宋_GB2312" w:hAnsi="仿宋_GB2312" w:cs="仿宋_GB2312" w:eastAsia="仿宋_GB2312"/>
                <w:sz w:val="24"/>
              </w:rPr>
              <w:t>12m=0.5m</w:t>
            </w:r>
            <w:r>
              <w:rPr>
                <w:rFonts w:ascii="仿宋_GB2312" w:hAnsi="仿宋_GB2312" w:cs="仿宋_GB2312" w:eastAsia="仿宋_GB2312"/>
                <w:sz w:val="24"/>
              </w:rPr>
              <w:t>（防撞护栏）</w:t>
            </w:r>
            <w:r>
              <w:rPr>
                <w:rFonts w:ascii="仿宋_GB2312" w:hAnsi="仿宋_GB2312" w:cs="仿宋_GB2312" w:eastAsia="仿宋_GB2312"/>
                <w:sz w:val="24"/>
              </w:rPr>
              <w:t>+11m</w:t>
            </w:r>
            <w:r>
              <w:rPr>
                <w:rFonts w:ascii="仿宋_GB2312" w:hAnsi="仿宋_GB2312" w:cs="仿宋_GB2312" w:eastAsia="仿宋_GB2312"/>
                <w:sz w:val="24"/>
              </w:rPr>
              <w:t>（机动车道）</w:t>
            </w:r>
            <w:r>
              <w:rPr>
                <w:rFonts w:ascii="仿宋_GB2312" w:hAnsi="仿宋_GB2312" w:cs="仿宋_GB2312" w:eastAsia="仿宋_GB2312"/>
                <w:sz w:val="24"/>
              </w:rPr>
              <w:t>+0.5</w:t>
            </w:r>
            <w:r>
              <w:rPr>
                <w:rFonts w:ascii="仿宋_GB2312" w:hAnsi="仿宋_GB2312" w:cs="仿宋_GB2312" w:eastAsia="仿宋_GB2312"/>
                <w:sz w:val="24"/>
              </w:rPr>
              <w:t>（防撞护栏）；桥梁悬臂宽</w:t>
            </w:r>
            <w:r>
              <w:rPr>
                <w:rFonts w:ascii="仿宋_GB2312" w:hAnsi="仿宋_GB2312" w:cs="仿宋_GB2312" w:eastAsia="仿宋_GB2312"/>
                <w:sz w:val="24"/>
              </w:rPr>
              <w:t>2.25m</w:t>
            </w:r>
            <w:r>
              <w:rPr>
                <w:rFonts w:ascii="仿宋_GB2312" w:hAnsi="仿宋_GB2312" w:cs="仿宋_GB2312" w:eastAsia="仿宋_GB2312"/>
                <w:sz w:val="24"/>
              </w:rPr>
              <w:t>，直腹板。下部结构桥台采用钢筋混凝土轻型桥台，桩基础均采用钻孔灌注桩并进行后压浆工艺处理，墩柱均为单柱墩，钢箱梁段中间桥墩采用圆端形钢墩柱，墩梁固结，并在钢墩柱内满贯微膨胀混凝土。</w:t>
            </w:r>
          </w:p>
          <w:p>
            <w:pPr>
              <w:pStyle w:val="null3"/>
              <w:ind w:firstLine="480"/>
              <w:jc w:val="both"/>
            </w:pPr>
            <w:r>
              <w:rPr>
                <w:rFonts w:ascii="仿宋_GB2312" w:hAnsi="仿宋_GB2312" w:cs="仿宋_GB2312" w:eastAsia="仿宋_GB2312"/>
                <w:sz w:val="24"/>
              </w:rPr>
              <w:t>桥面铺装：</w:t>
            </w:r>
            <w:r>
              <w:rPr>
                <w:rFonts w:ascii="仿宋_GB2312" w:hAnsi="仿宋_GB2312" w:cs="仿宋_GB2312" w:eastAsia="仿宋_GB2312"/>
                <w:sz w:val="24"/>
              </w:rPr>
              <w:t>5cm</w:t>
            </w:r>
            <w:r>
              <w:rPr>
                <w:rFonts w:ascii="仿宋_GB2312" w:hAnsi="仿宋_GB2312" w:cs="仿宋_GB2312" w:eastAsia="仿宋_GB2312"/>
                <w:sz w:val="24"/>
              </w:rPr>
              <w:t>厚</w:t>
            </w:r>
            <w:r>
              <w:rPr>
                <w:rFonts w:ascii="仿宋_GB2312" w:hAnsi="仿宋_GB2312" w:cs="仿宋_GB2312" w:eastAsia="仿宋_GB2312"/>
                <w:sz w:val="24"/>
              </w:rPr>
              <w:t>SBS</w:t>
            </w:r>
            <w:r>
              <w:rPr>
                <w:rFonts w:ascii="仿宋_GB2312" w:hAnsi="仿宋_GB2312" w:cs="仿宋_GB2312" w:eastAsia="仿宋_GB2312"/>
                <w:sz w:val="24"/>
              </w:rPr>
              <w:t>中粒式改性沥青混凝土</w:t>
            </w:r>
            <w:r>
              <w:rPr>
                <w:rFonts w:ascii="仿宋_GB2312" w:hAnsi="仿宋_GB2312" w:cs="仿宋_GB2312" w:eastAsia="仿宋_GB2312"/>
                <w:sz w:val="24"/>
              </w:rPr>
              <w:t>+7cm</w:t>
            </w:r>
            <w:r>
              <w:rPr>
                <w:rFonts w:ascii="仿宋_GB2312" w:hAnsi="仿宋_GB2312" w:cs="仿宋_GB2312" w:eastAsia="仿宋_GB2312"/>
                <w:sz w:val="24"/>
              </w:rPr>
              <w:t>厚粗粒式沥青混凝土</w:t>
            </w:r>
            <w:r>
              <w:rPr>
                <w:rFonts w:ascii="仿宋_GB2312" w:hAnsi="仿宋_GB2312" w:cs="仿宋_GB2312" w:eastAsia="仿宋_GB2312"/>
                <w:sz w:val="24"/>
              </w:rPr>
              <w:t>+10cm</w:t>
            </w:r>
            <w:r>
              <w:rPr>
                <w:rFonts w:ascii="仿宋_GB2312" w:hAnsi="仿宋_GB2312" w:cs="仿宋_GB2312" w:eastAsia="仿宋_GB2312"/>
                <w:sz w:val="24"/>
              </w:rPr>
              <w:t>厚微膨胀防水混凝土。</w:t>
            </w:r>
          </w:p>
          <w:p>
            <w:pPr>
              <w:pStyle w:val="null3"/>
              <w:ind w:firstLine="481"/>
              <w:jc w:val="both"/>
            </w:pPr>
            <w:r>
              <w:rPr>
                <w:rFonts w:ascii="仿宋_GB2312" w:hAnsi="仿宋_GB2312" w:cs="仿宋_GB2312" w:eastAsia="仿宋_GB2312"/>
                <w:sz w:val="24"/>
                <w:b/>
              </w:rPr>
              <w:t>汽车荷载等级：城</w:t>
            </w:r>
            <w:r>
              <w:rPr>
                <w:rFonts w:ascii="仿宋_GB2312" w:hAnsi="仿宋_GB2312" w:cs="仿宋_GB2312" w:eastAsia="仿宋_GB2312"/>
                <w:sz w:val="24"/>
                <w:b/>
              </w:rPr>
              <w:t>-A</w:t>
            </w:r>
            <w:r>
              <w:rPr>
                <w:rFonts w:ascii="仿宋_GB2312" w:hAnsi="仿宋_GB2312" w:cs="仿宋_GB2312" w:eastAsia="仿宋_GB2312"/>
                <w:sz w:val="24"/>
                <w:b/>
              </w:rPr>
              <w:t>级</w:t>
            </w:r>
          </w:p>
          <w:p>
            <w:pPr>
              <w:pStyle w:val="null3"/>
              <w:jc w:val="both"/>
            </w:pPr>
            <w:r>
              <w:rPr>
                <w:rFonts w:ascii="仿宋_GB2312" w:hAnsi="仿宋_GB2312" w:cs="仿宋_GB2312" w:eastAsia="仿宋_GB2312"/>
                <w:sz w:val="24"/>
              </w:rPr>
              <w:t>3、监测内容</w:t>
            </w:r>
          </w:p>
          <w:p>
            <w:pPr>
              <w:pStyle w:val="null3"/>
              <w:ind w:left="15" w:right="15" w:firstLine="528"/>
              <w:jc w:val="both"/>
            </w:pPr>
            <w:r>
              <w:rPr>
                <w:rFonts w:ascii="仿宋_GB2312" w:hAnsi="仿宋_GB2312" w:cs="仿宋_GB2312" w:eastAsia="仿宋_GB2312"/>
                <w:sz w:val="24"/>
              </w:rPr>
              <w:t>监测桥梁为朱宏路立交，主要监测内容包括温湿</w:t>
            </w:r>
            <w:r>
              <w:rPr>
                <w:rFonts w:ascii="仿宋_GB2312" w:hAnsi="仿宋_GB2312" w:cs="仿宋_GB2312" w:eastAsia="仿宋_GB2312"/>
                <w:sz w:val="24"/>
              </w:rPr>
              <w:t>度（桥址区环境温湿度）、位移（主梁竖向位移、墩顶位移，拱肋变形）、应变（主梁</w:t>
            </w:r>
            <w:r>
              <w:rPr>
                <w:rFonts w:ascii="仿宋_GB2312" w:hAnsi="仿宋_GB2312" w:cs="仿宋_GB2312" w:eastAsia="仿宋_GB2312"/>
                <w:sz w:val="24"/>
              </w:rPr>
              <w:t>/拱肋关键截</w:t>
            </w:r>
            <w:r>
              <w:rPr>
                <w:rFonts w:ascii="仿宋_GB2312" w:hAnsi="仿宋_GB2312" w:cs="仿宋_GB2312" w:eastAsia="仿宋_GB2312"/>
                <w:sz w:val="24"/>
              </w:rPr>
              <w:t>面应变）、振动（主梁竖向振动加速度）等。具体监测设备清单参照《城市桥梁安全风险在线监测设备安装试点项目》竣工图。</w:t>
            </w:r>
          </w:p>
          <w:p>
            <w:pPr>
              <w:pStyle w:val="null3"/>
              <w:jc w:val="both"/>
            </w:pPr>
            <w:r>
              <w:rPr>
                <w:rFonts w:ascii="仿宋_GB2312" w:hAnsi="仿宋_GB2312" w:cs="仿宋_GB2312" w:eastAsia="仿宋_GB2312"/>
                <w:sz w:val="24"/>
              </w:rPr>
              <w:t>4、监测平台运维</w:t>
            </w:r>
          </w:p>
          <w:p>
            <w:pPr>
              <w:pStyle w:val="null3"/>
              <w:ind w:firstLine="381"/>
              <w:jc w:val="both"/>
            </w:pPr>
            <w:r>
              <w:rPr>
                <w:rFonts w:ascii="仿宋_GB2312" w:hAnsi="仿宋_GB2312" w:cs="仿宋_GB2312" w:eastAsia="仿宋_GB2312"/>
                <w:sz w:val="24"/>
              </w:rPr>
              <w:t>满足《公路桥梁结构监测技术规范》（</w:t>
            </w:r>
            <w:r>
              <w:rPr>
                <w:rFonts w:ascii="仿宋_GB2312" w:hAnsi="仿宋_GB2312" w:cs="仿宋_GB2312" w:eastAsia="仿宋_GB2312"/>
                <w:sz w:val="24"/>
              </w:rPr>
              <w:t>JT</w:t>
            </w:r>
            <w:r>
              <w:rPr>
                <w:rFonts w:ascii="仿宋_GB2312" w:hAnsi="仿宋_GB2312" w:cs="仿宋_GB2312" w:eastAsia="仿宋_GB2312"/>
                <w:sz w:val="24"/>
              </w:rPr>
              <w:t>/T1037-2022）要求</w:t>
            </w:r>
            <w:r>
              <w:rPr>
                <w:rFonts w:ascii="仿宋_GB2312" w:hAnsi="仿宋_GB2312" w:cs="仿宋_GB2312" w:eastAsia="仿宋_GB2312"/>
                <w:sz w:val="24"/>
              </w:rPr>
              <w:t>，包括但不限于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1）硬件设施日常检查；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2）硬件设施维护；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3）监测平台运行过程中出现监测数值异常情况时，受托人应立即开展硬件设备、网络传输等排查工作。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4）监测报告中的数据分析，应提供相关支撑材料，包括但不限于计算模型、分析计算</w:t>
            </w:r>
            <w:r>
              <w:rPr>
                <w:rFonts w:ascii="仿宋_GB2312" w:hAnsi="仿宋_GB2312" w:cs="仿宋_GB2312" w:eastAsia="仿宋_GB2312"/>
                <w:sz w:val="24"/>
              </w:rPr>
              <w:t>依据规范标准和著作文献等，并对分析过程进行详细阐述。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5）本项目硬件设备在质保期内如有损坏，由承包人无条件免费更换。</w:t>
            </w:r>
          </w:p>
          <w:p>
            <w:pPr>
              <w:pStyle w:val="null3"/>
              <w:jc w:val="both"/>
            </w:pPr>
            <w:r>
              <w:rPr>
                <w:rFonts w:ascii="仿宋_GB2312" w:hAnsi="仿宋_GB2312" w:cs="仿宋_GB2312" w:eastAsia="仿宋_GB2312"/>
                <w:sz w:val="24"/>
              </w:rPr>
              <w:t>5、监测数据分析</w:t>
            </w:r>
          </w:p>
          <w:p>
            <w:pPr>
              <w:pStyle w:val="null3"/>
              <w:ind w:left="120" w:firstLine="512"/>
              <w:jc w:val="both"/>
            </w:pPr>
            <w:r>
              <w:rPr>
                <w:rFonts w:ascii="仿宋_GB2312" w:hAnsi="仿宋_GB2312" w:cs="仿宋_GB2312" w:eastAsia="仿宋_GB2312"/>
                <w:sz w:val="24"/>
              </w:rPr>
              <w:t>监测数据分析应用满足《公路桥梁结构监测技术规范》（</w:t>
            </w:r>
            <w:r>
              <w:rPr>
                <w:rFonts w:ascii="仿宋_GB2312" w:hAnsi="仿宋_GB2312" w:cs="仿宋_GB2312" w:eastAsia="仿宋_GB2312"/>
                <w:sz w:val="24"/>
              </w:rPr>
              <w:t>JT</w:t>
            </w:r>
            <w:r>
              <w:rPr>
                <w:rFonts w:ascii="仿宋_GB2312" w:hAnsi="仿宋_GB2312" w:cs="仿宋_GB2312" w:eastAsia="仿宋_GB2312"/>
                <w:sz w:val="24"/>
              </w:rPr>
              <w:t>/T1037-</w:t>
            </w:r>
            <w:r>
              <w:rPr>
                <w:rFonts w:ascii="仿宋_GB2312" w:hAnsi="仿宋_GB2312" w:cs="仿宋_GB2312" w:eastAsia="仿宋_GB2312"/>
                <w:sz w:val="24"/>
              </w:rPr>
              <w:t>2022）要求，包括</w:t>
            </w:r>
            <w:r>
              <w:rPr>
                <w:rFonts w:ascii="仿宋_GB2312" w:hAnsi="仿宋_GB2312" w:cs="仿宋_GB2312" w:eastAsia="仿宋_GB2312"/>
                <w:sz w:val="24"/>
              </w:rPr>
              <w:t>但不限于</w:t>
            </w:r>
            <w:r>
              <w:rPr>
                <w:rFonts w:ascii="仿宋_GB2312" w:hAnsi="仿宋_GB2312" w:cs="仿宋_GB2312" w:eastAsia="仿宋_GB2312"/>
                <w:sz w:val="24"/>
              </w:rPr>
              <w:t>:监测数据分析、超限阈值与报警、车辆通行管</w:t>
            </w:r>
            <w:r>
              <w:rPr>
                <w:rFonts w:ascii="仿宋_GB2312" w:hAnsi="仿宋_GB2312" w:cs="仿宋_GB2312" w:eastAsia="仿宋_GB2312"/>
                <w:sz w:val="24"/>
              </w:rPr>
              <w:t>控建议、检查指引、健康度评估、特</w:t>
            </w:r>
            <w:r>
              <w:rPr>
                <w:rFonts w:ascii="仿宋_GB2312" w:hAnsi="仿宋_GB2312" w:cs="仿宋_GB2312" w:eastAsia="仿宋_GB2312"/>
                <w:sz w:val="24"/>
              </w:rPr>
              <w:t>殊事件应急管理等。</w:t>
            </w:r>
            <w:r>
              <w:rPr>
                <w:rFonts w:ascii="仿宋_GB2312" w:hAnsi="仿宋_GB2312" w:cs="仿宋_GB2312" w:eastAsia="仿宋_GB2312"/>
                <w:sz w:val="24"/>
              </w:rPr>
              <w:t>具体技术服务工作应分析环境、作用、结构响应和结构变化监测数据，并宜结合该桥桥</w:t>
            </w:r>
            <w:r>
              <w:rPr>
                <w:rFonts w:ascii="仿宋_GB2312" w:hAnsi="仿宋_GB2312" w:cs="仿宋_GB2312" w:eastAsia="仿宋_GB2312"/>
                <w:sz w:val="24"/>
              </w:rPr>
              <w:t>梁养护的经常检查、定期检查和特殊检查数据，包括但不限于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1）全天候桥梁结构安全监测预警；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2）桥梁结构安全评估；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3）桥梁结构灾后应急安全评估及决策技术咨询；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4）桥梁结构预警后应急安全评估及决策技术咨询；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5）灾后应急交通管制建议及技术咨询；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6）灾后应急抢险及临时加固保通技术咨询。</w:t>
            </w:r>
          </w:p>
          <w:p>
            <w:pPr>
              <w:pStyle w:val="null3"/>
              <w:ind w:left="15"/>
              <w:jc w:val="both"/>
            </w:pPr>
            <w:r>
              <w:rPr>
                <w:rFonts w:ascii="仿宋_GB2312" w:hAnsi="仿宋_GB2312" w:cs="仿宋_GB2312" w:eastAsia="仿宋_GB2312"/>
                <w:sz w:val="24"/>
              </w:rPr>
              <w:t>（</w:t>
            </w:r>
            <w:r>
              <w:rPr>
                <w:rFonts w:ascii="仿宋_GB2312" w:hAnsi="仿宋_GB2312" w:cs="仿宋_GB2312" w:eastAsia="仿宋_GB2312"/>
                <w:sz w:val="24"/>
              </w:rPr>
              <w:t>7）报告出具频率，单桥监测平台数据分析报告分为常规定期报告（月报、年报）和特</w:t>
            </w:r>
            <w:r>
              <w:rPr>
                <w:rFonts w:ascii="仿宋_GB2312" w:hAnsi="仿宋_GB2312" w:cs="仿宋_GB2312" w:eastAsia="仿宋_GB2312"/>
                <w:sz w:val="24"/>
              </w:rPr>
              <w:t>殊事件专项报告，具体规定如下：</w:t>
            </w:r>
          </w:p>
          <w:p>
            <w:pPr>
              <w:pStyle w:val="null3"/>
              <w:ind w:left="465" w:firstLine="500"/>
              <w:jc w:val="both"/>
            </w:pPr>
            <w:r>
              <w:rPr>
                <w:rFonts w:ascii="仿宋_GB2312" w:hAnsi="仿宋_GB2312" w:cs="仿宋_GB2312" w:eastAsia="仿宋_GB2312"/>
                <w:sz w:val="24"/>
              </w:rPr>
              <w:t>1）常规定期报告：</w:t>
            </w:r>
          </w:p>
          <w:p>
            <w:pPr>
              <w:pStyle w:val="null3"/>
              <w:ind w:left="450" w:firstLine="512"/>
              <w:jc w:val="both"/>
            </w:pPr>
            <w:r>
              <w:rPr>
                <w:rFonts w:ascii="仿宋_GB2312" w:hAnsi="仿宋_GB2312" w:cs="仿宋_GB2312" w:eastAsia="仿宋_GB2312"/>
                <w:sz w:val="24"/>
              </w:rPr>
              <w:t>常规定期报告（月报、年报）主要内容包括：</w:t>
            </w:r>
          </w:p>
          <w:p>
            <w:pPr>
              <w:pStyle w:val="null3"/>
              <w:ind w:left="435" w:firstLine="512"/>
              <w:jc w:val="both"/>
            </w:pPr>
            <w:r>
              <w:rPr>
                <w:rFonts w:ascii="仿宋_GB2312" w:hAnsi="仿宋_GB2312" w:cs="仿宋_GB2312" w:eastAsia="仿宋_GB2312"/>
                <w:sz w:val="24"/>
              </w:rPr>
              <w:t>a）单桥监测平台运行状况分析；</w:t>
            </w:r>
          </w:p>
          <w:p>
            <w:pPr>
              <w:pStyle w:val="null3"/>
              <w:ind w:left="435" w:firstLine="512"/>
              <w:jc w:val="both"/>
            </w:pPr>
            <w:r>
              <w:rPr>
                <w:rFonts w:ascii="仿宋_GB2312" w:hAnsi="仿宋_GB2312" w:cs="仿宋_GB2312" w:eastAsia="仿宋_GB2312"/>
                <w:sz w:val="24"/>
              </w:rPr>
              <w:t>b）监测数据质量分析；</w:t>
            </w:r>
          </w:p>
          <w:p>
            <w:pPr>
              <w:pStyle w:val="null3"/>
              <w:ind w:firstLine="512"/>
              <w:jc w:val="both"/>
            </w:pPr>
            <w:r>
              <w:rPr>
                <w:rFonts w:ascii="仿宋_GB2312" w:hAnsi="仿宋_GB2312" w:cs="仿宋_GB2312" w:eastAsia="仿宋_GB2312"/>
                <w:sz w:val="24"/>
              </w:rPr>
              <w:t>c）环境、作用、结构响应监测数据统计分析；</w:t>
            </w:r>
          </w:p>
          <w:p>
            <w:pPr>
              <w:pStyle w:val="null3"/>
              <w:ind w:firstLine="512"/>
              <w:jc w:val="both"/>
            </w:pPr>
            <w:r>
              <w:rPr>
                <w:rFonts w:ascii="仿宋_GB2312" w:hAnsi="仿宋_GB2312" w:cs="仿宋_GB2312" w:eastAsia="仿宋_GB2312"/>
                <w:sz w:val="24"/>
              </w:rPr>
              <w:t>d）监测数据相关性分析；</w:t>
            </w:r>
          </w:p>
          <w:p>
            <w:pPr>
              <w:pStyle w:val="null3"/>
              <w:ind w:firstLine="508"/>
              <w:jc w:val="both"/>
            </w:pPr>
            <w:r>
              <w:rPr>
                <w:rFonts w:ascii="仿宋_GB2312" w:hAnsi="仿宋_GB2312" w:cs="仿宋_GB2312" w:eastAsia="仿宋_GB2312"/>
                <w:sz w:val="24"/>
              </w:rPr>
              <w:t>e）桥梁健康度评价；</w:t>
            </w:r>
          </w:p>
          <w:p>
            <w:pPr>
              <w:pStyle w:val="null3"/>
              <w:ind w:left="435" w:firstLine="516"/>
              <w:jc w:val="both"/>
            </w:pPr>
            <w:r>
              <w:rPr>
                <w:rFonts w:ascii="仿宋_GB2312" w:hAnsi="仿宋_GB2312" w:cs="仿宋_GB2312" w:eastAsia="仿宋_GB2312"/>
                <w:sz w:val="24"/>
              </w:rPr>
              <w:t>f）月度报告在每月结束后10天内提交，年度报告</w:t>
            </w:r>
            <w:r>
              <w:rPr>
                <w:rFonts w:ascii="仿宋_GB2312" w:hAnsi="仿宋_GB2312" w:cs="仿宋_GB2312" w:eastAsia="仿宋_GB2312"/>
                <w:sz w:val="24"/>
              </w:rPr>
              <w:t>在年度结束后</w:t>
            </w:r>
            <w:r>
              <w:rPr>
                <w:rFonts w:ascii="仿宋_GB2312" w:hAnsi="仿宋_GB2312" w:cs="仿宋_GB2312" w:eastAsia="仿宋_GB2312"/>
                <w:sz w:val="24"/>
              </w:rPr>
              <w:t>10天内提交。</w:t>
            </w:r>
          </w:p>
          <w:p>
            <w:pPr>
              <w:pStyle w:val="null3"/>
              <w:ind w:left="15" w:firstLine="508"/>
              <w:jc w:val="both"/>
            </w:pPr>
            <w:r>
              <w:rPr>
                <w:rFonts w:ascii="仿宋_GB2312" w:hAnsi="仿宋_GB2312" w:cs="仿宋_GB2312" w:eastAsia="仿宋_GB2312"/>
                <w:sz w:val="24"/>
              </w:rPr>
              <w:t>2）特殊事件专项报告（指影响桥梁结构运行安全的突发事件，如强（台）风、地震、凝</w:t>
            </w:r>
            <w:r>
              <w:rPr>
                <w:rFonts w:ascii="仿宋_GB2312" w:hAnsi="仿宋_GB2312" w:cs="仿宋_GB2312" w:eastAsia="仿宋_GB2312"/>
                <w:sz w:val="24"/>
              </w:rPr>
              <w:t>冻、山体崩塌滑坡、地面塌陷裂缝、地面沉降等自然灾害，以及涡振、车辆超载、车撞、船</w:t>
            </w:r>
            <w:r>
              <w:rPr>
                <w:rFonts w:ascii="仿宋_GB2312" w:hAnsi="仿宋_GB2312" w:cs="仿宋_GB2312" w:eastAsia="仿宋_GB2312"/>
                <w:sz w:val="24"/>
              </w:rPr>
              <w:t>撞、火灾等意外事故</w:t>
            </w:r>
            <w:r>
              <w:rPr>
                <w:rFonts w:ascii="仿宋_GB2312" w:hAnsi="仿宋_GB2312" w:cs="仿宋_GB2312" w:eastAsia="仿宋_GB2312"/>
                <w:sz w:val="24"/>
              </w:rPr>
              <w:t>)：当发生特殊事件时，由人工主动参与结合特殊事件发生前后时间段内</w:t>
            </w:r>
            <w:r>
              <w:rPr>
                <w:rFonts w:ascii="仿宋_GB2312" w:hAnsi="仿宋_GB2312" w:cs="仿宋_GB2312" w:eastAsia="仿宋_GB2312"/>
                <w:sz w:val="24"/>
              </w:rPr>
              <w:t>的环境、作用、结构响应和结构变化监测数据进行统计分析和关联性分析，对发生特殊事件后对桥梁进行初步的结构安全性评价。特殊事件发生时，应立即报告发包人，且在特殊事件</w:t>
            </w:r>
            <w:r>
              <w:rPr>
                <w:rFonts w:ascii="仿宋_GB2312" w:hAnsi="仿宋_GB2312" w:cs="仿宋_GB2312" w:eastAsia="仿宋_GB2312"/>
                <w:sz w:val="24"/>
              </w:rPr>
              <w:t>发生后一周内提交专项报告。</w:t>
            </w:r>
          </w:p>
          <w:p>
            <w:pPr>
              <w:pStyle w:val="null3"/>
              <w:jc w:val="both"/>
            </w:pPr>
            <w:r>
              <w:rPr>
                <w:rFonts w:ascii="仿宋_GB2312" w:hAnsi="仿宋_GB2312" w:cs="仿宋_GB2312" w:eastAsia="仿宋_GB2312"/>
                <w:sz w:val="24"/>
              </w:rPr>
              <w:t>三、其他要求</w:t>
            </w:r>
          </w:p>
          <w:p>
            <w:pPr>
              <w:pStyle w:val="null3"/>
              <w:jc w:val="both"/>
            </w:pPr>
            <w:r>
              <w:rPr>
                <w:rFonts w:ascii="仿宋_GB2312" w:hAnsi="仿宋_GB2312" w:cs="仿宋_GB2312" w:eastAsia="仿宋_GB2312"/>
                <w:sz w:val="24"/>
              </w:rPr>
              <w:t>（一）监测服务期</w:t>
            </w:r>
          </w:p>
          <w:p>
            <w:pPr>
              <w:pStyle w:val="null3"/>
              <w:ind w:left="45" w:firstLine="508"/>
              <w:jc w:val="both"/>
            </w:pPr>
            <w:r>
              <w:rPr>
                <w:rFonts w:ascii="仿宋_GB2312" w:hAnsi="仿宋_GB2312" w:cs="仿宋_GB2312" w:eastAsia="仿宋_GB2312"/>
                <w:sz w:val="24"/>
              </w:rPr>
              <w:t>实施期：合同签订后</w:t>
            </w:r>
            <w:r>
              <w:rPr>
                <w:rFonts w:ascii="仿宋_GB2312" w:hAnsi="仿宋_GB2312" w:cs="仿宋_GB2312" w:eastAsia="仿宋_GB2312"/>
                <w:sz w:val="24"/>
              </w:rPr>
              <w:t>5天内开展监测准备，及时开展监测及运维工作。服务期为合同签订后的一个年度。</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（二）服务质量要求</w:t>
            </w:r>
          </w:p>
          <w:p>
            <w:pPr>
              <w:pStyle w:val="null3"/>
              <w:ind w:left="45" w:firstLine="516"/>
              <w:jc w:val="both"/>
            </w:pPr>
            <w:r>
              <w:rPr>
                <w:rFonts w:ascii="仿宋_GB2312" w:hAnsi="仿宋_GB2312" w:cs="仿宋_GB2312" w:eastAsia="仿宋_GB2312"/>
                <w:sz w:val="24"/>
              </w:rPr>
              <w:t>编制运维方案，按规定开展巡查检测，形成台账；定期提交监测分析报告；设备完好率</w:t>
            </w:r>
            <w:r>
              <w:rPr>
                <w:rFonts w:ascii="仿宋_GB2312" w:hAnsi="仿宋_GB2312" w:cs="仿宋_GB2312" w:eastAsia="仿宋_GB2312"/>
                <w:sz w:val="24"/>
              </w:rPr>
              <w:t>≥95%。对维护中发现的问题24小时</w:t>
            </w:r>
            <w:r>
              <w:rPr>
                <w:rFonts w:ascii="仿宋_GB2312" w:hAnsi="仿宋_GB2312" w:cs="仿宋_GB2312" w:eastAsia="仿宋_GB2312"/>
                <w:sz w:val="24"/>
              </w:rPr>
              <w:t>内进行响应并处置。</w:t>
            </w:r>
          </w:p>
          <w:p>
            <w:pPr>
              <w:pStyle w:val="null3"/>
              <w:jc w:val="both"/>
            </w:pPr>
            <w:r>
              <w:rPr>
                <w:rFonts w:ascii="仿宋_GB2312" w:hAnsi="仿宋_GB2312" w:cs="仿宋_GB2312" w:eastAsia="仿宋_GB2312"/>
                <w:sz w:val="24"/>
              </w:rPr>
              <w:t>（三）验收要求</w:t>
            </w:r>
          </w:p>
          <w:p>
            <w:pPr>
              <w:pStyle w:val="null3"/>
              <w:ind w:firstLine="504"/>
              <w:jc w:val="both"/>
            </w:pPr>
            <w:r>
              <w:rPr>
                <w:rFonts w:ascii="仿宋_GB2312" w:hAnsi="仿宋_GB2312" w:cs="仿宋_GB2312" w:eastAsia="仿宋_GB2312"/>
                <w:sz w:val="24"/>
              </w:rPr>
              <w:t>验收由采购人成立验收小组进行验收，采购人依据下列验收标准进行验收：</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1）相关国家、行业标准；</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2）合同、招标文件、中标人投标文件、双方确认的技术文件等。</w:t>
            </w:r>
          </w:p>
          <w:p>
            <w:pPr>
              <w:pStyle w:val="null3"/>
              <w:ind w:firstLine="504"/>
              <w:jc w:val="both"/>
            </w:pPr>
            <w:r>
              <w:rPr>
                <w:rFonts w:ascii="仿宋_GB2312" w:hAnsi="仿宋_GB2312" w:cs="仿宋_GB2312" w:eastAsia="仿宋_GB2312"/>
                <w:sz w:val="24"/>
              </w:rPr>
              <w:t>若全部符合，即为验收合格。</w:t>
            </w:r>
          </w:p>
          <w:p>
            <w:pPr>
              <w:pStyle w:val="null3"/>
              <w:jc w:val="both"/>
            </w:pPr>
            <w:r>
              <w:rPr>
                <w:rFonts w:ascii="仿宋_GB2312" w:hAnsi="仿宋_GB2312" w:cs="仿宋_GB2312" w:eastAsia="仿宋_GB2312"/>
                <w:sz w:val="24"/>
              </w:rPr>
              <w:t>（四）进一步检测的要求</w:t>
            </w:r>
          </w:p>
          <w:p>
            <w:pPr>
              <w:pStyle w:val="null3"/>
              <w:ind w:left="15" w:firstLine="512"/>
              <w:jc w:val="both"/>
            </w:pPr>
            <w:r>
              <w:rPr>
                <w:rFonts w:ascii="仿宋_GB2312" w:hAnsi="仿宋_GB2312" w:cs="仿宋_GB2312" w:eastAsia="仿宋_GB2312"/>
                <w:sz w:val="24"/>
              </w:rPr>
              <w:t>当监测平台发出监测预警信息或桥梁发生特殊事件后，检测</w:t>
            </w:r>
            <w:r>
              <w:rPr>
                <w:rFonts w:ascii="仿宋_GB2312" w:hAnsi="仿宋_GB2312" w:cs="仿宋_GB2312" w:eastAsia="仿宋_GB2312"/>
                <w:sz w:val="24"/>
              </w:rPr>
              <w:t>单位应结合预警信息派专业</w:t>
            </w:r>
            <w:r>
              <w:rPr>
                <w:rFonts w:ascii="仿宋_GB2312" w:hAnsi="仿宋_GB2312" w:cs="仿宋_GB2312" w:eastAsia="仿宋_GB2312"/>
                <w:sz w:val="24"/>
              </w:rPr>
              <w:t>检测人员</w:t>
            </w:r>
            <w:r>
              <w:rPr>
                <w:rFonts w:ascii="仿宋_GB2312" w:hAnsi="仿宋_GB2312" w:cs="仿宋_GB2312" w:eastAsia="仿宋_GB2312"/>
                <w:sz w:val="24"/>
              </w:rPr>
              <w:t>24小时内赴现场进行检测，查明预警产生</w:t>
            </w:r>
            <w:r>
              <w:rPr>
                <w:rFonts w:ascii="仿宋_GB2312" w:hAnsi="仿宋_GB2312" w:cs="仿宋_GB2312" w:eastAsia="仿宋_GB2312"/>
                <w:sz w:val="24"/>
              </w:rPr>
              <w:t>原因并上报业主。</w:t>
            </w:r>
          </w:p>
          <w:p>
            <w:pPr>
              <w:pStyle w:val="null3"/>
              <w:jc w:val="both"/>
            </w:pPr>
            <w:r>
              <w:rPr>
                <w:rFonts w:ascii="仿宋_GB2312" w:hAnsi="仿宋_GB2312" w:cs="仿宋_GB2312" w:eastAsia="仿宋_GB2312"/>
                <w:sz w:val="24"/>
              </w:rPr>
              <w:t>（五）安全目标</w:t>
            </w:r>
          </w:p>
          <w:p>
            <w:pPr>
              <w:pStyle w:val="null3"/>
              <w:ind w:left="30" w:firstLine="520"/>
              <w:jc w:val="both"/>
            </w:pPr>
            <w:r>
              <w:rPr>
                <w:rFonts w:ascii="仿宋_GB2312" w:hAnsi="仿宋_GB2312" w:cs="仿宋_GB2312" w:eastAsia="仿宋_GB2312"/>
                <w:sz w:val="24"/>
              </w:rPr>
              <w:t>符合国家、省有关安全生产法律法规、标准、规范及地方安全生产管理规定等要求，不</w:t>
            </w:r>
            <w:r>
              <w:rPr>
                <w:rFonts w:ascii="仿宋_GB2312" w:hAnsi="仿宋_GB2312" w:cs="仿宋_GB2312" w:eastAsia="仿宋_GB2312"/>
                <w:sz w:val="24"/>
              </w:rPr>
              <w:t>发生生产安全责任事故。</w:t>
            </w:r>
            <w:r>
              <w:rPr>
                <w:rFonts w:ascii="仿宋_GB2312" w:hAnsi="仿宋_GB2312" w:cs="仿宋_GB2312" w:eastAsia="仿宋_GB2312"/>
                <w:sz w:val="24"/>
              </w:rPr>
              <w:t>落</w:t>
            </w:r>
            <w:r>
              <w:rPr>
                <w:rFonts w:ascii="仿宋_GB2312" w:hAnsi="仿宋_GB2312" w:cs="仿宋_GB2312" w:eastAsia="仿宋_GB2312"/>
                <w:sz w:val="24"/>
              </w:rPr>
              <w:t>实信息系统等级保护制度的相关要求，确保网络信息安全。</w:t>
            </w:r>
          </w:p>
          <w:p>
            <w:pPr>
              <w:pStyle w:val="null3"/>
              <w:jc w:val="both"/>
            </w:pPr>
            <w:r>
              <w:rPr>
                <w:rFonts w:ascii="仿宋_GB2312" w:hAnsi="仿宋_GB2312" w:cs="仿宋_GB2312" w:eastAsia="仿宋_GB2312"/>
                <w:sz w:val="24"/>
              </w:rPr>
              <w:t>四、依据的标准及规范</w:t>
            </w:r>
          </w:p>
          <w:p>
            <w:pPr>
              <w:pStyle w:val="null3"/>
              <w:ind w:firstLine="508"/>
              <w:jc w:val="both"/>
            </w:pPr>
            <w:r>
              <w:rPr>
                <w:rFonts w:ascii="仿宋_GB2312" w:hAnsi="仿宋_GB2312" w:cs="仿宋_GB2312" w:eastAsia="仿宋_GB2312"/>
                <w:sz w:val="24"/>
              </w:rPr>
              <w:t>1）《城市桥梁养护技术标准》（</w:t>
            </w:r>
            <w:r>
              <w:rPr>
                <w:rFonts w:ascii="仿宋_GB2312" w:hAnsi="仿宋_GB2312" w:cs="仿宋_GB2312" w:eastAsia="仿宋_GB2312"/>
                <w:sz w:val="24"/>
              </w:rPr>
              <w:t>CJJ</w:t>
            </w:r>
            <w:r>
              <w:rPr>
                <w:rFonts w:ascii="仿宋_GB2312" w:hAnsi="仿宋_GB2312" w:cs="仿宋_GB2312" w:eastAsia="仿宋_GB2312"/>
                <w:sz w:val="24"/>
              </w:rPr>
              <w:t>99-2017）</w:t>
            </w:r>
          </w:p>
          <w:p>
            <w:pPr>
              <w:pStyle w:val="null3"/>
              <w:ind w:right="105" w:firstLine="508"/>
              <w:jc w:val="both"/>
            </w:pPr>
            <w:r>
              <w:rPr>
                <w:rFonts w:ascii="仿宋_GB2312" w:hAnsi="仿宋_GB2312" w:cs="仿宋_GB2312" w:eastAsia="仿宋_GB2312"/>
                <w:sz w:val="24"/>
              </w:rPr>
              <w:t>2）《城市安全风险综合监测预警平台建设指南（2023 版）》（安委办函〔2023〕145</w:t>
            </w:r>
            <w:r>
              <w:rPr>
                <w:rFonts w:ascii="仿宋_GB2312" w:hAnsi="仿宋_GB2312" w:cs="仿宋_GB2312" w:eastAsia="仿宋_GB2312"/>
                <w:sz w:val="24"/>
              </w:rPr>
              <w:t>号）</w:t>
            </w:r>
          </w:p>
          <w:p>
            <w:pPr>
              <w:pStyle w:val="null3"/>
              <w:ind w:firstLine="512"/>
              <w:jc w:val="both"/>
            </w:pPr>
            <w:r>
              <w:rPr>
                <w:rFonts w:ascii="仿宋_GB2312" w:hAnsi="仿宋_GB2312" w:cs="仿宋_GB2312" w:eastAsia="仿宋_GB2312"/>
                <w:sz w:val="24"/>
              </w:rPr>
              <w:t>3）《建筑与桥梁结构监测技术规范》(</w:t>
            </w:r>
            <w:r>
              <w:rPr>
                <w:rFonts w:ascii="仿宋_GB2312" w:hAnsi="仿宋_GB2312" w:cs="仿宋_GB2312" w:eastAsia="仿宋_GB2312"/>
                <w:sz w:val="24"/>
              </w:rPr>
              <w:t>GB</w:t>
            </w:r>
            <w:r>
              <w:rPr>
                <w:rFonts w:ascii="仿宋_GB2312" w:hAnsi="仿宋_GB2312" w:cs="仿宋_GB2312" w:eastAsia="仿宋_GB2312"/>
                <w:sz w:val="24"/>
              </w:rPr>
              <w:t>50</w:t>
            </w:r>
            <w:r>
              <w:rPr>
                <w:rFonts w:ascii="仿宋_GB2312" w:hAnsi="仿宋_GB2312" w:cs="仿宋_GB2312" w:eastAsia="仿宋_GB2312"/>
                <w:sz w:val="24"/>
              </w:rPr>
              <w:t>982-2014)</w:t>
            </w:r>
          </w:p>
          <w:p>
            <w:pPr>
              <w:pStyle w:val="null3"/>
              <w:ind w:firstLine="504"/>
              <w:jc w:val="both"/>
            </w:pPr>
            <w:r>
              <w:rPr>
                <w:rFonts w:ascii="仿宋_GB2312" w:hAnsi="仿宋_GB2312" w:cs="仿宋_GB2312" w:eastAsia="仿宋_GB2312"/>
                <w:sz w:val="24"/>
              </w:rPr>
              <w:t>4）《公路桥梁结构监测技术规范》（</w:t>
            </w:r>
            <w:r>
              <w:rPr>
                <w:rFonts w:ascii="仿宋_GB2312" w:hAnsi="仿宋_GB2312" w:cs="仿宋_GB2312" w:eastAsia="仿宋_GB2312"/>
                <w:sz w:val="24"/>
              </w:rPr>
              <w:t>JT</w:t>
            </w:r>
            <w:r>
              <w:rPr>
                <w:rFonts w:ascii="仿宋_GB2312" w:hAnsi="仿宋_GB2312" w:cs="仿宋_GB2312" w:eastAsia="仿宋_GB2312"/>
                <w:sz w:val="24"/>
              </w:rPr>
              <w:t>/T1037-2022）</w:t>
            </w:r>
          </w:p>
          <w:p>
            <w:pPr>
              <w:pStyle w:val="null3"/>
              <w:ind w:firstLine="512"/>
              <w:jc w:val="both"/>
            </w:pPr>
            <w:r>
              <w:rPr>
                <w:rFonts w:ascii="仿宋_GB2312" w:hAnsi="仿宋_GB2312" w:cs="仿宋_GB2312" w:eastAsia="仿宋_GB2312"/>
                <w:sz w:val="24"/>
              </w:rPr>
              <w:t>5）《公路长大桥梁结构健康监测平台建设实施方案》（交办公路〔2021〕21号）</w:t>
            </w:r>
          </w:p>
          <w:p>
            <w:pPr>
              <w:pStyle w:val="null3"/>
              <w:ind w:firstLine="504"/>
              <w:jc w:val="both"/>
            </w:pPr>
            <w:r>
              <w:rPr>
                <w:rFonts w:ascii="仿宋_GB2312" w:hAnsi="仿宋_GB2312" w:cs="仿宋_GB2312" w:eastAsia="仿宋_GB2312"/>
                <w:sz w:val="24"/>
              </w:rPr>
              <w:t>6）</w:t>
            </w:r>
            <w:r>
              <w:rPr>
                <w:rFonts w:ascii="仿宋_GB2312" w:hAnsi="仿宋_GB2312" w:cs="仿宋_GB2312" w:eastAsia="仿宋_GB2312"/>
                <w:sz w:val="24"/>
              </w:rPr>
              <w:t>《公路桥梁荷载试验规程》（</w:t>
            </w:r>
            <w:r>
              <w:rPr>
                <w:rFonts w:ascii="仿宋_GB2312" w:hAnsi="仿宋_GB2312" w:cs="仿宋_GB2312" w:eastAsia="仿宋_GB2312"/>
                <w:sz w:val="24"/>
              </w:rPr>
              <w:t>JTG/T J21-01-2015）</w:t>
            </w:r>
          </w:p>
          <w:p>
            <w:pPr>
              <w:pStyle w:val="null3"/>
              <w:ind w:firstLine="504"/>
              <w:jc w:val="both"/>
            </w:pPr>
            <w:r>
              <w:rPr>
                <w:rFonts w:ascii="仿宋_GB2312" w:hAnsi="仿宋_GB2312" w:cs="仿宋_GB2312" w:eastAsia="仿宋_GB2312"/>
                <w:sz w:val="24"/>
              </w:rPr>
              <w:t>7）</w:t>
            </w:r>
            <w:r>
              <w:rPr>
                <w:rFonts w:ascii="仿宋_GB2312" w:hAnsi="仿宋_GB2312" w:cs="仿宋_GB2312" w:eastAsia="仿宋_GB2312"/>
                <w:sz w:val="24"/>
              </w:rPr>
              <w:t>《公路桥涵养护规范》</w:t>
            </w:r>
            <w:r>
              <w:rPr>
                <w:rFonts w:ascii="仿宋_GB2312" w:hAnsi="仿宋_GB2312" w:cs="仿宋_GB2312" w:eastAsia="仿宋_GB2312"/>
                <w:sz w:val="24"/>
              </w:rPr>
              <w:t>(JTG 5120-2021)</w:t>
            </w:r>
          </w:p>
          <w:p>
            <w:pPr>
              <w:pStyle w:val="null3"/>
              <w:ind w:firstLine="504"/>
              <w:jc w:val="both"/>
            </w:pPr>
            <w:r>
              <w:rPr>
                <w:rFonts w:ascii="仿宋_GB2312" w:hAnsi="仿宋_GB2312" w:cs="仿宋_GB2312" w:eastAsia="仿宋_GB2312"/>
                <w:sz w:val="24"/>
              </w:rPr>
              <w:t>8）</w:t>
            </w:r>
            <w:r>
              <w:rPr>
                <w:rFonts w:ascii="仿宋_GB2312" w:hAnsi="仿宋_GB2312" w:cs="仿宋_GB2312" w:eastAsia="仿宋_GB2312"/>
                <w:sz w:val="24"/>
              </w:rPr>
              <w:t>《数据中心设计规范》</w:t>
            </w:r>
            <w:r>
              <w:rPr>
                <w:rFonts w:ascii="仿宋_GB2312" w:hAnsi="仿宋_GB2312" w:cs="仿宋_GB2312" w:eastAsia="仿宋_GB2312"/>
                <w:sz w:val="24"/>
              </w:rPr>
              <w:t>(GB 50174-2017)</w:t>
            </w:r>
          </w:p>
          <w:p>
            <w:pPr>
              <w:pStyle w:val="null3"/>
              <w:ind w:firstLine="504"/>
              <w:jc w:val="both"/>
            </w:pPr>
            <w:r>
              <w:rPr>
                <w:rFonts w:ascii="仿宋_GB2312" w:hAnsi="仿宋_GB2312" w:cs="仿宋_GB2312" w:eastAsia="仿宋_GB2312"/>
                <w:sz w:val="24"/>
              </w:rPr>
              <w:t>9）</w:t>
            </w:r>
            <w:r>
              <w:rPr>
                <w:rFonts w:ascii="仿宋_GB2312" w:hAnsi="仿宋_GB2312" w:cs="仿宋_GB2312" w:eastAsia="仿宋_GB2312"/>
                <w:sz w:val="24"/>
              </w:rPr>
              <w:t>《信息安全技术网络安全等级保护基本要求》</w:t>
            </w:r>
            <w:r>
              <w:rPr>
                <w:rFonts w:ascii="仿宋_GB2312" w:hAnsi="仿宋_GB2312" w:cs="仿宋_GB2312" w:eastAsia="仿宋_GB2312"/>
                <w:sz w:val="24"/>
              </w:rPr>
              <w:t xml:space="preserve">(GB/T22239-2019 </w:t>
            </w:r>
            <w:r>
              <w:rPr>
                <w:rFonts w:ascii="仿宋_GB2312" w:hAnsi="仿宋_GB2312" w:cs="仿宋_GB2312" w:eastAsia="仿宋_GB2312"/>
                <w:sz w:val="24"/>
              </w:rPr>
              <w:t>10）</w:t>
            </w:r>
            <w:r>
              <w:rPr>
                <w:rFonts w:ascii="仿宋_GB2312" w:hAnsi="仿宋_GB2312" w:cs="仿宋_GB2312" w:eastAsia="仿宋_GB2312"/>
                <w:sz w:val="24"/>
              </w:rPr>
              <w:t>《城市桥梁安全风险在线监测设备安装试点项目》竣工图</w:t>
            </w:r>
          </w:p>
          <w:p>
            <w:pPr>
              <w:pStyle w:val="null3"/>
              <w:jc w:val="both"/>
            </w:pPr>
            <w:r>
              <w:rPr>
                <w:rFonts w:ascii="仿宋_GB2312" w:hAnsi="仿宋_GB2312" w:cs="仿宋_GB2312" w:eastAsia="仿宋_GB2312"/>
                <w:sz w:val="24"/>
              </w:rPr>
              <w:t>11）相关其他技术规范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自合同签订之日起1个月内日前完成桥梁结构检测外业工作。1个月后提交检测报告；桥梁监测服务期为合同签订后的一个年度。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乙方完成合同全部内容，验收合格后，甲方收到增值税发票后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供应商须具备交通运输部公路工程试验检测综合甲级或桥梁隧道工程专项资质，且同时具备省级及以上质量技术监督部门颁发的CMA 计量认证证书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供应商拟派项目负责人须具有桥梁专业或相近专业的高级职称，同时须具有交通运输部颁发的桥梁试验检测工程师资格证书；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供应商针对本项目编制完善的服务方案，内容包含:①检测技术方案；②检测数据处理；③检测成果；④档案管理方案 。 二、评审标准 1、完整性:方案必须全面，对评审内容中的各项要求有详细描述: 2、可实施性:切合本项目实际情况，提出步骤清晰、合理的方案; 3、针对性:方案能够紧扣项目实际情况，内容科学合理。 三、赋分标准(满分24分) ①检测技术方案:每完全满足一个评审标准得2分，满分6分;②检测数据处理:每完全满足一个评审标准得2分，满分6分。 ③检测成果:每完全满足一个评审标准得2分，满分6分。④档案管理方案:每完全满足一个评审标准得2分，满分6分。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②仪器设备、专业工具:每完全满足一个评审标准得2分，满分6分。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双重预防机制方案</w:t>
            </w:r>
          </w:p>
        </w:tc>
        <w:tc>
          <w:tcPr>
            <w:tcW w:type="dxa" w:w="2492"/>
          </w:tcPr>
          <w:p>
            <w:pPr>
              <w:pStyle w:val="null3"/>
            </w:pPr>
            <w:r>
              <w:rPr>
                <w:rFonts w:ascii="仿宋_GB2312" w:hAnsi="仿宋_GB2312" w:cs="仿宋_GB2312" w:eastAsia="仿宋_GB2312"/>
              </w:rPr>
              <w:t>一、评审内容 供应商针对本项目编制完善的双重预防机制方案。 二、评审标准 1、完整性:方案必须全面，对评审内容中的各项要求有详细描述: 2、可实施性:切合本项目实际情况，提出步骤清晰、合理的方案; 3、针对性:方案能够紧扣项目实际情况，内容科学合理。 三、赋分标准(满分6分) 双重预防机制方案:每完全满足一个评审标准得2分，满分6分。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