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0EB2">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特定资格证明文件</w:t>
      </w:r>
    </w:p>
    <w:p w14:paraId="5FAF58E5">
      <w:pPr>
        <w:pStyle w:val="5"/>
        <w:snapToGrid w:val="0"/>
        <w:spacing w:line="360" w:lineRule="auto"/>
        <w:rPr>
          <w:rFonts w:ascii="宋体" w:hAnsi="宋体" w:eastAsia="宋体" w:cs="宋体"/>
          <w:sz w:val="24"/>
          <w:szCs w:val="24"/>
        </w:rPr>
      </w:pPr>
      <w:r>
        <w:rPr>
          <w:rFonts w:ascii="宋体" w:hAnsi="宋体" w:eastAsia="宋体" w:cs="宋体"/>
          <w:sz w:val="24"/>
          <w:szCs w:val="24"/>
        </w:rPr>
        <w:t>1、营业执照等主体资格证明文件：在中华人民共和国境内注册，依法取得并有效存续的营业执照（含电子营业执照）\事业单位法人证书\民办非企业单位登记证书\非企业专业服务机构执业许可证等。</w:t>
      </w:r>
    </w:p>
    <w:p w14:paraId="2C83700D">
      <w:pPr>
        <w:pStyle w:val="5"/>
        <w:snapToGrid w:val="0"/>
        <w:spacing w:line="360" w:lineRule="auto"/>
        <w:rPr>
          <w:rFonts w:ascii="宋体" w:hAnsi="宋体" w:eastAsia="宋体" w:cs="宋体"/>
          <w:sz w:val="24"/>
          <w:szCs w:val="24"/>
        </w:rPr>
      </w:pPr>
      <w:r>
        <w:rPr>
          <w:rFonts w:ascii="宋体" w:hAnsi="宋体" w:eastAsia="宋体" w:cs="宋体"/>
          <w:sz w:val="24"/>
          <w:szCs w:val="24"/>
        </w:rPr>
        <w:t>2、授权书：法定代表人（主要负责人）委托代理人参加</w:t>
      </w:r>
      <w:r>
        <w:rPr>
          <w:rFonts w:hint="eastAsia" w:ascii="宋体" w:hAnsi="宋体" w:eastAsia="宋体" w:cs="宋体"/>
          <w:sz w:val="24"/>
          <w:szCs w:val="24"/>
          <w:lang w:eastAsia="zh-CN"/>
        </w:rPr>
        <w:t>谈判</w:t>
      </w:r>
      <w:r>
        <w:rPr>
          <w:rFonts w:ascii="宋体" w:hAnsi="宋体" w:eastAsia="宋体" w:cs="宋体"/>
          <w:sz w:val="24"/>
          <w:szCs w:val="24"/>
        </w:rPr>
        <w:t>时，应提供法定代表人（主要负责人）委托授权书；法定代表人（主要负责人）亲自参加</w:t>
      </w:r>
      <w:r>
        <w:rPr>
          <w:rFonts w:hint="eastAsia" w:ascii="宋体" w:hAnsi="宋体" w:eastAsia="宋体" w:cs="宋体"/>
          <w:sz w:val="24"/>
          <w:szCs w:val="24"/>
          <w:lang w:eastAsia="zh-CN"/>
        </w:rPr>
        <w:t>谈判</w:t>
      </w:r>
      <w:r>
        <w:rPr>
          <w:rFonts w:ascii="宋体" w:hAnsi="宋体" w:eastAsia="宋体" w:cs="宋体"/>
          <w:sz w:val="24"/>
          <w:szCs w:val="24"/>
        </w:rPr>
        <w:t>时，应提供法定代表人（主要负责人）身份证明书。</w:t>
      </w:r>
    </w:p>
    <w:p w14:paraId="22E38BC7">
      <w:pPr>
        <w:pStyle w:val="5"/>
        <w:snapToGrid w:val="0"/>
        <w:spacing w:line="360" w:lineRule="auto"/>
        <w:rPr>
          <w:rFonts w:ascii="宋体" w:hAnsi="宋体" w:eastAsia="宋体" w:cs="宋体"/>
          <w:sz w:val="24"/>
          <w:szCs w:val="24"/>
        </w:rPr>
      </w:pPr>
      <w:r>
        <w:rPr>
          <w:rFonts w:ascii="宋体" w:hAnsi="宋体" w:eastAsia="宋体" w:cs="宋体"/>
          <w:sz w:val="24"/>
          <w:szCs w:val="24"/>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w:t>
      </w:r>
      <w:r>
        <w:rPr>
          <w:rFonts w:hint="eastAsia" w:ascii="宋体" w:hAnsi="宋体" w:eastAsia="宋体" w:cs="宋体"/>
          <w:sz w:val="24"/>
          <w:szCs w:val="24"/>
          <w:lang w:eastAsia="zh-CN"/>
        </w:rPr>
        <w:t>谈判</w:t>
      </w:r>
      <w:r>
        <w:rPr>
          <w:rFonts w:ascii="宋体" w:hAnsi="宋体" w:eastAsia="宋体" w:cs="宋体"/>
          <w:sz w:val="24"/>
          <w:szCs w:val="24"/>
        </w:rPr>
        <w:t>现场查询）。</w:t>
      </w:r>
    </w:p>
    <w:p w14:paraId="1381BCAA">
      <w:pPr>
        <w:pStyle w:val="5"/>
        <w:snapToGrid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4、资质证书：供应商为生产厂商的，须具有所投药品的《药品生产许可证》；供应商为代理商的，须具有《药品经营许可证》，同时提供所投药品生产厂商的《药品生产许可证》。</w:t>
      </w:r>
    </w:p>
    <w:p w14:paraId="14F50A70">
      <w:pPr>
        <w:pStyle w:val="5"/>
        <w:snapToGrid w:val="0"/>
        <w:spacing w:line="360" w:lineRule="auto"/>
        <w:rPr>
          <w:rFonts w:hint="eastAsia" w:ascii="宋体" w:hAnsi="宋体" w:eastAsia="宋体" w:cs="宋体"/>
          <w:sz w:val="24"/>
          <w:szCs w:val="24"/>
          <w:lang w:eastAsia="zh-CN"/>
        </w:rPr>
      </w:pPr>
      <w:r>
        <w:rPr>
          <w:rFonts w:ascii="宋体" w:hAnsi="宋体" w:eastAsia="宋体" w:cs="宋体"/>
          <w:sz w:val="24"/>
          <w:szCs w:val="24"/>
        </w:rPr>
        <w:t>5、税收缴纳证明：提供</w:t>
      </w:r>
      <w:r>
        <w:rPr>
          <w:rFonts w:hint="eastAsia" w:ascii="宋体" w:hAnsi="宋体" w:eastAsia="宋体" w:cs="宋体"/>
          <w:sz w:val="24"/>
          <w:szCs w:val="24"/>
          <w:lang w:eastAsia="zh-CN"/>
        </w:rPr>
        <w:t>谈判</w:t>
      </w:r>
      <w:r>
        <w:rPr>
          <w:rFonts w:ascii="宋体" w:hAnsi="宋体" w:eastAsia="宋体" w:cs="宋体"/>
          <w:sz w:val="24"/>
          <w:szCs w:val="24"/>
        </w:rPr>
        <w:t>截止之日前一年内已缴纳的至少一个月的纳税证明或完税证明（任意税种），依法免税的单位应提供相关证明材料</w:t>
      </w:r>
      <w:r>
        <w:rPr>
          <w:rFonts w:hint="eastAsia" w:ascii="宋体" w:hAnsi="宋体" w:eastAsia="宋体" w:cs="宋体"/>
          <w:sz w:val="24"/>
          <w:szCs w:val="24"/>
          <w:lang w:eastAsia="zh-CN"/>
        </w:rPr>
        <w:t>。</w:t>
      </w:r>
    </w:p>
    <w:p w14:paraId="4DD5935A">
      <w:pPr>
        <w:pStyle w:val="5"/>
        <w:snapToGrid w:val="0"/>
        <w:spacing w:line="360" w:lineRule="auto"/>
        <w:rPr>
          <w:rFonts w:hint="eastAsia" w:ascii="宋体" w:hAnsi="宋体" w:eastAsia="宋体" w:cs="宋体"/>
          <w:sz w:val="24"/>
          <w:szCs w:val="24"/>
          <w:lang w:eastAsia="zh-CN"/>
        </w:rPr>
      </w:pPr>
      <w:r>
        <w:rPr>
          <w:rFonts w:ascii="宋体" w:hAnsi="宋体" w:eastAsia="宋体" w:cs="宋体"/>
          <w:sz w:val="24"/>
          <w:szCs w:val="24"/>
        </w:rPr>
        <w:t>6、社会保障资金缴纳证明：提供</w:t>
      </w:r>
      <w:r>
        <w:rPr>
          <w:rFonts w:hint="eastAsia" w:ascii="宋体" w:hAnsi="宋体" w:eastAsia="宋体" w:cs="宋体"/>
          <w:sz w:val="24"/>
          <w:szCs w:val="24"/>
          <w:lang w:eastAsia="zh-CN"/>
        </w:rPr>
        <w:t>谈判</w:t>
      </w:r>
      <w:r>
        <w:rPr>
          <w:rFonts w:ascii="宋体" w:hAnsi="宋体" w:eastAsia="宋体" w:cs="宋体"/>
          <w:sz w:val="24"/>
          <w:szCs w:val="24"/>
        </w:rPr>
        <w:t>截止之日前一年内已缴存的至少一个月的社会保障资金缴存单据或社保机构开具的社会保险参保缴费情况证明，依法不需要缴纳社会保障资金的单位应提供相关证明材料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4BCF0563">
      <w:pPr>
        <w:pStyle w:val="5"/>
        <w:numPr>
          <w:ilvl w:val="-1"/>
          <w:numId w:val="0"/>
        </w:numPr>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ascii="宋体" w:hAnsi="宋体" w:eastAsia="宋体" w:cs="宋体"/>
          <w:sz w:val="24"/>
          <w:szCs w:val="24"/>
        </w:rPr>
        <w:t>财务状况报告：提供202</w:t>
      </w:r>
      <w:r>
        <w:rPr>
          <w:rFonts w:hint="eastAsia" w:ascii="宋体" w:hAnsi="宋体" w:eastAsia="宋体" w:cs="宋体"/>
          <w:sz w:val="24"/>
          <w:szCs w:val="24"/>
          <w:lang w:val="en-US" w:eastAsia="zh-CN"/>
        </w:rPr>
        <w:t>4</w:t>
      </w:r>
      <w:r>
        <w:rPr>
          <w:rFonts w:ascii="宋体" w:hAnsi="宋体" w:eastAsia="宋体" w:cs="宋体"/>
          <w:sz w:val="24"/>
          <w:szCs w:val="24"/>
        </w:rPr>
        <w:t>年度的财务审计报告（至少包括资产负债表和利润表，成立时间至提交</w:t>
      </w:r>
      <w:r>
        <w:rPr>
          <w:rFonts w:hint="eastAsia" w:ascii="宋体" w:hAnsi="宋体" w:eastAsia="宋体" w:cs="宋体"/>
          <w:sz w:val="24"/>
          <w:szCs w:val="24"/>
          <w:lang w:eastAsia="zh-CN"/>
        </w:rPr>
        <w:t>谈判</w:t>
      </w:r>
      <w:r>
        <w:rPr>
          <w:rFonts w:ascii="宋体" w:hAnsi="宋体" w:eastAsia="宋体" w:cs="宋体"/>
          <w:sz w:val="24"/>
          <w:szCs w:val="24"/>
        </w:rPr>
        <w:t>响应文件截止时间不足一年的可提供成立后任意时段的资产负债表），或</w:t>
      </w:r>
      <w:r>
        <w:rPr>
          <w:rFonts w:hint="eastAsia" w:ascii="宋体" w:hAnsi="宋体" w:eastAsia="宋体" w:cs="宋体"/>
          <w:sz w:val="24"/>
          <w:szCs w:val="24"/>
          <w:lang w:eastAsia="zh-CN"/>
        </w:rPr>
        <w:t>谈判</w:t>
      </w:r>
      <w:r>
        <w:rPr>
          <w:rFonts w:ascii="宋体" w:hAnsi="宋体" w:eastAsia="宋体" w:cs="宋体"/>
          <w:sz w:val="24"/>
          <w:szCs w:val="24"/>
        </w:rPr>
        <w:t>时间前六个月内银行出具的资信证明</w:t>
      </w:r>
      <w:r>
        <w:rPr>
          <w:rFonts w:hint="eastAsia" w:ascii="宋体" w:hAnsi="宋体" w:eastAsia="宋体" w:cs="宋体"/>
          <w:sz w:val="24"/>
          <w:szCs w:val="24"/>
          <w:lang w:eastAsia="zh-CN"/>
        </w:rPr>
        <w:t>。</w:t>
      </w:r>
    </w:p>
    <w:p w14:paraId="6BCB4186">
      <w:pPr>
        <w:pStyle w:val="5"/>
        <w:numPr>
          <w:ilvl w:val="-1"/>
          <w:numId w:val="0"/>
        </w:numPr>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8、供应商承诺函：供应商非采购人单位职工及家属投资开办，其法人、股东和经营管理人员非采购人单位职工及家属。</w:t>
      </w:r>
    </w:p>
    <w:p w14:paraId="27AE3D9A">
      <w:pPr>
        <w:pStyle w:val="5"/>
        <w:snapToGrid w:val="0"/>
        <w:spacing w:line="360" w:lineRule="auto"/>
        <w:rPr>
          <w:rFonts w:ascii="宋体" w:hAnsi="宋体" w:eastAsia="宋体" w:cs="宋体"/>
          <w:sz w:val="24"/>
          <w:szCs w:val="24"/>
        </w:rPr>
      </w:pPr>
      <w:r>
        <w:rPr>
          <w:rFonts w:hint="eastAsia" w:ascii="宋体" w:hAnsi="宋体" w:eastAsia="宋体" w:cs="宋体"/>
          <w:sz w:val="24"/>
          <w:szCs w:val="24"/>
          <w:lang w:val="en-US" w:eastAsia="zh-CN"/>
        </w:rPr>
        <w:t>9</w:t>
      </w:r>
      <w:r>
        <w:rPr>
          <w:rFonts w:ascii="宋体" w:hAnsi="宋体" w:eastAsia="宋体" w:cs="宋体"/>
          <w:sz w:val="24"/>
          <w:szCs w:val="24"/>
        </w:rPr>
        <w:t>、非联合体承诺书：本项目不接受联合体。</w:t>
      </w:r>
    </w:p>
    <w:p w14:paraId="15E7516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346D35"/>
    <w:rsid w:val="33346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2025-06-25T06:59:00Z</dcterms:created>
  <dc:creator>丁小小昕</dc:creator>
  <cp:lastModifiedBy>丁小小昕</cp:lastModifiedBy>
  <dcterms:modified xsi:type="dcterms:W3CDTF">2025-06-25T06:59:25Z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98D0DB4E00CE4A8295ADEC2051628C4E_11</vt:lpwstr>
  </property>
  <property fmtid="{D5CDD505-2E9C-101B-9397-08002B2CF9AE}" pid="4" name="KSOTemplateDocerSaveRecord">
    <vt:lpwstr>eyJoZGlkIjoiOGY0MDlkN2Y4YTg5NTMwOTZkZmUwMzk2NjljNWJkNGMiLCJ1c2VySWQiOiI0MDg2NTQ1ODMifQ==</vt:lpwstr>
  </property>
</Properties>
</file>