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版本号：正衡招字-[2025]-300号20250620001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2025年车管大队北所房屋租赁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正衡招字-[2025]-300号</w:t>
      </w:r>
      <w:r>
        <w:br/>
      </w:r>
      <w:r>
        <w:br/>
      </w:r>
      <w:r>
        <w:br/>
      </w:r>
    </w:p>
    <w:p>
      <w:pPr>
        <w:pStyle w:val="null3"/>
        <w:jc w:val="center"/>
        <w:outlineLvl w:val="5"/>
      </w:pPr>
      <w:r>
        <w:rPr>
          <w:rFonts w:ascii="仿宋_GB2312" w:hAnsi="仿宋_GB2312" w:cs="仿宋_GB2312" w:eastAsia="仿宋_GB2312"/>
          <w:sz w:val="15"/>
          <w:b/>
        </w:rPr>
        <w:t>西安市公安局交通管理支队</w:t>
      </w:r>
    </w:p>
    <w:p>
      <w:pPr>
        <w:pStyle w:val="null3"/>
        <w:jc w:val="center"/>
        <w:outlineLvl w:val="5"/>
      </w:pPr>
      <w:r>
        <w:rPr>
          <w:rFonts w:ascii="仿宋_GB2312" w:hAnsi="仿宋_GB2312" w:cs="仿宋_GB2312" w:eastAsia="仿宋_GB2312"/>
          <w:sz w:val="15"/>
          <w:b/>
        </w:rPr>
        <w:t>正衡工程项目管理有限公司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2025年车管大队北所房屋租赁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正衡招字-[2025]-300号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2025年车管大队北所房屋租赁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出租房屋位于经开区锦城三路陕西智巢产业发展投资管理有限公司，面积6953平方米，作为车管大队北所办公用房使用。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采购包1（2025年车管大队北所房屋租赁）：属于专门面向中小企业采购。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注册的法人或其他组织的营业执照等证明文件、自然人的身份证明：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2、财务状况报告：2.财务状况报告：提供审计事务所出具的2023年度或2024年度的财务报告，包括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pPr>
        <w:pStyle w:val="null3"/>
      </w:pPr>
      <w:r>
        <w:rPr>
          <w:rFonts w:ascii="仿宋_GB2312" w:hAnsi="仿宋_GB2312" w:cs="仿宋_GB2312" w:eastAsia="仿宋_GB2312"/>
        </w:rPr>
        <w:t>3、税收缴纳证明：3.税收缴纳证明：提供已缴纳的本年度或上年度任一月份的纳税证明或完税证明，纳税证明或完税证明上应有代收机构或税务机关的公章。依法免税的投标人应提供相关文件证明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4、社会保障资金缴纳证明：4.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身份证明或授权委托书：法定代表人授权委托书：非法定代表人参加投标的，须提供法定代表人授权委托书及被授权人身份证复印件；法定代表人参加投标时,须提供法定代表人身份证明及身份证复印件；(式样见投标文件格式)</w:t>
      </w:r>
    </w:p>
    <w:p>
      <w:pPr>
        <w:pStyle w:val="null3"/>
      </w:pPr>
      <w:r>
        <w:rPr>
          <w:rFonts w:ascii="仿宋_GB2312" w:hAnsi="仿宋_GB2312" w:cs="仿宋_GB2312" w:eastAsia="仿宋_GB2312"/>
        </w:rPr>
        <w:t>8、信用信息查询：信用信息查询：不得为“信用中国”网站(http://www.creditchina.gov.cn)列入“重大税收违法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车管大队赵天文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13991831833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陕西省西安市航天基地雁塔南路391号正衡金融广场A幢18层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何星星、郑维肖、周雯婷、付婧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029-87515632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根据《招标代理服务收费管理暂行办法》计价格[2002]1980号文&amp;发改价格[2011]534号国家规定的招标代理服务费标准*95计取，由成交供应商在领取成交通知书前向采购代理机构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出租房屋位于经开区锦城三路陕西智巢产业发展投资管理有限公司，面积6953平方米，作为车管大队北所办公用房使用。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3,080,000.00</w:t>
      </w:r>
    </w:p>
    <w:p>
      <w:pPr>
        <w:pStyle w:val="null3"/>
      </w:pPr>
      <w:r>
        <w:rPr>
          <w:rFonts w:ascii="仿宋_GB2312" w:hAnsi="仿宋_GB2312" w:cs="仿宋_GB2312" w:eastAsia="仿宋_GB2312"/>
        </w:rPr>
        <w:t>采购包最高限价（元）: 3,080,000.00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0"/>
              <w:jc w:val="both"/>
            </w:pPr>
            <w:r>
              <w:rPr>
                <w:rFonts w:ascii="仿宋_GB2312" w:hAnsi="仿宋_GB2312" w:cs="仿宋_GB2312" w:eastAsia="仿宋_GB2312"/>
                <w:sz w:val="21"/>
              </w:rPr>
              <w:t>一、合同标的</w:t>
            </w:r>
          </w:p>
          <w:p>
            <w:pPr>
              <w:pStyle w:val="null3"/>
              <w:ind w:firstLine="600"/>
              <w:jc w:val="both"/>
            </w:pPr>
            <w:r>
              <w:rPr>
                <w:rFonts w:ascii="仿宋_GB2312" w:hAnsi="仿宋_GB2312" w:cs="仿宋_GB2312" w:eastAsia="仿宋_GB2312"/>
                <w:sz w:val="21"/>
              </w:rPr>
              <w:t>（一）租赁场地</w:t>
            </w:r>
          </w:p>
          <w:p>
            <w:pPr>
              <w:pStyle w:val="null3"/>
              <w:ind w:firstLine="6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、出租房屋位于经开区锦城三路陕西智巢产业发展投资管理有限公司，面积6953平方米，作为车管大队北所办公用房使用。</w:t>
            </w:r>
          </w:p>
          <w:p>
            <w:pPr>
              <w:pStyle w:val="null3"/>
              <w:ind w:firstLine="6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提供相应内部停车位。</w:t>
            </w:r>
          </w:p>
          <w:p>
            <w:pPr>
              <w:pStyle w:val="null3"/>
              <w:ind w:firstLine="600"/>
              <w:jc w:val="both"/>
            </w:pPr>
            <w:r>
              <w:rPr>
                <w:rFonts w:ascii="仿宋_GB2312" w:hAnsi="仿宋_GB2312" w:cs="仿宋_GB2312" w:eastAsia="仿宋_GB2312"/>
                <w:sz w:val="21"/>
              </w:rPr>
              <w:t>（二）附属设施</w:t>
            </w:r>
          </w:p>
          <w:p>
            <w:pPr>
              <w:pStyle w:val="null3"/>
              <w:ind w:firstLine="600"/>
              <w:jc w:val="both"/>
            </w:pPr>
            <w:r>
              <w:rPr>
                <w:rFonts w:ascii="仿宋_GB2312" w:hAnsi="仿宋_GB2312" w:cs="仿宋_GB2312" w:eastAsia="仿宋_GB2312"/>
                <w:sz w:val="21"/>
              </w:rPr>
              <w:t>供应商负责按照以下要求提供相关附属设施：</w:t>
            </w:r>
          </w:p>
          <w:p>
            <w:pPr>
              <w:pStyle w:val="null3"/>
              <w:ind w:firstLine="600"/>
              <w:jc w:val="both"/>
            </w:pPr>
            <w:r>
              <w:rPr>
                <w:rFonts w:ascii="仿宋_GB2312" w:hAnsi="仿宋_GB2312" w:cs="仿宋_GB2312" w:eastAsia="仿宋_GB2312"/>
                <w:sz w:val="21"/>
              </w:rPr>
              <w:t>1</w:t>
            </w:r>
            <w:r>
              <w:rPr>
                <w:rFonts w:ascii="仿宋_GB2312" w:hAnsi="仿宋_GB2312" w:cs="仿宋_GB2312" w:eastAsia="仿宋_GB2312"/>
                <w:sz w:val="21"/>
              </w:rPr>
              <w:t>、在办公区域内设置安保监控系统，负责公共区域安全；</w:t>
            </w:r>
          </w:p>
          <w:p>
            <w:pPr>
              <w:pStyle w:val="null3"/>
              <w:ind w:firstLine="600"/>
              <w:jc w:val="both"/>
            </w:pPr>
            <w:r>
              <w:rPr>
                <w:rFonts w:ascii="仿宋_GB2312" w:hAnsi="仿宋_GB2312" w:cs="仿宋_GB2312" w:eastAsia="仿宋_GB2312"/>
                <w:sz w:val="21"/>
              </w:rPr>
              <w:t>2</w:t>
            </w:r>
            <w:r>
              <w:rPr>
                <w:rFonts w:ascii="仿宋_GB2312" w:hAnsi="仿宋_GB2312" w:cs="仿宋_GB2312" w:eastAsia="仿宋_GB2312"/>
                <w:sz w:val="21"/>
              </w:rPr>
              <w:t>、整个办公区域与其他区域设置隔离设施；施化办公区域内标志标线等；</w:t>
            </w:r>
          </w:p>
          <w:p>
            <w:pPr>
              <w:pStyle w:val="null3"/>
              <w:ind w:firstLine="600"/>
              <w:jc w:val="both"/>
            </w:pPr>
            <w:r>
              <w:rPr>
                <w:rFonts w:ascii="仿宋_GB2312" w:hAnsi="仿宋_GB2312" w:cs="仿宋_GB2312" w:eastAsia="仿宋_GB2312"/>
                <w:sz w:val="21"/>
              </w:rPr>
              <w:t>3</w:t>
            </w:r>
            <w:r>
              <w:rPr>
                <w:rFonts w:ascii="仿宋_GB2312" w:hAnsi="仿宋_GB2312" w:cs="仿宋_GB2312" w:eastAsia="仿宋_GB2312"/>
                <w:sz w:val="21"/>
              </w:rPr>
              <w:t>、配置消防预警系统安全设施设备；</w:t>
            </w:r>
          </w:p>
          <w:p>
            <w:pPr>
              <w:pStyle w:val="null3"/>
              <w:ind w:firstLine="600"/>
              <w:jc w:val="both"/>
            </w:pPr>
            <w:r>
              <w:rPr>
                <w:rFonts w:ascii="仿宋_GB2312" w:hAnsi="仿宋_GB2312" w:cs="仿宋_GB2312" w:eastAsia="仿宋_GB2312"/>
                <w:sz w:val="21"/>
              </w:rPr>
              <w:t>4</w:t>
            </w:r>
            <w:r>
              <w:rPr>
                <w:rFonts w:ascii="仿宋_GB2312" w:hAnsi="仿宋_GB2312" w:cs="仿宋_GB2312" w:eastAsia="仿宋_GB2312"/>
                <w:sz w:val="21"/>
              </w:rPr>
              <w:t>、设置公共停车位；</w:t>
            </w:r>
          </w:p>
          <w:p>
            <w:pPr>
              <w:pStyle w:val="null3"/>
              <w:ind w:firstLine="600"/>
              <w:jc w:val="both"/>
            </w:pPr>
            <w:r>
              <w:rPr>
                <w:rFonts w:ascii="仿宋_GB2312" w:hAnsi="仿宋_GB2312" w:cs="仿宋_GB2312" w:eastAsia="仿宋_GB2312"/>
                <w:sz w:val="21"/>
              </w:rPr>
              <w:t>5</w:t>
            </w:r>
            <w:r>
              <w:rPr>
                <w:rFonts w:ascii="仿宋_GB2312" w:hAnsi="仿宋_GB2312" w:cs="仿宋_GB2312" w:eastAsia="仿宋_GB2312"/>
                <w:sz w:val="21"/>
              </w:rPr>
              <w:t>、公共区域照明设施配置，设置充电桩、设置洗车台。</w:t>
            </w:r>
          </w:p>
          <w:p>
            <w:pPr>
              <w:pStyle w:val="null3"/>
              <w:ind w:firstLine="600"/>
              <w:jc w:val="both"/>
            </w:pPr>
            <w:r>
              <w:rPr>
                <w:rFonts w:ascii="仿宋_GB2312" w:hAnsi="仿宋_GB2312" w:cs="仿宋_GB2312" w:eastAsia="仿宋_GB2312"/>
                <w:sz w:val="21"/>
              </w:rPr>
              <w:t>6</w:t>
            </w:r>
            <w:r>
              <w:rPr>
                <w:rFonts w:ascii="仿宋_GB2312" w:hAnsi="仿宋_GB2312" w:cs="仿宋_GB2312" w:eastAsia="仿宋_GB2312"/>
                <w:sz w:val="21"/>
              </w:rPr>
              <w:t>、供应商应将采购人正在使用的钢结构房屋按照国家行业标准，经有检测资质的第三方进行安全检测；</w:t>
            </w:r>
          </w:p>
          <w:p>
            <w:pPr>
              <w:pStyle w:val="null3"/>
              <w:ind w:firstLine="600"/>
              <w:jc w:val="both"/>
            </w:pPr>
            <w:r>
              <w:rPr>
                <w:rFonts w:ascii="仿宋_GB2312" w:hAnsi="仿宋_GB2312" w:cs="仿宋_GB2312" w:eastAsia="仿宋_GB2312"/>
                <w:sz w:val="21"/>
              </w:rPr>
              <w:t>以上配套设施的日常维护、保养、翻新更换均由供应商负责，费用已包含在年租金中，不再另行计算。</w:t>
            </w:r>
          </w:p>
          <w:p>
            <w:pPr>
              <w:pStyle w:val="null3"/>
              <w:ind w:firstLine="600"/>
              <w:jc w:val="both"/>
            </w:pPr>
            <w:r>
              <w:rPr>
                <w:rFonts w:ascii="仿宋_GB2312" w:hAnsi="仿宋_GB2312" w:cs="仿宋_GB2312" w:eastAsia="仿宋_GB2312"/>
                <w:sz w:val="21"/>
              </w:rPr>
              <w:t>（三）移交时间</w:t>
            </w:r>
          </w:p>
          <w:p>
            <w:pPr>
              <w:pStyle w:val="null3"/>
              <w:jc w:val="both"/>
            </w:pPr>
            <w:r>
              <w:rPr>
                <w:rFonts w:ascii="仿宋_GB2312" w:hAnsi="仿宋_GB2312" w:cs="仿宋_GB2312" w:eastAsia="仿宋_GB2312"/>
                <w:sz w:val="21"/>
              </w:rPr>
              <w:t xml:space="preserve">     2025</w:t>
            </w:r>
            <w:r>
              <w:rPr>
                <w:rFonts w:ascii="仿宋_GB2312" w:hAnsi="仿宋_GB2312" w:cs="仿宋_GB2312" w:eastAsia="仿宋_GB2312"/>
                <w:sz w:val="21"/>
              </w:rPr>
              <w:t>年7月1日</w:t>
            </w:r>
          </w:p>
          <w:p>
            <w:pPr>
              <w:pStyle w:val="null3"/>
              <w:ind w:firstLine="600"/>
              <w:jc w:val="both"/>
            </w:pPr>
            <w:r>
              <w:rPr>
                <w:rFonts w:ascii="仿宋_GB2312" w:hAnsi="仿宋_GB2312" w:cs="仿宋_GB2312" w:eastAsia="仿宋_GB2312"/>
                <w:sz w:val="21"/>
              </w:rPr>
              <w:t>二、租赁用途</w:t>
            </w:r>
          </w:p>
          <w:p>
            <w:pPr>
              <w:pStyle w:val="null3"/>
              <w:ind w:firstLine="600"/>
              <w:jc w:val="both"/>
            </w:pPr>
            <w:r>
              <w:rPr>
                <w:rFonts w:ascii="仿宋_GB2312" w:hAnsi="仿宋_GB2312" w:cs="仿宋_GB2312" w:eastAsia="仿宋_GB2312"/>
                <w:sz w:val="21"/>
              </w:rPr>
              <w:t>租赁场地、房屋及附属设施用于采购人对群众办理车驾管业务、民辅警工作生活。</w:t>
            </w:r>
          </w:p>
          <w:p>
            <w:pPr>
              <w:pStyle w:val="null3"/>
              <w:numPr>
                <w:ilvl w:val="0"/>
                <w:numId w:val="1"/>
              </w:numPr>
              <w:jc w:val="both"/>
            </w:pPr>
            <w:r>
              <w:rPr>
                <w:rFonts w:ascii="仿宋_GB2312" w:hAnsi="仿宋_GB2312" w:cs="仿宋_GB2312" w:eastAsia="仿宋_GB2312"/>
                <w:sz w:val="21"/>
              </w:rPr>
              <w:t>租赁期限</w:t>
            </w:r>
          </w:p>
          <w:p>
            <w:pPr>
              <w:pStyle w:val="null3"/>
              <w:ind w:firstLine="600"/>
              <w:jc w:val="both"/>
            </w:pPr>
            <w:r>
              <w:rPr>
                <w:rFonts w:ascii="仿宋_GB2312" w:hAnsi="仿宋_GB2312" w:cs="仿宋_GB2312" w:eastAsia="仿宋_GB2312"/>
                <w:sz w:val="21"/>
              </w:rPr>
              <w:t>2025</w:t>
            </w:r>
            <w:r>
              <w:rPr>
                <w:rFonts w:ascii="仿宋_GB2312" w:hAnsi="仿宋_GB2312" w:cs="仿宋_GB2312" w:eastAsia="仿宋_GB2312"/>
                <w:sz w:val="21"/>
              </w:rPr>
              <w:t>年7月1日起到2026年6月30日为期一年。期满后如采购人需要，供应商继续出租给采购人，采购人应提前两个月与供应商协商并重新签订合同。</w:t>
            </w:r>
          </w:p>
          <w:p>
            <w:pPr>
              <w:pStyle w:val="null3"/>
              <w:numPr>
                <w:ilvl w:val="0"/>
                <w:numId w:val="1"/>
              </w:numPr>
              <w:ind w:firstLine="600"/>
              <w:jc w:val="both"/>
            </w:pPr>
            <w:r>
              <w:rPr>
                <w:rFonts w:ascii="仿宋_GB2312" w:hAnsi="仿宋_GB2312" w:cs="仿宋_GB2312" w:eastAsia="仿宋_GB2312"/>
                <w:sz w:val="21"/>
              </w:rPr>
              <w:t>租金和付款方式</w:t>
            </w:r>
          </w:p>
          <w:p>
            <w:pPr>
              <w:pStyle w:val="null3"/>
              <w:numPr>
                <w:ilvl w:val="0"/>
                <w:numId w:val="2"/>
              </w:numPr>
              <w:jc w:val="left"/>
            </w:pPr>
            <w:r>
              <w:rPr>
                <w:rFonts w:ascii="仿宋_GB2312" w:hAnsi="仿宋_GB2312" w:cs="仿宋_GB2312" w:eastAsia="仿宋_GB2312"/>
                <w:sz w:val="21"/>
              </w:rPr>
              <w:t>月租金256964元，年租金不超过3083568元，费用含税费用。</w:t>
            </w:r>
          </w:p>
          <w:p>
            <w:pPr>
              <w:pStyle w:val="null3"/>
              <w:numPr>
                <w:ilvl w:val="0"/>
                <w:numId w:val="2"/>
              </w:numPr>
              <w:jc w:val="left"/>
            </w:pPr>
            <w:r>
              <w:rPr>
                <w:rFonts w:ascii="仿宋_GB2312" w:hAnsi="仿宋_GB2312" w:cs="仿宋_GB2312" w:eastAsia="仿宋_GB2312"/>
                <w:sz w:val="21"/>
              </w:rPr>
              <w:t>附属配套设施日常维护、保养、翻新更换费用由供应商承担。</w:t>
            </w:r>
          </w:p>
          <w:p>
            <w:pPr>
              <w:pStyle w:val="null3"/>
              <w:ind w:firstLine="600"/>
              <w:jc w:val="both"/>
            </w:pPr>
            <w:r>
              <w:rPr>
                <w:rFonts w:ascii="仿宋_GB2312" w:hAnsi="仿宋_GB2312" w:cs="仿宋_GB2312" w:eastAsia="仿宋_GB2312"/>
                <w:sz w:val="21"/>
              </w:rPr>
              <w:t>3</w:t>
            </w:r>
            <w:r>
              <w:rPr>
                <w:rFonts w:ascii="仿宋_GB2312" w:hAnsi="仿宋_GB2312" w:cs="仿宋_GB2312" w:eastAsia="仿宋_GB2312"/>
                <w:sz w:val="21"/>
              </w:rPr>
              <w:t>、合同签订后经验收合格一次性支付全部费用。</w:t>
            </w:r>
          </w:p>
          <w:p>
            <w:pPr>
              <w:pStyle w:val="null3"/>
              <w:ind w:firstLine="600"/>
              <w:jc w:val="both"/>
            </w:pPr>
            <w:r>
              <w:rPr>
                <w:rFonts w:ascii="仿宋_GB2312" w:hAnsi="仿宋_GB2312" w:cs="仿宋_GB2312" w:eastAsia="仿宋_GB2312"/>
                <w:sz w:val="21"/>
              </w:rPr>
              <w:t>4</w:t>
            </w:r>
            <w:r>
              <w:rPr>
                <w:rFonts w:ascii="仿宋_GB2312" w:hAnsi="仿宋_GB2312" w:cs="仿宋_GB2312" w:eastAsia="仿宋_GB2312"/>
                <w:sz w:val="21"/>
              </w:rPr>
              <w:t>、其他费用：水、电、气费用依计量表实际用量，由采购人自行支付。</w:t>
            </w:r>
          </w:p>
          <w:p>
            <w:pPr>
              <w:pStyle w:val="null3"/>
              <w:numPr>
                <w:ilvl w:val="0"/>
                <w:numId w:val="1"/>
              </w:numPr>
              <w:jc w:val="both"/>
            </w:pPr>
            <w:r>
              <w:rPr>
                <w:rFonts w:ascii="仿宋_GB2312" w:hAnsi="仿宋_GB2312" w:cs="仿宋_GB2312" w:eastAsia="仿宋_GB2312"/>
                <w:sz w:val="21"/>
              </w:rPr>
              <w:t>双方的权利义务</w:t>
            </w:r>
          </w:p>
          <w:p>
            <w:pPr>
              <w:pStyle w:val="null3"/>
              <w:ind w:firstLine="600"/>
              <w:jc w:val="both"/>
            </w:pPr>
            <w:r>
              <w:rPr>
                <w:rFonts w:ascii="仿宋_GB2312" w:hAnsi="仿宋_GB2312" w:cs="仿宋_GB2312" w:eastAsia="仿宋_GB2312"/>
                <w:sz w:val="21"/>
              </w:rPr>
              <w:t>（一）供应商保证出租的场地及附属设施属于本公司合法所有，无产权纠纷、争议，不存在任何所有权、使用权争议。</w:t>
            </w:r>
          </w:p>
          <w:p>
            <w:pPr>
              <w:pStyle w:val="null3"/>
              <w:ind w:firstLine="600"/>
              <w:jc w:val="both"/>
            </w:pPr>
            <w:r>
              <w:rPr>
                <w:rFonts w:ascii="仿宋_GB2312" w:hAnsi="仿宋_GB2312" w:cs="仿宋_GB2312" w:eastAsia="仿宋_GB2312"/>
                <w:sz w:val="21"/>
              </w:rPr>
              <w:t>（二）供应商在合同期内应最大限度地配合采购人做好各种租赁场所维修、周边关系协调，水电配套正常使用等配合性、保障性工作。</w:t>
            </w:r>
          </w:p>
          <w:p>
            <w:pPr>
              <w:pStyle w:val="null3"/>
              <w:ind w:firstLine="600"/>
              <w:jc w:val="both"/>
            </w:pPr>
            <w:r>
              <w:rPr>
                <w:rFonts w:ascii="仿宋_GB2312" w:hAnsi="仿宋_GB2312" w:cs="仿宋_GB2312" w:eastAsia="仿宋_GB2312"/>
                <w:sz w:val="21"/>
              </w:rPr>
              <w:t>（三）合同期内城市建设及城市规划需要拆迁的，供应商应按照西安市有关部门确定赔偿标准，补偿采购人损失。如遇政府大型建设项目，甲乙双方应积极配合、协商解决，不得推诿，供应商应积极配合将补偿采购人的款项交付采购人。</w:t>
            </w:r>
          </w:p>
          <w:p>
            <w:pPr>
              <w:pStyle w:val="null3"/>
              <w:ind w:firstLine="600"/>
              <w:jc w:val="both"/>
            </w:pPr>
            <w:r>
              <w:rPr>
                <w:rFonts w:ascii="仿宋_GB2312" w:hAnsi="仿宋_GB2312" w:cs="仿宋_GB2312" w:eastAsia="仿宋_GB2312"/>
                <w:sz w:val="21"/>
              </w:rPr>
              <w:t>（四）出租宿办区域、场地及附属设施因自然条件、地质灾害等不可抗拒的、非采购人因素造成的损失，采购人不承担赔偿责任。影响采购人正常办公的，采购人有权解除合同。</w:t>
            </w:r>
          </w:p>
          <w:p>
            <w:pPr>
              <w:pStyle w:val="null3"/>
              <w:ind w:firstLine="600"/>
              <w:jc w:val="both"/>
            </w:pPr>
            <w:r>
              <w:rPr>
                <w:rFonts w:ascii="仿宋_GB2312" w:hAnsi="仿宋_GB2312" w:cs="仿宋_GB2312" w:eastAsia="仿宋_GB2312"/>
                <w:sz w:val="21"/>
              </w:rPr>
              <w:t>（五）供应商负责将出租区域及附属设施移交采购人使用，应保证所租场地及宿办区域、附属设施完全符合采购人的要求，不符合要求的供应商应按照采购人要求期限予以整改。</w:t>
            </w:r>
          </w:p>
          <w:p>
            <w:pPr>
              <w:pStyle w:val="null3"/>
              <w:ind w:firstLine="600"/>
              <w:jc w:val="both"/>
            </w:pPr>
            <w:r>
              <w:rPr>
                <w:rFonts w:ascii="仿宋_GB2312" w:hAnsi="仿宋_GB2312" w:cs="仿宋_GB2312" w:eastAsia="仿宋_GB2312"/>
                <w:sz w:val="21"/>
              </w:rPr>
              <w:t>（六）供应商保证在租赁期内不向第三人出售或出租租赁场地及附属设施，保证采购人完整占有使用租赁场地、宿办区域及附属设施。</w:t>
            </w:r>
          </w:p>
          <w:p>
            <w:pPr>
              <w:pStyle w:val="null3"/>
              <w:ind w:firstLine="600"/>
              <w:jc w:val="both"/>
            </w:pPr>
            <w:r>
              <w:rPr>
                <w:rFonts w:ascii="仿宋_GB2312" w:hAnsi="仿宋_GB2312" w:cs="仿宋_GB2312" w:eastAsia="仿宋_GB2312"/>
                <w:sz w:val="21"/>
              </w:rPr>
              <w:t>（七）租赁期满后，采购人继续承租场地、宿办区域及附属设施的，在同等条件下供应商必须出租给采购人，采购人享有优先承租权。</w:t>
            </w:r>
          </w:p>
          <w:p>
            <w:pPr>
              <w:pStyle w:val="null3"/>
              <w:ind w:firstLine="600"/>
              <w:jc w:val="both"/>
            </w:pPr>
            <w:r>
              <w:rPr>
                <w:rFonts w:ascii="仿宋_GB2312" w:hAnsi="仿宋_GB2312" w:cs="仿宋_GB2312" w:eastAsia="仿宋_GB2312"/>
                <w:sz w:val="21"/>
              </w:rPr>
              <w:t>（八）在正常使用时易损设备的损坏，由供应商负责修理更换，费用由供应商自理。</w:t>
            </w:r>
          </w:p>
          <w:p>
            <w:pPr>
              <w:pStyle w:val="null3"/>
              <w:ind w:firstLine="600"/>
              <w:jc w:val="both"/>
            </w:pPr>
            <w:r>
              <w:rPr>
                <w:rFonts w:ascii="仿宋_GB2312" w:hAnsi="仿宋_GB2312" w:cs="仿宋_GB2312" w:eastAsia="仿宋_GB2312"/>
                <w:sz w:val="21"/>
              </w:rPr>
              <w:t>（九）租赁场地、宿办区域因建筑质量或自然损耗所造成的人员伤亡及财产损失及地面下沉、渗漏、裂缝或设施损坏的，由供应商负责赔偿，维修，全部责任及费用由供应商承担。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六、场地设施验收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供应商应在合同签订之日起将租赁的所有办公区域、宿办、餐厅、场地及附属设施移交采购人使用。双方对租赁场所现状、配套设施与设备的完成程度检查确认，供应商负责确保采购人按期开展对外办公业务。对于未完成或使用中存在缺陷的配套设施、设备，供应商应按采购人要求限期整改，拒不整改或整改不合格的，采购人有权委托第三方整改，但相关费用由供应商承担。</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七、违约责任</w:t>
            </w:r>
          </w:p>
          <w:p>
            <w:pPr>
              <w:pStyle w:val="null3"/>
              <w:ind w:firstLine="600"/>
              <w:jc w:val="both"/>
            </w:pPr>
            <w:r>
              <w:rPr>
                <w:rFonts w:ascii="仿宋_GB2312" w:hAnsi="仿宋_GB2312" w:cs="仿宋_GB2312" w:eastAsia="仿宋_GB2312"/>
                <w:sz w:val="21"/>
              </w:rPr>
              <w:t>（一）合同期内因租赁场地或附属设施产权纠纷、债务纠纷等法律纠纷或其它纠纷，致使采购人不能办公的，采购人有权解除合同，供应商应按照年租金的30％承担违约责任及赔偿采购人遭受的全部损失(包括但不限于实际损失、可期待利益、律师费）。</w:t>
            </w:r>
          </w:p>
          <w:p>
            <w:pPr>
              <w:pStyle w:val="null3"/>
              <w:ind w:firstLine="600"/>
              <w:jc w:val="both"/>
            </w:pPr>
            <w:r>
              <w:rPr>
                <w:rFonts w:ascii="仿宋_GB2312" w:hAnsi="仿宋_GB2312" w:cs="仿宋_GB2312" w:eastAsia="仿宋_GB2312"/>
                <w:sz w:val="21"/>
              </w:rPr>
              <w:t>（二）合同签订后，供应商逾期交付租赁场地、宿办区域及附属设施的，每逾期一日按照年租金的百分之五承担违约责任。逾期累计10天以上的，采购人有权解除合同。</w:t>
            </w:r>
          </w:p>
          <w:p>
            <w:pPr>
              <w:pStyle w:val="null3"/>
              <w:ind w:firstLine="600"/>
              <w:jc w:val="both"/>
            </w:pPr>
            <w:r>
              <w:rPr>
                <w:rFonts w:ascii="仿宋_GB2312" w:hAnsi="仿宋_GB2312" w:cs="仿宋_GB2312" w:eastAsia="仿宋_GB2312"/>
                <w:sz w:val="21"/>
              </w:rPr>
              <w:t>（三）租赁期内供应商向第三人出售、出租场地、宿办区域及附属设施的，采购人有权解除合同，供应商应按照年租金的30％承担违约责任及赔偿采购人遭受的全部损失(包括但不限于实际损失、可期待利益、律师费）。</w:t>
            </w:r>
          </w:p>
          <w:p>
            <w:pPr>
              <w:pStyle w:val="null3"/>
              <w:ind w:firstLine="600"/>
              <w:jc w:val="both"/>
            </w:pPr>
            <w:r>
              <w:rPr>
                <w:rFonts w:ascii="仿宋_GB2312" w:hAnsi="仿宋_GB2312" w:cs="仿宋_GB2312" w:eastAsia="仿宋_GB2312"/>
                <w:sz w:val="21"/>
              </w:rPr>
              <w:t>（四）租赁期内，供应商未按照合同约定或按采购人要求对宿办区域、场地及附属设施进行维修的，采购人有权委托第三方维修，但相关费用由供应商承担，采购人有权从年租金中予以扣除。</w:t>
            </w:r>
          </w:p>
          <w:p>
            <w:pPr>
              <w:pStyle w:val="null3"/>
              <w:ind w:firstLine="600"/>
              <w:jc w:val="both"/>
            </w:pPr>
            <w:r>
              <w:rPr>
                <w:rFonts w:ascii="仿宋_GB2312" w:hAnsi="仿宋_GB2312" w:cs="仿宋_GB2312" w:eastAsia="仿宋_GB2312"/>
                <w:sz w:val="21"/>
              </w:rPr>
              <w:t>（五）供应商应在收到解除通知后 3 天内退还已收取的租金，并赔偿采购人因解除合同所遭受的损失，损失无法计算的，每日应按合同价款的千分之五累计计算。合同中约定的违约条款可合并适用，合并适用后仍不能弥补采购人损失的，采购人有权继续追偿，但最高不得超过实际损失的30％。</w:t>
            </w:r>
          </w:p>
          <w:p>
            <w:pPr>
              <w:pStyle w:val="null3"/>
              <w:ind w:firstLine="600"/>
              <w:jc w:val="both"/>
            </w:pPr>
            <w:r>
              <w:rPr>
                <w:rFonts w:ascii="仿宋_GB2312" w:hAnsi="仿宋_GB2312" w:cs="仿宋_GB2312" w:eastAsia="仿宋_GB2312"/>
                <w:sz w:val="21"/>
              </w:rPr>
              <w:t>（六）合同期内，采购人违约造成供应商损失的，应当按照《合同法》规定承担损害赔偿责任。</w:t>
            </w:r>
          </w:p>
          <w:p>
            <w:pPr>
              <w:pStyle w:val="null3"/>
              <w:ind w:firstLine="60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2025年7月1日起到2026年6月30日为期一年。期满后如甲方需要，乙方继续出租给甲方，甲方应提前两个月与乙方协商并重新签订合同。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合同签订后经验收合格后由乙方开具全额发票一次性支付合同内全部费用。 其他费用：水、电费和天然气费用依计量表实际用量，由甲方自行支付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乙方应在合同签订之日起将租赁的所有办公区域、宿办、餐厅、场地及附属设施移交甲方使用。双方对租赁场所现状、配套设施与设备的完成程度检查确认，乙方负责确保甲方按期开展对外办公业务。对于未完成或使用中存在缺陷的配套设施、设备，乙方应按甲方要求限期整改，拒不整改或整改不合格的，甲方有权委托第三方整改，但相关费用由乙方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期内因租赁场地或附属设施产权纠纷、债务纠纷等法律纠纷或其它纠纷，致使甲方不能办公的，甲方有权解除合同，乙方应按照年租金的30％承担违约责任及赔偿甲方遭受的全部损失(包括但不限于实际损失、可期待利益、律师费）。 （二）合同签订后，乙方逾期交付租赁场地、宿办区域及附属设施的，每逾期一日按照年租金的百分之五承担违约责任。逾期累计10天以上的，甲方有权解除合同。 （三）租赁期内乙方向第三人出售、出租场地、宿办区域及附属设施的，甲方有权解除合同，乙方应按照年租金的30％承担违约责任及赔偿甲方遭受的全部损失(包括但不限于实际损失、可期待利益、律师费）。 （四）租赁期内，乙方未按照合同约定或按甲方要求对宿办区域、场地及附属设施进行维修的，甲方有权委托第三方维修，但相关费用由乙方承担，甲方有权从年租金中予以扣除。 （五）乙方应在收到解除通知后 3 天内退还已收取的租金，并赔偿甲方因解除合同所遭受的损失，损失无法计算的，每日应按合同价款的千分之五累计计算。合同中约定的违约条款可合并适用，合并适用后仍不能弥补甲方损失的，甲方有权继续追偿，但最高不得超过实际损失的30％。 （六）合同期内，甲方违约造成乙方损失的，应当按照《合同法》规定承担损害赔偿责任。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8.资格证明文件.docx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3.税收缴纳证明：提供已缴纳的本年度或上年度任一月份的纳税证明或完税证明，纳税证明或完税证明上应有代收机构或税务机关的公章。依法免税的投标人应提供相关文件证明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提供具有履行本合同所必需的设备和专业技术能力的说明及承诺;（提供书面说明承诺，加盖供应商公章）</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法定代表人授权委托书：非法定代表人参加投标的，须提供法定代表人授权委托书及被授权人身份证复印件；法定代表人参加投标时,须提供法定代表人身份证明及身份证复印件；(式样见投标文件格式)</w:t>
            </w:r>
          </w:p>
        </w:tc>
        <w:tc>
          <w:tcPr>
            <w:tcW w:type="dxa" w:w="1661"/>
          </w:tcPr>
          <w:p>
            <w:pPr>
              <w:pStyle w:val="null3"/>
            </w:pPr>
            <w:r>
              <w:rPr>
                <w:rFonts w:ascii="仿宋_GB2312" w:hAnsi="仿宋_GB2312" w:cs="仿宋_GB2312" w:eastAsia="仿宋_GB2312"/>
              </w:rPr>
              <w:t>7.法定代表人授权委托书.docx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8.资格证明文件.docx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供应商为中小微型企业且供应商应填写中小企业声明函并对真实性负责。（残疾人福利性企业及监狱企业视同为小型、微型企业）；未填写视为非中型、小型、微型。</w:t>
            </w:r>
          </w:p>
        </w:tc>
        <w:tc>
          <w:tcPr>
            <w:tcW w:type="dxa" w:w="1661"/>
          </w:tcPr>
          <w:p>
            <w:pPr>
              <w:pStyle w:val="null3"/>
            </w:pPr>
            <w:r>
              <w:rPr>
                <w:rFonts w:ascii="仿宋_GB2312" w:hAnsi="仿宋_GB2312" w:cs="仿宋_GB2312" w:eastAsia="仿宋_GB2312"/>
              </w:rPr>
              <w:t>13.中小企业声明函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供应商按照协商文件要求上传响应文件</w:t>
            </w:r>
          </w:p>
        </w:tc>
        <w:tc>
          <w:tcPr>
            <w:tcW w:type="dxa" w:w="1661"/>
          </w:tcPr>
          <w:p>
            <w:pPr>
              <w:pStyle w:val="null3"/>
            </w:pPr>
            <w:r>
              <w:rPr>
                <w:rFonts w:ascii="仿宋_GB2312" w:hAnsi="仿宋_GB2312" w:cs="仿宋_GB2312" w:eastAsia="仿宋_GB2312"/>
              </w:rPr>
              <w:t>7.法定代表人授权委托书.docx 4.分项报价表.docx 9.服务方案.docx 14.残疾人福利性单位声明函 12.供应商认为有必要补充说明的事宜.docx 3.报价表 2.响应函 8.资格证明文件.docx 1.响应文件封面 5.服务响应偏离表（格式）.docx 10.陕西省政府采购供应商拒绝政府采购领域商业贿赂承诺书.docx 6.商务条款响应偏离表（格式）.docx 13.中小企业声明函 16.监狱企业的证明文件 17.标的清单 11.协商声明书.docx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响应报价明显低于其他通过符合性审查供应商的响应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4.分项报价表.docx 3.报价表 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供应商按照协商文件要求上传响应文件</w:t>
            </w:r>
          </w:p>
        </w:tc>
        <w:tc>
          <w:tcPr>
            <w:tcW w:type="dxa" w:w="1661"/>
          </w:tcPr>
          <w:p>
            <w:pPr>
              <w:pStyle w:val="null3"/>
            </w:pPr>
            <w:r>
              <w:rPr>
                <w:rFonts w:ascii="仿宋_GB2312" w:hAnsi="仿宋_GB2312" w:cs="仿宋_GB2312" w:eastAsia="仿宋_GB2312"/>
              </w:rPr>
              <w:t>7.法定代表人授权委托书.docx 4.分项报价表.docx 9.服务方案.docx 14.残疾人福利性单位声明函 12.供应商认为有必要补充说明的事宜.docx 3.报价表 2.响应函 8.资格证明文件.docx 1.响应文件封面 5.服务响应偏离表（格式）.docx 10.陕西省政府采购供应商拒绝政府采购领域商业贿赂承诺书.docx 6.商务条款响应偏离表（格式）.docx 13.中小企业声明函 16.监狱企业的证明文件 17.标的清单 11.协商声明书.docx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详见附件：3.报价表</w:t>
      </w:r>
    </w:p>
    <w:p>
      <w:pPr>
        <w:pStyle w:val="null3"/>
        <w:ind w:firstLine="960"/>
      </w:pPr>
      <w:r>
        <w:rPr>
          <w:rFonts w:ascii="仿宋_GB2312" w:hAnsi="仿宋_GB2312" w:cs="仿宋_GB2312" w:eastAsia="仿宋_GB2312"/>
        </w:rPr>
        <w:t>详见附件：4.分项报价表.docx</w:t>
      </w:r>
    </w:p>
    <w:p>
      <w:pPr>
        <w:pStyle w:val="null3"/>
        <w:ind w:firstLine="960"/>
      </w:pPr>
      <w:r>
        <w:rPr>
          <w:rFonts w:ascii="仿宋_GB2312" w:hAnsi="仿宋_GB2312" w:cs="仿宋_GB2312" w:eastAsia="仿宋_GB2312"/>
        </w:rPr>
        <w:t>详见附件：6.商务条款响应偏离表（格式）.docx</w:t>
      </w:r>
    </w:p>
    <w:p>
      <w:pPr>
        <w:pStyle w:val="null3"/>
        <w:ind w:firstLine="960"/>
      </w:pPr>
      <w:r>
        <w:rPr>
          <w:rFonts w:ascii="仿宋_GB2312" w:hAnsi="仿宋_GB2312" w:cs="仿宋_GB2312" w:eastAsia="仿宋_GB2312"/>
        </w:rPr>
        <w:t>详见附件：7.法定代表人授权委托书.docx</w:t>
      </w:r>
    </w:p>
    <w:p>
      <w:pPr>
        <w:pStyle w:val="null3"/>
        <w:ind w:firstLine="960"/>
      </w:pPr>
      <w:r>
        <w:rPr>
          <w:rFonts w:ascii="仿宋_GB2312" w:hAnsi="仿宋_GB2312" w:cs="仿宋_GB2312" w:eastAsia="仿宋_GB2312"/>
        </w:rPr>
        <w:t>详见附件：8.资格证明文件.docx</w:t>
      </w:r>
    </w:p>
    <w:p>
      <w:pPr>
        <w:pStyle w:val="null3"/>
        <w:ind w:firstLine="960"/>
      </w:pPr>
      <w:r>
        <w:rPr>
          <w:rFonts w:ascii="仿宋_GB2312" w:hAnsi="仿宋_GB2312" w:cs="仿宋_GB2312" w:eastAsia="仿宋_GB2312"/>
        </w:rPr>
        <w:t>详见附件：9.服务方案.docx</w:t>
      </w:r>
    </w:p>
    <w:p>
      <w:pPr>
        <w:pStyle w:val="null3"/>
        <w:ind w:firstLine="960"/>
      </w:pPr>
      <w:r>
        <w:rPr>
          <w:rFonts w:ascii="仿宋_GB2312" w:hAnsi="仿宋_GB2312" w:cs="仿宋_GB2312" w:eastAsia="仿宋_GB2312"/>
        </w:rPr>
        <w:t>详见附件：10.陕西省政府采购供应商拒绝政府采购领域商业贿赂承诺书.docx</w:t>
      </w:r>
    </w:p>
    <w:p>
      <w:pPr>
        <w:pStyle w:val="null3"/>
        <w:ind w:firstLine="960"/>
      </w:pPr>
      <w:r>
        <w:rPr>
          <w:rFonts w:ascii="仿宋_GB2312" w:hAnsi="仿宋_GB2312" w:cs="仿宋_GB2312" w:eastAsia="仿宋_GB2312"/>
        </w:rPr>
        <w:t>详见附件：11.协商声明书.docx</w:t>
      </w:r>
    </w:p>
    <w:p>
      <w:pPr>
        <w:pStyle w:val="null3"/>
        <w:ind w:firstLine="960"/>
      </w:pPr>
      <w:r>
        <w:rPr>
          <w:rFonts w:ascii="仿宋_GB2312" w:hAnsi="仿宋_GB2312" w:cs="仿宋_GB2312" w:eastAsia="仿宋_GB2312"/>
        </w:rPr>
        <w:t>详见附件：12.供应商认为有必要补充说明的事宜.docx</w:t>
      </w:r>
    </w:p>
    <w:p>
      <w:pPr>
        <w:pStyle w:val="null3"/>
        <w:ind w:firstLine="960"/>
      </w:pPr>
      <w:r>
        <w:rPr>
          <w:rFonts w:ascii="仿宋_GB2312" w:hAnsi="仿宋_GB2312" w:cs="仿宋_GB2312" w:eastAsia="仿宋_GB2312"/>
        </w:rPr>
        <w:t>详见附件：13.中小企业声明函</w:t>
      </w:r>
    </w:p>
    <w:p>
      <w:pPr>
        <w:pStyle w:val="null3"/>
        <w:ind w:firstLine="960"/>
      </w:pPr>
      <w:r>
        <w:rPr>
          <w:rFonts w:ascii="仿宋_GB2312" w:hAnsi="仿宋_GB2312" w:cs="仿宋_GB2312" w:eastAsia="仿宋_GB2312"/>
        </w:rPr>
        <w:t>详见附件：14.残疾人福利性单位声明函</w:t>
      </w:r>
    </w:p>
    <w:p>
      <w:pPr>
        <w:pStyle w:val="null3"/>
        <w:ind w:firstLine="960"/>
      </w:pPr>
      <w:r>
        <w:rPr>
          <w:rFonts w:ascii="仿宋_GB2312" w:hAnsi="仿宋_GB2312" w:cs="仿宋_GB2312" w:eastAsia="仿宋_GB2312"/>
        </w:rPr>
        <w:t>详见附件：16.监狱企业的证明文件</w:t>
      </w:r>
    </w:p>
    <w:p>
      <w:pPr>
        <w:pStyle w:val="null3"/>
        <w:ind w:firstLine="960"/>
      </w:pPr>
      <w:r>
        <w:rPr>
          <w:rFonts w:ascii="仿宋_GB2312" w:hAnsi="仿宋_GB2312" w:cs="仿宋_GB2312" w:eastAsia="仿宋_GB2312"/>
        </w:rPr>
        <w:t>详见附件：17.标的清单</w:t>
      </w:r>
    </w:p>
    <w:p>
      <w:pPr>
        <w:pStyle w:val="null3"/>
        <w:ind w:firstLine="960"/>
      </w:pPr>
      <w:r>
        <w:rPr>
          <w:rFonts w:ascii="仿宋_GB2312" w:hAnsi="仿宋_GB2312" w:cs="仿宋_GB2312" w:eastAsia="仿宋_GB2312"/>
        </w:rPr>
        <w:t>详见附件：5.服务响应偏离表（格式）.docx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详见附件：北区分所房屋租赁项目合同（新）.docx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