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版本号：ZHZB-2025-7220250624002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2025年城市管理地方标准制订咨询服务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ZHZB-2025-72</w:t>
      </w:r>
      <w:r>
        <w:br/>
      </w:r>
      <w:r>
        <w:br/>
      </w:r>
      <w:r>
        <w:br/>
      </w:r>
    </w:p>
    <w:p>
      <w:pPr>
        <w:pStyle w:val="null3"/>
        <w:jc w:val="center"/>
        <w:outlineLvl w:val="2"/>
      </w:pPr>
      <w:r>
        <w:rPr>
          <w:rFonts w:ascii="仿宋_GB2312" w:hAnsi="仿宋_GB2312" w:cs="仿宋_GB2312" w:eastAsia="仿宋_GB2312"/>
          <w:sz w:val="28"/>
          <w:b/>
        </w:rPr>
        <w:t>西安市城市管理和综合执法局</w:t>
      </w:r>
    </w:p>
    <w:p>
      <w:pPr>
        <w:pStyle w:val="null3"/>
        <w:jc w:val="center"/>
        <w:outlineLvl w:val="2"/>
      </w:pPr>
      <w:r>
        <w:rPr>
          <w:rFonts w:ascii="仿宋_GB2312" w:hAnsi="仿宋_GB2312" w:cs="仿宋_GB2312" w:eastAsia="仿宋_GB2312"/>
          <w:sz w:val="28"/>
          <w:b/>
        </w:rPr>
        <w:t>众合国际项目管理有限公司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众合国际项目管理有限公司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西安市城市管理和综合执法局</w:t>
      </w:r>
      <w:r>
        <w:rPr>
          <w:rFonts w:ascii="仿宋_GB2312" w:hAnsi="仿宋_GB2312" w:cs="仿宋_GB2312" w:eastAsia="仿宋_GB2312"/>
        </w:rPr>
        <w:t>委托，拟对</w:t>
      </w:r>
      <w:r>
        <w:rPr>
          <w:rFonts w:ascii="仿宋_GB2312" w:hAnsi="仿宋_GB2312" w:cs="仿宋_GB2312" w:eastAsia="仿宋_GB2312"/>
        </w:rPr>
        <w:t>2025年城市管理地方标准制订咨询服务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ZHZB-2025-72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2025年城市管理地方标准制订咨询服务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包括《城市桥梁养护作业技术规程》《燃气工程设计服务规范》《农村生活垃圾管理规范》《供热期室内空气温度测量技术规程》《城市管理责任网格划分与编码规范》等5个标准及相关标准立项审查的咨询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采购包1（2025年城市管理地方标准制订咨询服务）：属于专门面向中小企业采购。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主体：供应商为具有独立承担民事责任能力的法人、其他组织或自然人。企业法人应提供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2、财务状况报告：提供2023年度或2024年度经审计的财务会计报告（成立时间至提交投标文件截止时间不足一年的可提供成立后任意时段的资产负债表）； 或其递交投标文件截止之日前三个月内基本开户银行出具的资信证明（附《基本存款账户信息》或《银行开户许可证》复印件）。</w:t>
      </w:r>
    </w:p>
    <w:p>
      <w:pPr>
        <w:pStyle w:val="null3"/>
      </w:pPr>
      <w:r>
        <w:rPr>
          <w:rFonts w:ascii="仿宋_GB2312" w:hAnsi="仿宋_GB2312" w:cs="仿宋_GB2312" w:eastAsia="仿宋_GB2312"/>
        </w:rPr>
        <w:t>3、税收缴纳证明：提供磋商截止时间前半年内任意一个月的纳税证明或完税证明，依法免税的单位应提供相关证明材料。</w:t>
      </w:r>
    </w:p>
    <w:p>
      <w:pPr>
        <w:pStyle w:val="null3"/>
      </w:pPr>
      <w:r>
        <w:rPr>
          <w:rFonts w:ascii="仿宋_GB2312" w:hAnsi="仿宋_GB2312" w:cs="仿宋_GB2312" w:eastAsia="仿宋_GB2312"/>
        </w:rPr>
        <w:t>4、社会保障资金缴纳证明：提供磋商截止时间前半年内任意一个月的社会保障资金缴存单据或社保机构开具的社会保险参保缴费情况证明，依法不需要缴纳社会保障资金的单位应提供相关证明材料。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5、书面声明：提供参加本次政府采购活动前三年内在经营活动中没有重大违法记录的书面声明。</w:t>
      </w:r>
    </w:p>
    <w:p>
      <w:pPr>
        <w:pStyle w:val="null3"/>
      </w:pPr>
      <w:r>
        <w:rPr>
          <w:rFonts w:ascii="仿宋_GB2312" w:hAnsi="仿宋_GB2312" w:cs="仿宋_GB2312" w:eastAsia="仿宋_GB2312"/>
        </w:rPr>
        <w:t>6、承诺函：具有履行本合同所必需的设备和专业技术能力的承诺函。</w:t>
      </w:r>
    </w:p>
    <w:p>
      <w:pPr>
        <w:pStyle w:val="null3"/>
      </w:pPr>
      <w:r>
        <w:rPr>
          <w:rFonts w:ascii="仿宋_GB2312" w:hAnsi="仿宋_GB2312" w:cs="仿宋_GB2312" w:eastAsia="仿宋_GB2312"/>
        </w:rPr>
        <w:t>7、法定代表人授权书（或法定代表人证明书）：法定代表人授权委托书（附法定代表人身份证复印件及被授权人身份证复印件）；法定代表人直接参加磋商只须提供法定代表人身份证明书（附法定代表人身份证复印件）。</w:t>
      </w:r>
    </w:p>
    <w:p>
      <w:pPr>
        <w:pStyle w:val="null3"/>
      </w:pPr>
      <w:r>
        <w:rPr>
          <w:rFonts w:ascii="仿宋_GB2312" w:hAnsi="仿宋_GB2312" w:cs="仿宋_GB2312" w:eastAsia="仿宋_GB2312"/>
        </w:rPr>
        <w:t>8、信誉要求：供应商未被列入“信用中国”网站记录的“失信被执行人”和“重大税收违法失信主体”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9、联合体：本项目不接受联合体投标。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029-86788461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众合国际项目管理有限公司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陕西省西安市莲湖区丰登南路3号PM中心三楼306室（丰庆公园北门往西200米）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张盼 王臻 赵偲偲 王阿磊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15502905959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代理服务费收费标准：1、招标代理服务费参照《招标代理服务收费管理暂行办法》计价格[2002]1980号文和发改价格[2011]534号，以中标价为基数，费率下浮23%计取代理服务费。2、代理服务费缴纳账户信息： 银行户名：众合国际项目管理有限公司 开户银行：西安银行股份有限公司高新四路支行 账 号：611011580000 085834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西安市城市管理和综合执法局</w:t>
      </w:r>
      <w:r>
        <w:rPr>
          <w:rFonts w:ascii="仿宋_GB2312" w:hAnsi="仿宋_GB2312" w:cs="仿宋_GB2312" w:eastAsia="仿宋_GB2312"/>
        </w:rPr>
        <w:t>和</w:t>
      </w:r>
      <w:r>
        <w:rPr>
          <w:rFonts w:ascii="仿宋_GB2312" w:hAnsi="仿宋_GB2312" w:cs="仿宋_GB2312" w:eastAsia="仿宋_GB2312"/>
        </w:rPr>
        <w:t>众合国际项目管理有限公司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众合国际项目管理有限公司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众合国际项目管理有限公司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各项服务均应符合验收标准及要求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联系人：张盼 王臻 赵偲偲 王阿磊</w:t>
      </w:r>
    </w:p>
    <w:p>
      <w:pPr>
        <w:pStyle w:val="null3"/>
      </w:pPr>
      <w:r>
        <w:rPr>
          <w:rFonts w:ascii="仿宋_GB2312" w:hAnsi="仿宋_GB2312" w:cs="仿宋_GB2312" w:eastAsia="仿宋_GB2312"/>
        </w:rPr>
        <w:t>联系电话：15502905959</w:t>
      </w:r>
    </w:p>
    <w:p>
      <w:pPr>
        <w:pStyle w:val="null3"/>
      </w:pPr>
      <w:r>
        <w:rPr>
          <w:rFonts w:ascii="仿宋_GB2312" w:hAnsi="仿宋_GB2312" w:cs="仿宋_GB2312" w:eastAsia="仿宋_GB2312"/>
        </w:rPr>
        <w:t>地址：陕西省西安市莲湖区丰登南路3号PM中心三楼306室（丰庆公园北门往西200米）</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包括《城市桥梁养护作业技术规程》《燃气工程设计服务规范》《农村生活垃圾管理规范》《供热期室内空气温度测量技术规程》《城市管理责任网格划分与编码规范》等5个标准及相关标准立项审查的咨询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2025年城市管理地方标准制订咨询服务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标的名称：2025年城市管理地方标准制订咨询服务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一、项目概况</w:t>
            </w:r>
          </w:p>
          <w:p>
            <w:pPr>
              <w:pStyle w:val="null3"/>
              <w:ind w:firstLine="400"/>
            </w:pPr>
            <w:r>
              <w:rPr>
                <w:rFonts w:ascii="仿宋_GB2312" w:hAnsi="仿宋_GB2312" w:cs="仿宋_GB2312" w:eastAsia="仿宋_GB2312"/>
              </w:rPr>
              <w:t>本项目包括《城市桥梁养护作业技术规程》《燃气工程设计服务规范》《农村生活垃圾管理规范》《供热期室内空气温度测量技术规程》《城市管理责任网格划分与编码规范》等5个标准及相关标准立项审查的咨询服务。</w:t>
            </w:r>
          </w:p>
          <w:p>
            <w:pPr>
              <w:pStyle w:val="null3"/>
            </w:pPr>
            <w:r>
              <w:rPr>
                <w:rFonts w:ascii="仿宋_GB2312" w:hAnsi="仿宋_GB2312" w:cs="仿宋_GB2312" w:eastAsia="仿宋_GB2312"/>
                <w:b/>
              </w:rPr>
              <w:t>二、服务内容</w:t>
            </w:r>
          </w:p>
          <w:p>
            <w:pPr>
              <w:pStyle w:val="null3"/>
            </w:pPr>
            <w:r>
              <w:rPr>
                <w:rFonts w:ascii="仿宋_GB2312" w:hAnsi="仿宋_GB2312" w:cs="仿宋_GB2312" w:eastAsia="仿宋_GB2312"/>
              </w:rPr>
              <w:t>服务内容包括但不限于</w:t>
            </w:r>
            <w:r>
              <w:rPr>
                <w:rFonts w:ascii="仿宋_GB2312" w:hAnsi="仿宋_GB2312" w:cs="仿宋_GB2312" w:eastAsia="仿宋_GB2312"/>
              </w:rPr>
              <w:t>:标准的起草审定、考察调研、专家评审、意见征询、标准查新等项目实施过程中的咨询服务。以及标准咨询服务过程中产生的会议费、评审费、文印费等其它费用。</w:t>
            </w:r>
          </w:p>
          <w:p>
            <w:pPr>
              <w:pStyle w:val="null3"/>
            </w:pPr>
            <w:r>
              <w:rPr>
                <w:rFonts w:ascii="仿宋_GB2312" w:hAnsi="仿宋_GB2312" w:cs="仿宋_GB2312" w:eastAsia="仿宋_GB2312"/>
                <w:b/>
              </w:rPr>
              <w:t>三、服务要求</w:t>
            </w:r>
          </w:p>
          <w:p>
            <w:pPr>
              <w:pStyle w:val="null3"/>
            </w:pPr>
            <w:r>
              <w:rPr>
                <w:rFonts w:ascii="仿宋_GB2312" w:hAnsi="仿宋_GB2312" w:cs="仿宋_GB2312" w:eastAsia="仿宋_GB2312"/>
              </w:rPr>
              <w:t>1、咨询服务单位应安排具备国家咨询工程师以上职称的人员作为该项目负责人，同时应安排具有市政公用专业、燃气供热工程专业、工程技术经济等专业的人员参与项目</w:t>
            </w:r>
            <w:r>
              <w:rPr>
                <w:rFonts w:ascii="仿宋_GB2312" w:hAnsi="仿宋_GB2312" w:cs="仿宋_GB2312" w:eastAsia="仿宋_GB2312"/>
              </w:rPr>
              <w:t>。</w:t>
            </w:r>
          </w:p>
          <w:p>
            <w:pPr>
              <w:pStyle w:val="null3"/>
            </w:pPr>
            <w:r>
              <w:rPr>
                <w:rFonts w:ascii="仿宋_GB2312" w:hAnsi="仿宋_GB2312" w:cs="仿宋_GB2312" w:eastAsia="仿宋_GB2312"/>
              </w:rPr>
              <w:t>2、应符合《工程咨询行业管理办法(发改委〔2017〕第9号)》《标准化法》等标准化法规制度，以及城市管理领域建设维护管理相关国家、省、市行业标准规范。</w:t>
            </w:r>
          </w:p>
          <w:p>
            <w:pPr>
              <w:pStyle w:val="null3"/>
              <w:jc w:val="both"/>
            </w:pPr>
            <w:r>
              <w:rPr>
                <w:rFonts w:ascii="仿宋_GB2312" w:hAnsi="仿宋_GB2312" w:cs="仿宋_GB2312" w:eastAsia="仿宋_GB2312"/>
                <w:sz w:val="21"/>
              </w:rPr>
              <w:t>3、标准制订咨询服务实施流程应完整准确，体现咨询机构在整个咨询过程中的专业引导作用，并能够引导、协助编制小组顺利推进项目。能够确定每项地方标准设置的运作目标，设置完善的保障措施，保障各个阶段的咨询服务质量。</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供应商根据采购需求配备相关人员。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供应商根据采购需求配备相关设施设备。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自合同签订之日起至2025年12月20日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按国家相关行业规定、采购文件的服务要求及合同约定标准进行验收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每完成一项地方标准咨询服务后15日内支付该项剩余咨询服务费用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1、合同执行中发生争议的，当事人双方应协商解决，协商达不成一致时，可向采购人所在地人民法院提请诉讼； 2、按照《中华人民共和国民法典》中的相关条款执行。 3、中标人未按合同要求提供服务或服务质量不能满足技术要求，采购方有权终止合同，并保留追究中标方违约责任的权利。</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在项目评审过程中二次报价环节，供应商需在报价系统填写总价和各分项报价（分项报价以附件形式上传二次报价系统，格式自拟）。2、成交供应商在中标后，须向采购代理机构提供纸质版响应文件2套，且提供的响应文件必须与在陕西省政府采购综合管理平台的项目电子化交易系统中递交的电子响应文件内容一致，纸质版响应文件必须装订成册签字盖章。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供应商主体</w:t>
            </w:r>
          </w:p>
        </w:tc>
        <w:tc>
          <w:tcPr>
            <w:tcW w:type="dxa" w:w="3322"/>
          </w:tcPr>
          <w:p>
            <w:pPr>
              <w:pStyle w:val="null3"/>
            </w:pPr>
            <w:r>
              <w:rPr>
                <w:rFonts w:ascii="仿宋_GB2312" w:hAnsi="仿宋_GB2312" w:cs="仿宋_GB2312" w:eastAsia="仿宋_GB2312"/>
              </w:rPr>
              <w:t>供应商为具有独立承担民事责任能力的法人、其他组织或自然人。企业法人应提供有统一社会信用代码的营业执照；事业法人应提供事业单位法人证书；其他组织应提供合法登记证明文件；自然人应提供身份证。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提供2023年度或2024年度经审计的财务会计报告（成立时间至提交投标文件截止时间不足一年的可提供成立后任意时段的资产负债表）； 或其递交投标文件截止之日前三个月内基本开户银行出具的资信证明（附《基本存款账户信息》或《银行开户许可证》复印件）。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提供磋商截止时间前半年内任意一个月的纳税证明或完税证明，依法免税的单位应提供相关证明材料。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提供磋商截止时间前半年内任意一个月的社会保障资金缴存单据或社保机构开具的社会保险参保缴费情况证明，依法不需要缴纳社会保障资金的单位应提供相关证明材料。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具有履行本合同所必需的设备和专业技术能力的承诺函。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法定代表人授权书（或法定代表人证明书）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法定代表人授权委托书（附法定代表人身份证复印件及被授权人身份证复印件）；法定代表人直接参加磋商只须提供法定代表人身份证明书（附法定代表人身份证复印件）。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列入“信用中国”网站记录的“失信被执行人”和“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服务内容偏离表..docx 中小企业声明函 报价表 响应文件封面 《拒绝政府采购领域商业贿赂承诺书》.docx 商务要求响应偏离表..docx 残疾人福利性单位声明函 服务方案 供应商应提交的相关资格证明材料...docx 标的清单 响应函 报价明细表.docx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出现不符合法律、法规和磋商文件中规定的实质性要求的情况，响应文件作无效处理。</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项目认知与现状研究</w:t>
            </w:r>
          </w:p>
        </w:tc>
        <w:tc>
          <w:tcPr>
            <w:tcW w:type="dxa" w:w="2492"/>
          </w:tcPr>
          <w:p>
            <w:pPr>
              <w:pStyle w:val="null3"/>
            </w:pPr>
            <w:r>
              <w:rPr>
                <w:rFonts w:ascii="仿宋_GB2312" w:hAnsi="仿宋_GB2312" w:cs="仿宋_GB2312" w:eastAsia="仿宋_GB2312"/>
              </w:rPr>
              <w:t>包括但不限于①城市桥梁养护作业调研分析②燃气工程设计服务调研分析③农村生活垃圾管理现状调研分析④供热期室内空气温度测量调研分析⑤城市管理责任网格划分与编码调研分析⑥重难点分析。 每项满分4分，共计24分。 1.每项内容思路清晰、表述准确、科学合理、可操作性强，完全满足采购内容得满分4分; 2.每项内容表述较清晰、科学合理、可行性较强,满足采购内容得3分； 3.每项内容表述不贴切，合理性较差、可行性较差，基本满足采购内容得2分； 4.每项内容不完善，只作简略说明得1分； 5.未提供的不得分。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包括但不限于①总体思路②工作内容③地方标准编制方案。 每项满分5分，共计15分。 1.每项内容思路清晰、表述准确、科学合理、可操作性强，完全满足采购内容得满分5分; 2.每项内容表述较清晰、科学合理、可行性较强,能满足采购内容得4分； 3.每项内容表述不贴切，合理性较差、可行性较差，基本满足采购内容得3分； 4.每项内容较差，只作简略说明得2分； 5.每项内容欠缺，针对性差得1分; 6.未提供的不得分。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包括但不限于①工作进度计划②质量保障措施③企业管理制度④保密措施。 每项满分4分，共计16分。 1.每项内容思路清晰、表述准确、科学合理、可操作性强，完全满足采购内容得满分4分; 2.每项内容表述较清晰、科学合理、可行性较强,满足采购内容得3分； 3.每项内容表述不贴切，合理性较差、可行性较差，基本满足采购内容得2分； 4.每项内容不完善，只作简略说明得1分； 5.未提供的不得分。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项目负责人具有中国工程咨询协会颁发的咨询工程师职业资格证书或咨询行业高级职称得6分；具有咨询行业中级职称证书得4分。其他不得分。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组织机构设置，团队人员专业（包括但不限于市政公用工程专业、燃气供热相关专业、节能相关专业、环境相关专业、工程技术经济等）及分工，人员数量安排与工作内容相匹配，管理制度。 1.项目组织机构完善，分工明确、人员数量安排合理完全满足项目需求，项目管理制度合理周密的得7分； 2.项目组织机构较完善，分工明确、人员数量安排合理满足项目需求，项目管理制度合理的得5分； 3.项目组织机构一般，分工明确、人员数量安排合理基本满足项目需求，项目管理制度一般的得3分； 4.项目组织机构较差，分工不明确、项目管理制度较差得1分； 5.未提供的不得分。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包括但不限于①服务质量保障②服务期限内人员到位情况③服务响应时间及配合程度④合理化建议。 每项满分4分，共计16分。 1.每项内容思路清晰、表述准确、科学合理、可操作性强，完全满足采购内容得满分4分; 2.每项内容表述较清晰、科学合理、可行性较强,满足采购内容得3分； 3.每项内容表述不贴切，合理性较差、可行性较差，基本满足采购内容得2分； 4.每项内容不完善，只作简略说明得1分； 5.未提供的不得分。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 2022年1月1日（以签订合同时间为准）以来咨询服务类项目业绩，每提供一个业绩合同得 2分，满分6分。须提供合同复印件加盖公章。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采购文件要求且投标价格最低的投标报价为评标基准价，其价格分为满分。其他供应商的价格分统一按照下列公式计算：投标报价得分=（评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详见附件：服务内容偏离表..docx</w:t>
      </w:r>
    </w:p>
    <w:p>
      <w:pPr>
        <w:pStyle w:val="null3"/>
        <w:ind w:firstLine="960"/>
      </w:pPr>
      <w:r>
        <w:rPr>
          <w:rFonts w:ascii="仿宋_GB2312" w:hAnsi="仿宋_GB2312" w:cs="仿宋_GB2312" w:eastAsia="仿宋_GB2312"/>
        </w:rPr>
        <w:t>详见附件：商务要求响应偏离表..docx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详见附件：合同标准制定.docx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