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7F302">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14:paraId="16430B87">
      <w:pPr>
        <w:pStyle w:val="12"/>
        <w:rPr>
          <w:rFonts w:hint="eastAsia" w:ascii="仿宋" w:hAnsi="仿宋" w:eastAsia="仿宋" w:cs="仿宋"/>
        </w:rPr>
      </w:pPr>
    </w:p>
    <w:p w14:paraId="36819960">
      <w:pPr>
        <w:pStyle w:val="12"/>
        <w:rPr>
          <w:rFonts w:hint="eastAsia" w:ascii="仿宋" w:hAnsi="仿宋" w:eastAsia="仿宋" w:cs="仿宋"/>
        </w:rPr>
      </w:pPr>
    </w:p>
    <w:p w14:paraId="25CCA28C">
      <w:pPr>
        <w:pStyle w:val="12"/>
        <w:rPr>
          <w:rFonts w:hint="default" w:ascii="仿宋_GB2312" w:hAnsi="仿宋_GB2312" w:eastAsia="仿宋_GB2312" w:cs="仿宋_GB2312"/>
          <w:sz w:val="24"/>
          <w:szCs w:val="24"/>
        </w:rPr>
      </w:pPr>
      <w:r>
        <w:rPr>
          <w:rFonts w:ascii="仿宋_GB2312" w:hAnsi="仿宋_GB2312" w:eastAsia="仿宋_GB2312" w:cs="仿宋_GB2312"/>
          <w:sz w:val="24"/>
          <w:szCs w:val="24"/>
          <w:lang w:eastAsia="zh-CN"/>
        </w:rPr>
        <w:t>1、</w:t>
      </w:r>
      <w:r>
        <w:rPr>
          <w:rFonts w:ascii="仿宋_GB2312" w:hAnsi="仿宋_GB2312" w:eastAsia="仿宋_GB2312" w:cs="仿宋_GB2312"/>
          <w:sz w:val="24"/>
          <w:szCs w:val="24"/>
        </w:rPr>
        <w:t>供应商主体：</w:t>
      </w:r>
      <w:r>
        <w:rPr>
          <w:rFonts w:hint="eastAsia" w:ascii="仿宋_GB2312" w:hAnsi="仿宋_GB2312" w:eastAsia="仿宋_GB2312" w:cs="仿宋_GB2312"/>
          <w:sz w:val="24"/>
          <w:szCs w:val="24"/>
        </w:rPr>
        <w:t>供应商为具有独立承担民事责任能力的法人、其他组织或自然人。企业法人应提供有统一社会信用代码的营业执照；事业法人应提供事业单位法人证书；其他组织应提供合法登记证明文件；自然人应提供身份证</w:t>
      </w:r>
      <w:r>
        <w:rPr>
          <w:rFonts w:hint="eastAsia" w:ascii="仿宋_GB2312" w:hAnsi="仿宋_GB2312" w:eastAsia="仿宋_GB2312" w:cs="仿宋_GB2312"/>
          <w:sz w:val="24"/>
          <w:szCs w:val="24"/>
          <w:lang w:eastAsia="zh-CN"/>
        </w:rPr>
        <w:t>。</w:t>
      </w:r>
    </w:p>
    <w:p w14:paraId="153D9307">
      <w:pPr>
        <w:pStyle w:val="12"/>
        <w:rPr>
          <w:rFonts w:hint="default" w:ascii="仿宋_GB2312" w:hAnsi="仿宋_GB2312" w:eastAsia="仿宋_GB2312" w:cs="仿宋_GB2312"/>
          <w:sz w:val="24"/>
          <w:szCs w:val="24"/>
        </w:rPr>
      </w:pPr>
      <w:r>
        <w:rPr>
          <w:rFonts w:ascii="仿宋_GB2312" w:hAnsi="仿宋_GB2312" w:eastAsia="仿宋_GB2312" w:cs="仿宋_GB2312"/>
          <w:sz w:val="24"/>
          <w:szCs w:val="24"/>
          <w:lang w:eastAsia="zh-CN"/>
        </w:rPr>
        <w:t>2、</w:t>
      </w:r>
      <w:r>
        <w:rPr>
          <w:rFonts w:ascii="仿宋_GB2312" w:hAnsi="仿宋_GB2312" w:eastAsia="仿宋_GB2312" w:cs="仿宋_GB2312"/>
          <w:sz w:val="24"/>
          <w:szCs w:val="24"/>
        </w:rPr>
        <w:t>财务状况报告：提供2023年度或2024年度经审计的财务会计报告（成立时间至提交</w:t>
      </w:r>
      <w:r>
        <w:rPr>
          <w:rFonts w:ascii="仿宋_GB2312" w:hAnsi="仿宋_GB2312" w:eastAsia="仿宋_GB2312" w:cs="仿宋_GB2312"/>
          <w:sz w:val="24"/>
          <w:szCs w:val="24"/>
          <w:lang w:eastAsia="zh-CN"/>
        </w:rPr>
        <w:t>投标文件</w:t>
      </w:r>
      <w:r>
        <w:rPr>
          <w:rFonts w:ascii="仿宋_GB2312" w:hAnsi="仿宋_GB2312" w:eastAsia="仿宋_GB2312" w:cs="仿宋_GB2312"/>
          <w:sz w:val="24"/>
          <w:szCs w:val="24"/>
        </w:rPr>
        <w:t>截止时间不足一年的可提供成立后任意时段的资产负债表）； 或其递交</w:t>
      </w:r>
      <w:r>
        <w:rPr>
          <w:rFonts w:ascii="仿宋_GB2312" w:hAnsi="仿宋_GB2312" w:eastAsia="仿宋_GB2312" w:cs="仿宋_GB2312"/>
          <w:sz w:val="24"/>
          <w:szCs w:val="24"/>
          <w:lang w:eastAsia="zh-CN"/>
        </w:rPr>
        <w:t>投标文件</w:t>
      </w:r>
      <w:r>
        <w:rPr>
          <w:rFonts w:ascii="仿宋_GB2312" w:hAnsi="仿宋_GB2312" w:eastAsia="仿宋_GB2312" w:cs="仿宋_GB2312"/>
          <w:sz w:val="24"/>
          <w:szCs w:val="24"/>
        </w:rPr>
        <w:t>截止之日前三个月内基本开户银行出具的资信证明（附《基本存款账户信息》或《银行开户许可证》复印件）。</w:t>
      </w:r>
    </w:p>
    <w:p w14:paraId="60528D67">
      <w:pPr>
        <w:pStyle w:val="12"/>
        <w:rPr>
          <w:rFonts w:hint="default" w:ascii="仿宋_GB2312" w:hAnsi="仿宋_GB2312" w:eastAsia="仿宋_GB2312" w:cs="仿宋_GB2312"/>
          <w:sz w:val="24"/>
          <w:szCs w:val="24"/>
        </w:rPr>
      </w:pPr>
      <w:r>
        <w:rPr>
          <w:rFonts w:ascii="仿宋_GB2312" w:hAnsi="仿宋_GB2312" w:eastAsia="仿宋_GB2312" w:cs="仿宋_GB2312"/>
          <w:sz w:val="24"/>
          <w:szCs w:val="24"/>
          <w:lang w:eastAsia="zh-CN"/>
        </w:rPr>
        <w:t>3、</w:t>
      </w:r>
      <w:r>
        <w:rPr>
          <w:rFonts w:ascii="仿宋_GB2312" w:hAnsi="仿宋_GB2312" w:eastAsia="仿宋_GB2312" w:cs="仿宋_GB2312"/>
          <w:sz w:val="24"/>
          <w:szCs w:val="24"/>
        </w:rPr>
        <w:t>税收缴纳证明：提供</w:t>
      </w:r>
      <w:r>
        <w:rPr>
          <w:rFonts w:hint="eastAsia" w:ascii="仿宋_GB2312" w:hAnsi="仿宋_GB2312" w:eastAsia="仿宋_GB2312" w:cs="仿宋_GB2312"/>
          <w:sz w:val="24"/>
          <w:szCs w:val="24"/>
          <w:lang w:val="en-US" w:eastAsia="zh-CN"/>
        </w:rPr>
        <w:t>磋商</w:t>
      </w:r>
      <w:r>
        <w:rPr>
          <w:rFonts w:ascii="仿宋_GB2312" w:hAnsi="仿宋_GB2312" w:eastAsia="仿宋_GB2312" w:cs="仿宋_GB2312"/>
          <w:sz w:val="24"/>
          <w:szCs w:val="24"/>
        </w:rPr>
        <w:t>截止时间前半年内任意一个月的纳税证明或完税证明，依法免税的单位应提供相关证明材料。</w:t>
      </w:r>
    </w:p>
    <w:p w14:paraId="44395375">
      <w:pPr>
        <w:pStyle w:val="12"/>
        <w:rPr>
          <w:rFonts w:hint="default" w:ascii="仿宋_GB2312" w:hAnsi="仿宋_GB2312" w:eastAsia="仿宋_GB2312" w:cs="仿宋_GB2312"/>
          <w:sz w:val="24"/>
          <w:szCs w:val="24"/>
        </w:rPr>
      </w:pPr>
      <w:r>
        <w:rPr>
          <w:rFonts w:ascii="仿宋_GB2312" w:hAnsi="仿宋_GB2312" w:eastAsia="仿宋_GB2312" w:cs="仿宋_GB2312"/>
          <w:sz w:val="24"/>
          <w:szCs w:val="24"/>
          <w:lang w:eastAsia="zh-CN"/>
        </w:rPr>
        <w:t>4、</w:t>
      </w:r>
      <w:r>
        <w:rPr>
          <w:rFonts w:ascii="仿宋_GB2312" w:hAnsi="仿宋_GB2312" w:eastAsia="仿宋_GB2312" w:cs="仿宋_GB2312"/>
          <w:sz w:val="24"/>
          <w:szCs w:val="24"/>
        </w:rPr>
        <w:t>社会保障资金缴纳证明：提供</w:t>
      </w:r>
      <w:r>
        <w:rPr>
          <w:rFonts w:hint="eastAsia" w:ascii="仿宋_GB2312" w:hAnsi="仿宋_GB2312" w:eastAsia="仿宋_GB2312" w:cs="仿宋_GB2312"/>
          <w:sz w:val="24"/>
          <w:szCs w:val="24"/>
          <w:lang w:val="en-US" w:eastAsia="zh-CN"/>
        </w:rPr>
        <w:t>磋商</w:t>
      </w:r>
      <w:r>
        <w:rPr>
          <w:rFonts w:ascii="仿宋_GB2312" w:hAnsi="仿宋_GB2312" w:eastAsia="仿宋_GB2312" w:cs="仿宋_GB2312"/>
          <w:sz w:val="24"/>
          <w:szCs w:val="24"/>
        </w:rPr>
        <w:t>截止时间前半年内任意一个月的社会保障资金缴存单据或社保机构开具的社会保险参保缴费情况证明，依法不需要缴纳社会保障资金的单位应提供相关证明材料。</w:t>
      </w:r>
    </w:p>
    <w:p w14:paraId="6FE56221">
      <w:pPr>
        <w:pStyle w:val="12"/>
        <w:rPr>
          <w:rFonts w:hint="default" w:ascii="仿宋_GB2312" w:hAnsi="仿宋_GB2312" w:eastAsia="仿宋_GB2312" w:cs="仿宋_GB2312"/>
          <w:sz w:val="24"/>
          <w:szCs w:val="24"/>
        </w:rPr>
      </w:pPr>
      <w:r>
        <w:rPr>
          <w:rFonts w:ascii="仿宋_GB2312" w:hAnsi="仿宋_GB2312" w:eastAsia="仿宋_GB2312" w:cs="仿宋_GB2312"/>
          <w:sz w:val="24"/>
          <w:szCs w:val="24"/>
          <w:lang w:eastAsia="zh-CN"/>
        </w:rPr>
        <w:t>5、</w:t>
      </w:r>
      <w:r>
        <w:rPr>
          <w:rFonts w:ascii="仿宋_GB2312" w:hAnsi="仿宋_GB2312" w:eastAsia="仿宋_GB2312" w:cs="仿宋_GB2312"/>
          <w:sz w:val="24"/>
          <w:szCs w:val="24"/>
        </w:rPr>
        <w:t>书面声明：提供参加本次政府采购活动前三年内在经营活动中没有重大违法记录的书面声明。</w:t>
      </w:r>
    </w:p>
    <w:p w14:paraId="57E1BE59">
      <w:pPr>
        <w:pStyle w:val="12"/>
        <w:rPr>
          <w:rFonts w:hint="default" w:ascii="仿宋_GB2312" w:hAnsi="仿宋_GB2312" w:eastAsia="仿宋_GB2312" w:cs="仿宋_GB2312"/>
          <w:sz w:val="24"/>
          <w:szCs w:val="24"/>
        </w:rPr>
      </w:pPr>
      <w:r>
        <w:rPr>
          <w:rFonts w:ascii="仿宋_GB2312" w:hAnsi="仿宋_GB2312" w:eastAsia="仿宋_GB2312" w:cs="仿宋_GB2312"/>
          <w:sz w:val="24"/>
          <w:szCs w:val="24"/>
          <w:lang w:eastAsia="zh-CN"/>
        </w:rPr>
        <w:t>6、</w:t>
      </w:r>
      <w:r>
        <w:rPr>
          <w:rFonts w:ascii="仿宋_GB2312" w:hAnsi="仿宋_GB2312" w:eastAsia="仿宋_GB2312" w:cs="仿宋_GB2312"/>
          <w:sz w:val="24"/>
          <w:szCs w:val="24"/>
        </w:rPr>
        <w:t>承诺函：提供具有履行合同所必须的设备和专业技术能力的承诺函。</w:t>
      </w:r>
    </w:p>
    <w:p w14:paraId="75605246">
      <w:pPr>
        <w:pStyle w:val="12"/>
        <w:keepNext w:val="0"/>
        <w:keepLines w:val="0"/>
        <w:pageBreakBefore w:val="0"/>
        <w:widowControl w:val="0"/>
        <w:kinsoku/>
        <w:wordWrap/>
        <w:overflowPunct/>
        <w:topLinePunct w:val="0"/>
        <w:autoSpaceDE/>
        <w:autoSpaceDN/>
        <w:bidi w:val="0"/>
        <w:adjustRightInd/>
        <w:snapToGrid/>
        <w:textAlignment w:val="auto"/>
        <w:rPr>
          <w:rFonts w:hint="default"/>
          <w:sz w:val="24"/>
          <w:szCs w:val="24"/>
        </w:rPr>
      </w:pPr>
      <w:r>
        <w:rPr>
          <w:rFonts w:ascii="仿宋_GB2312" w:hAnsi="仿宋_GB2312" w:eastAsia="仿宋_GB2312" w:cs="仿宋_GB2312"/>
          <w:sz w:val="24"/>
          <w:szCs w:val="24"/>
          <w:lang w:eastAsia="zh-CN"/>
        </w:rPr>
        <w:t>7、</w:t>
      </w:r>
      <w:r>
        <w:rPr>
          <w:rFonts w:ascii="仿宋_GB2312" w:hAnsi="仿宋_GB2312" w:eastAsia="仿宋_GB2312" w:cs="仿宋_GB2312"/>
          <w:sz w:val="24"/>
          <w:szCs w:val="24"/>
        </w:rPr>
        <w:t>法定代表人授权书（或法定代表人证明书）：法定代表人授权委托书（附法定代表人身份证复印件及被授权人身份证复印件）；法定代表人直接参加磋商只须提供法定代表人身份证明书（附法定代表人身份证复印件）。</w:t>
      </w:r>
    </w:p>
    <w:p w14:paraId="41C3C026">
      <w:pPr>
        <w:pStyle w:val="12"/>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8</w:t>
      </w:r>
      <w:r>
        <w:rPr>
          <w:rFonts w:ascii="仿宋_GB2312" w:hAnsi="仿宋_GB2312" w:eastAsia="仿宋_GB2312" w:cs="仿宋_GB2312"/>
          <w:sz w:val="24"/>
          <w:szCs w:val="24"/>
        </w:rPr>
        <w:t>、供应商未被列入“信用中国”网站记录的失信被执行人和重大税收违法</w:t>
      </w:r>
      <w:r>
        <w:rPr>
          <w:rFonts w:ascii="仿宋_GB2312" w:hAnsi="仿宋_GB2312" w:eastAsia="仿宋_GB2312" w:cs="仿宋_GB2312"/>
          <w:sz w:val="24"/>
          <w:szCs w:val="24"/>
          <w:lang w:eastAsia="zh-CN"/>
        </w:rPr>
        <w:t>失信主体</w:t>
      </w:r>
      <w:r>
        <w:rPr>
          <w:rFonts w:ascii="仿宋_GB2312" w:hAnsi="仿宋_GB2312" w:eastAsia="仿宋_GB2312" w:cs="仿宋_GB2312"/>
          <w:sz w:val="24"/>
          <w:szCs w:val="24"/>
        </w:rPr>
        <w:t>名单；不处于“中国政府采购网”记录的“政府采购严重违法失信行为记录名单”中的禁止参加政府采购活动期间。（以采购人或采购代理机构开标当天查询结果为准）。</w:t>
      </w:r>
    </w:p>
    <w:p w14:paraId="2C7F9C78">
      <w:pPr>
        <w:pStyle w:val="12"/>
        <w:rPr>
          <w:rFonts w:hint="default"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9</w:t>
      </w:r>
      <w:r>
        <w:rPr>
          <w:rFonts w:ascii="仿宋_GB2312" w:hAnsi="仿宋_GB2312" w:eastAsia="仿宋_GB2312" w:cs="仿宋_GB2312"/>
          <w:sz w:val="24"/>
          <w:szCs w:val="24"/>
        </w:rPr>
        <w:t>、联合体：本项目不接受联合体</w:t>
      </w:r>
      <w:r>
        <w:rPr>
          <w:rFonts w:ascii="仿宋_GB2312" w:hAnsi="仿宋_GB2312" w:eastAsia="仿宋_GB2312" w:cs="仿宋_GB2312"/>
          <w:sz w:val="24"/>
          <w:szCs w:val="24"/>
          <w:lang w:eastAsia="zh-CN"/>
        </w:rPr>
        <w:t>投标</w:t>
      </w:r>
      <w:r>
        <w:rPr>
          <w:rFonts w:ascii="仿宋_GB2312" w:hAnsi="仿宋_GB2312" w:eastAsia="仿宋_GB2312" w:cs="仿宋_GB2312"/>
          <w:sz w:val="24"/>
          <w:szCs w:val="24"/>
        </w:rPr>
        <w:t>。</w:t>
      </w:r>
    </w:p>
    <w:p w14:paraId="32CEF56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77EB5A0B">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以上内容响应文件中提供复印件或扫描件并盖章。</w:t>
      </w:r>
    </w:p>
    <w:p w14:paraId="18D58C44">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07878E74">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附件1</w:t>
      </w:r>
      <w:r>
        <w:rPr>
          <w:rFonts w:hint="eastAsia" w:ascii="仿宋" w:hAnsi="仿宋" w:eastAsia="仿宋" w:cs="仿宋"/>
          <w:b/>
          <w:sz w:val="28"/>
          <w:szCs w:val="28"/>
        </w:rPr>
        <w:t>：</w:t>
      </w:r>
    </w:p>
    <w:p w14:paraId="1D87911F">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14:paraId="4C1E1B7B">
      <w:pPr>
        <w:spacing w:line="360" w:lineRule="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致：</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lang w:eastAsia="zh-CN"/>
        </w:rPr>
        <w:t>）</w:t>
      </w:r>
    </w:p>
    <w:p w14:paraId="5529928E">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我方作为《</w:t>
      </w:r>
      <w:r>
        <w:rPr>
          <w:rFonts w:hint="eastAsia" w:ascii="仿宋" w:hAnsi="仿宋" w:eastAsia="仿宋" w:cs="仿宋"/>
          <w:color w:val="000000"/>
          <w:sz w:val="28"/>
          <w:szCs w:val="28"/>
          <w:u w:val="single"/>
        </w:rPr>
        <w:t>项 目 名 称</w:t>
      </w: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）的投标供应商，在此郑重声明： </w:t>
      </w:r>
    </w:p>
    <w:p w14:paraId="1D49FEBF">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3A693F3">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2、我方______（填“未被列入”或“被列入”）失信被执行人名单。</w:t>
      </w:r>
    </w:p>
    <w:p w14:paraId="2ED437C4">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3、我方______（填“未被列入”或“被列入”）重大税收违法失信主体名单。 </w:t>
      </w:r>
    </w:p>
    <w:p w14:paraId="1504F724">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4、我方______（填“未被列入”或“被列入”）政府采购严重违法失信行为记录名单。</w:t>
      </w:r>
    </w:p>
    <w:p w14:paraId="3C1539DE">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如有不实，我方将无条件地退出本项目的采购活动，并遵照《中华人民共和国政府采购法》有关“提供虚假材料的规定”接受处罚。</w:t>
      </w:r>
    </w:p>
    <w:p w14:paraId="0EB4D693">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特此声明。</w:t>
      </w:r>
    </w:p>
    <w:p w14:paraId="6CF1A1C5">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注：成立不足三年的供应商提供自成立之日起至开标之日止的书面声明。</w:t>
      </w:r>
    </w:p>
    <w:p w14:paraId="55E061FA">
      <w:pPr>
        <w:shd w:val="clear"/>
        <w:spacing w:before="50" w:after="50" w:line="360" w:lineRule="auto"/>
        <w:rPr>
          <w:rFonts w:hint="eastAsia" w:ascii="仿宋" w:hAnsi="仿宋" w:eastAsia="仿宋" w:cs="仿宋"/>
          <w:color w:val="000000"/>
          <w:sz w:val="28"/>
          <w:szCs w:val="28"/>
        </w:rPr>
      </w:pPr>
    </w:p>
    <w:p w14:paraId="6EF8A8D3">
      <w:pPr>
        <w:spacing w:before="50" w:after="50" w:line="360" w:lineRule="auto"/>
        <w:ind w:firstLine="5552" w:firstLineChars="1983"/>
        <w:rPr>
          <w:rFonts w:hint="eastAsia" w:ascii="仿宋" w:hAnsi="仿宋" w:eastAsia="仿宋" w:cs="仿宋"/>
          <w:color w:val="000000"/>
          <w:sz w:val="28"/>
          <w:szCs w:val="28"/>
        </w:rPr>
      </w:pPr>
    </w:p>
    <w:p w14:paraId="76EC436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6BA01C9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78FE3D8D">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7C839FC4">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6EE853D2">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14:paraId="2AD1F171">
      <w:pPr>
        <w:spacing w:before="156" w:beforeLines="50" w:line="360" w:lineRule="auto"/>
        <w:jc w:val="both"/>
        <w:rPr>
          <w:rFonts w:hint="eastAsia" w:ascii="仿宋" w:hAnsi="仿宋" w:eastAsia="仿宋" w:cs="仿宋"/>
          <w:b/>
          <w:bCs/>
          <w:color w:val="auto"/>
          <w:sz w:val="28"/>
          <w:szCs w:val="28"/>
          <w:highlight w:val="none"/>
        </w:rPr>
      </w:pPr>
    </w:p>
    <w:p w14:paraId="0425674F">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14:paraId="72E06D08">
      <w:pPr>
        <w:spacing w:line="500" w:lineRule="exact"/>
        <w:ind w:firstLine="480" w:firstLineChars="200"/>
        <w:rPr>
          <w:rFonts w:hint="eastAsia" w:ascii="仿宋" w:hAnsi="仿宋" w:eastAsia="仿宋" w:cs="仿宋"/>
          <w:color w:val="auto"/>
          <w:sz w:val="24"/>
          <w:szCs w:val="24"/>
          <w:highlight w:val="none"/>
        </w:rPr>
      </w:pPr>
    </w:p>
    <w:p w14:paraId="31D2D8EB">
      <w:pPr>
        <w:spacing w:line="360" w:lineRule="auto"/>
        <w:rPr>
          <w:rFonts w:hint="eastAsia" w:ascii="仿宋" w:hAnsi="仿宋" w:eastAsia="仿宋" w:cs="仿宋"/>
          <w:color w:val="auto"/>
          <w:spacing w:val="4"/>
          <w:sz w:val="28"/>
          <w:szCs w:val="28"/>
          <w:highlight w:val="none"/>
        </w:rPr>
      </w:pPr>
    </w:p>
    <w:p w14:paraId="3EDD162B">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14:paraId="6E58107C">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14:paraId="32F5286C">
      <w:pPr>
        <w:pStyle w:val="4"/>
        <w:rPr>
          <w:rFonts w:hint="eastAsia" w:ascii="仿宋" w:hAnsi="仿宋" w:eastAsia="仿宋" w:cs="仿宋"/>
          <w:color w:val="auto"/>
          <w:sz w:val="24"/>
          <w:szCs w:val="24"/>
          <w:highlight w:val="none"/>
        </w:rPr>
      </w:pPr>
    </w:p>
    <w:p w14:paraId="75E2D03A">
      <w:pPr>
        <w:rPr>
          <w:rFonts w:hint="eastAsia" w:ascii="仿宋" w:hAnsi="仿宋" w:eastAsia="仿宋" w:cs="仿宋"/>
          <w:color w:val="auto"/>
          <w:sz w:val="24"/>
          <w:szCs w:val="24"/>
          <w:highlight w:val="none"/>
        </w:rPr>
      </w:pPr>
    </w:p>
    <w:p w14:paraId="5C2B4762">
      <w:pPr>
        <w:pStyle w:val="9"/>
        <w:rPr>
          <w:rFonts w:hint="eastAsia" w:ascii="仿宋" w:hAnsi="仿宋" w:eastAsia="仿宋" w:cs="仿宋"/>
          <w:color w:val="auto"/>
          <w:sz w:val="24"/>
          <w:szCs w:val="24"/>
          <w:highlight w:val="none"/>
        </w:rPr>
      </w:pPr>
    </w:p>
    <w:p w14:paraId="4BA46C61">
      <w:pPr>
        <w:rPr>
          <w:rFonts w:hint="eastAsia" w:ascii="仿宋" w:hAnsi="仿宋" w:eastAsia="仿宋" w:cs="仿宋"/>
          <w:color w:val="auto"/>
          <w:sz w:val="24"/>
          <w:szCs w:val="24"/>
          <w:highlight w:val="none"/>
        </w:rPr>
      </w:pPr>
    </w:p>
    <w:p w14:paraId="2B6C083D">
      <w:pPr>
        <w:pStyle w:val="9"/>
        <w:rPr>
          <w:rFonts w:hint="eastAsia" w:ascii="仿宋" w:hAnsi="仿宋" w:eastAsia="仿宋" w:cs="仿宋"/>
          <w:color w:val="auto"/>
          <w:highlight w:val="none"/>
        </w:rPr>
      </w:pPr>
    </w:p>
    <w:p w14:paraId="0D937B2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5AE46BD6">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26BA3BBE">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4010AC1B">
      <w:pPr>
        <w:rPr>
          <w:rFonts w:hint="eastAsia" w:ascii="仿宋" w:hAnsi="仿宋" w:eastAsia="仿宋" w:cs="仿宋"/>
          <w:b/>
          <w:bCs/>
          <w:sz w:val="28"/>
          <w:szCs w:val="28"/>
          <w:lang w:val="en-US" w:eastAsia="zh-CN"/>
        </w:rPr>
      </w:pPr>
    </w:p>
    <w:p w14:paraId="242B7754">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7C41B14E">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14:paraId="0804E734">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14:paraId="21DF267F">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14:paraId="69DC96B7">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14:paraId="06A131B0">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14:paraId="0BAE8CF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CE62E64">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14:paraId="5C232E07">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3A4E7F8A">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14:paraId="385A282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150912D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14:paraId="5FD11155">
      <w:pPr>
        <w:spacing w:line="360" w:lineRule="auto"/>
        <w:ind w:firstLine="560" w:firstLineChars="200"/>
        <w:rPr>
          <w:rFonts w:hint="eastAsia" w:ascii="仿宋" w:hAnsi="仿宋" w:eastAsia="仿宋" w:cs="仿宋"/>
          <w:sz w:val="28"/>
          <w:szCs w:val="28"/>
        </w:rPr>
      </w:pPr>
    </w:p>
    <w:p w14:paraId="46A8563E">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14:paraId="7D728257">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14:paraId="6E769EB1">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法定代表人参加磋商时提供。</w:t>
      </w:r>
      <w:bookmarkStart w:id="0" w:name="_GoBack"/>
      <w:bookmarkEnd w:id="0"/>
    </w:p>
    <w:p w14:paraId="323053C2">
      <w:pPr>
        <w:spacing w:line="360" w:lineRule="auto"/>
        <w:ind w:firstLine="2240" w:firstLineChars="800"/>
        <w:outlineLvl w:val="9"/>
        <w:rPr>
          <w:rFonts w:hint="eastAsia" w:ascii="仿宋" w:hAnsi="仿宋" w:eastAsia="仿宋" w:cs="仿宋"/>
          <w:kern w:val="0"/>
          <w:sz w:val="28"/>
          <w:szCs w:val="28"/>
        </w:rPr>
      </w:pPr>
    </w:p>
    <w:p w14:paraId="78EDA00D">
      <w:pPr>
        <w:adjustRightInd w:val="0"/>
        <w:snapToGrid w:val="0"/>
        <w:spacing w:line="360" w:lineRule="auto"/>
        <w:jc w:val="center"/>
        <w:outlineLvl w:val="9"/>
        <w:rPr>
          <w:rFonts w:hint="eastAsia" w:ascii="仿宋" w:hAnsi="仿宋" w:eastAsia="仿宋" w:cs="仿宋"/>
          <w:b/>
          <w:sz w:val="28"/>
          <w:szCs w:val="28"/>
        </w:rPr>
      </w:pPr>
    </w:p>
    <w:p w14:paraId="01AA746F">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3AEE5FF7">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14:paraId="4B333E32">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14:paraId="11B4BED7">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14:paraId="5FC2C715">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14:paraId="4F92538B">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14:paraId="287E6154">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14:paraId="025642FD">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14:paraId="4EA0A063">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0539F6F7">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C3D9F23">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14:paraId="5A1FB972">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14:paraId="359A1DDC">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0"/>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23F3D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14:paraId="151235A0">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2F6AD8AF">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14:paraId="0426169B">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14:paraId="034AB831">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14:paraId="0B2A10B0">
      <w:pP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pPr>
    </w:p>
    <w:p w14:paraId="623B9541">
      <w:pP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附件5：</w:t>
      </w:r>
    </w:p>
    <w:p w14:paraId="528F6006">
      <w:pPr>
        <w:jc w:val="center"/>
        <w:rPr>
          <w:rFonts w:hint="eastAsia" w:ascii="仿宋" w:hAnsi="仿宋" w:eastAsia="仿宋" w:cs="仿宋"/>
          <w:b/>
          <w:bCs/>
          <w:kern w:val="0"/>
          <w:sz w:val="24"/>
          <w:szCs w:val="24"/>
          <w:lang w:val="en-US"/>
        </w:rPr>
      </w:pPr>
      <w:r>
        <w:rPr>
          <w:rFonts w:hint="eastAsia" w:ascii="仿宋" w:hAnsi="仿宋" w:eastAsia="仿宋" w:cs="仿宋"/>
          <w:b/>
          <w:bCs/>
          <w:kern w:val="0"/>
          <w:sz w:val="24"/>
          <w:szCs w:val="24"/>
          <w:lang w:val="en-US" w:eastAsia="zh-CN"/>
        </w:rPr>
        <w:t>非联合体声明函</w:t>
      </w:r>
    </w:p>
    <w:p w14:paraId="7B6E5B94">
      <w:pPr>
        <w:pStyle w:val="2"/>
        <w:ind w:left="420" w:leftChars="200" w:firstLine="0"/>
        <w:rPr>
          <w:rFonts w:hint="eastAsia" w:ascii="仿宋" w:hAnsi="仿宋" w:eastAsia="仿宋" w:cs="仿宋"/>
          <w:sz w:val="24"/>
          <w:szCs w:val="24"/>
        </w:rPr>
      </w:pPr>
    </w:p>
    <w:p w14:paraId="64731B4B">
      <w:pPr>
        <w:pStyle w:val="9"/>
        <w:rPr>
          <w:rFonts w:hint="eastAsia" w:ascii="仿宋" w:hAnsi="仿宋" w:eastAsia="仿宋" w:cs="仿宋"/>
          <w:sz w:val="24"/>
          <w:szCs w:val="24"/>
        </w:rPr>
      </w:pPr>
    </w:p>
    <w:p w14:paraId="00AA4C17">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14:paraId="7D270BE1">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w:t>
      </w:r>
      <w:r>
        <w:rPr>
          <w:rFonts w:hint="eastAsia" w:ascii="仿宋" w:hAnsi="仿宋" w:eastAsia="仿宋" w:cs="仿宋"/>
          <w:kern w:val="0"/>
          <w:sz w:val="24"/>
          <w:szCs w:val="24"/>
          <w:lang w:val="en-US" w:eastAsia="zh-CN"/>
        </w:rPr>
        <w:t>参加</w:t>
      </w:r>
      <w:r>
        <w:rPr>
          <w:rFonts w:hint="eastAsia" w:ascii="仿宋" w:hAnsi="仿宋" w:eastAsia="仿宋" w:cs="仿宋"/>
          <w:kern w:val="0"/>
          <w:sz w:val="24"/>
          <w:szCs w:val="24"/>
        </w:rPr>
        <w:t>，如有虚假，承担相应责任。</w:t>
      </w:r>
    </w:p>
    <w:p w14:paraId="230419C8">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85685DD">
      <w:pPr>
        <w:rPr>
          <w:rFonts w:hint="eastAsia" w:ascii="仿宋" w:hAnsi="仿宋" w:eastAsia="仿宋" w:cs="仿宋"/>
          <w:sz w:val="24"/>
          <w:szCs w:val="24"/>
        </w:rPr>
      </w:pPr>
    </w:p>
    <w:p w14:paraId="5F2C5663">
      <w:pPr>
        <w:pStyle w:val="2"/>
        <w:rPr>
          <w:rFonts w:hint="eastAsia" w:ascii="仿宋" w:hAnsi="仿宋" w:eastAsia="仿宋" w:cs="仿宋"/>
          <w:sz w:val="24"/>
          <w:szCs w:val="24"/>
        </w:rPr>
      </w:pPr>
    </w:p>
    <w:p w14:paraId="1D02162E">
      <w:pPr>
        <w:pStyle w:val="2"/>
        <w:rPr>
          <w:rFonts w:hint="eastAsia" w:ascii="仿宋" w:hAnsi="仿宋" w:eastAsia="仿宋" w:cs="仿宋"/>
          <w:sz w:val="24"/>
          <w:szCs w:val="24"/>
        </w:rPr>
      </w:pPr>
    </w:p>
    <w:p w14:paraId="7C863FB6">
      <w:pPr>
        <w:pStyle w:val="2"/>
        <w:rPr>
          <w:rFonts w:hint="eastAsia" w:ascii="仿宋" w:hAnsi="仿宋" w:eastAsia="仿宋" w:cs="仿宋"/>
          <w:sz w:val="24"/>
          <w:szCs w:val="24"/>
        </w:rPr>
      </w:pPr>
    </w:p>
    <w:p w14:paraId="078D2208">
      <w:pPr>
        <w:pStyle w:val="2"/>
        <w:rPr>
          <w:rFonts w:hint="eastAsia" w:ascii="仿宋" w:hAnsi="仿宋" w:eastAsia="仿宋" w:cs="仿宋"/>
          <w:sz w:val="24"/>
          <w:szCs w:val="24"/>
        </w:rPr>
      </w:pPr>
    </w:p>
    <w:p w14:paraId="609A6127">
      <w:pPr>
        <w:pStyle w:val="2"/>
        <w:rPr>
          <w:rFonts w:hint="eastAsia" w:ascii="仿宋" w:hAnsi="仿宋" w:eastAsia="仿宋" w:cs="仿宋"/>
          <w:sz w:val="24"/>
          <w:szCs w:val="24"/>
        </w:rPr>
      </w:pPr>
    </w:p>
    <w:p w14:paraId="31714465">
      <w:pPr>
        <w:pStyle w:val="2"/>
        <w:rPr>
          <w:rFonts w:hint="eastAsia" w:ascii="仿宋" w:hAnsi="仿宋" w:eastAsia="仿宋" w:cs="仿宋"/>
          <w:sz w:val="24"/>
          <w:szCs w:val="24"/>
        </w:rPr>
      </w:pPr>
    </w:p>
    <w:p w14:paraId="735035BA">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760A28E6">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5826AD2F">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31D9F045">
      <w:pPr>
        <w:pStyle w:val="9"/>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E13A7"/>
    <w:rsid w:val="11BD7CFA"/>
    <w:rsid w:val="189E13A7"/>
    <w:rsid w:val="3BDF73A6"/>
    <w:rsid w:val="4C334C93"/>
    <w:rsid w:val="71057A17"/>
    <w:rsid w:val="7BCD1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1"/>
    <w:qFormat/>
    <w:uiPriority w:val="0"/>
    <w:pPr>
      <w:ind w:firstLine="480"/>
    </w:pPr>
    <w:rPr>
      <w:rFonts w:ascii="宋体" w:hAnsi="宋体" w:eastAsia="宋体" w:cs="Times New Roman"/>
    </w:rPr>
  </w:style>
  <w:style w:type="paragraph" w:styleId="6">
    <w:name w:val="footer"/>
    <w:basedOn w:val="1"/>
    <w:next w:val="4"/>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7">
    <w:name w:val="envelope return"/>
    <w:basedOn w:val="1"/>
    <w:qFormat/>
    <w:uiPriority w:val="0"/>
    <w:pPr>
      <w:snapToGrid w:val="0"/>
    </w:pPr>
    <w:rPr>
      <w:rFonts w:ascii="Arial" w:hAnsi="Arial"/>
    </w:rPr>
  </w:style>
  <w:style w:type="paragraph" w:styleId="8">
    <w:name w:val="annotation subject"/>
    <w:basedOn w:val="3"/>
    <w:next w:val="1"/>
    <w:qFormat/>
    <w:uiPriority w:val="0"/>
    <w:rPr>
      <w:b/>
      <w:bCs/>
    </w:rPr>
  </w:style>
  <w:style w:type="paragraph" w:styleId="9">
    <w:name w:val="Body Text First Indent 2"/>
    <w:basedOn w:val="5"/>
    <w:next w:val="1"/>
    <w:qFormat/>
    <w:uiPriority w:val="0"/>
    <w:pPr>
      <w:ind w:firstLine="420" w:firstLineChars="200"/>
    </w:pPr>
    <w:rPr>
      <w:rFonts w:ascii="Times New Roman" w:hAnsi="Times New Roman" w:eastAsia="宋体" w:cs="Times New Roman"/>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1784</Words>
  <Characters>1829</Characters>
  <Lines>0</Lines>
  <Paragraphs>0</Paragraphs>
  <TotalTime>0</TotalTime>
  <ScaleCrop>false</ScaleCrop>
  <LinksUpToDate>false</LinksUpToDate>
  <CharactersWithSpaces>2228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晶.</cp:lastModifiedBy>
  <dcterms:modified xsi:type="dcterms:W3CDTF">2025-06-25T01:05:37Z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255880ADF7904D5C987F8F9BBCF1200F_11</vt:lpwstr>
  </property>
  <property fmtid="{D5CDD505-2E9C-101B-9397-08002B2CF9AE}" pid="4" name="KSOTemplateDocerSaveRecord">
    <vt:lpwstr>eyJoZGlkIjoiMjFjNTUzYTc2MzBiNWI1ZDE0ZTBiZjJlZmMxODg1YWQiLCJ1c2VySWQiOiI0MzUwNzIzOTMifQ==</vt:lpwstr>
  </property>
</Properties>
</file>