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DE94D">
      <w:pPr>
        <w:spacing w:before="120" w:line="360" w:lineRule="auto"/>
        <w:jc w:val="center"/>
        <w:rPr>
          <w:rFonts w:hint="eastAsia" w:ascii="宋体" w:hAnsi="宋体" w:eastAsia="宋体" w:cs="宋体"/>
          <w:sz w:val="28"/>
          <w:szCs w:val="28"/>
        </w:rPr>
      </w:pPr>
      <w:r>
        <w:rPr>
          <w:rFonts w:hint="eastAsia" w:ascii="宋体" w:hAnsi="宋体" w:eastAsia="宋体" w:cs="宋体"/>
          <w:sz w:val="28"/>
          <w:szCs w:val="28"/>
        </w:rPr>
        <w:t>（参考格式）</w:t>
      </w:r>
    </w:p>
    <w:p w14:paraId="72AC8E8E">
      <w:pPr>
        <w:spacing w:before="120" w:line="360" w:lineRule="auto"/>
        <w:jc w:val="center"/>
        <w:rPr>
          <w:rFonts w:hint="eastAsia" w:ascii="宋体" w:hAnsi="宋体" w:eastAsia="宋体" w:cs="宋体"/>
          <w:b/>
          <w:bCs/>
          <w:sz w:val="36"/>
          <w:szCs w:val="36"/>
        </w:rPr>
      </w:pPr>
    </w:p>
    <w:p w14:paraId="2D0623A3">
      <w:pPr>
        <w:spacing w:before="120" w:line="360" w:lineRule="auto"/>
        <w:jc w:val="center"/>
        <w:rPr>
          <w:rFonts w:hint="eastAsia" w:ascii="宋体" w:hAnsi="宋体" w:eastAsia="宋体" w:cs="宋体"/>
          <w:b/>
          <w:bCs/>
          <w:sz w:val="36"/>
          <w:szCs w:val="36"/>
        </w:rPr>
      </w:pPr>
    </w:p>
    <w:p w14:paraId="225F9B8D">
      <w:pPr>
        <w:spacing w:before="120" w:line="360" w:lineRule="auto"/>
        <w:jc w:val="center"/>
        <w:rPr>
          <w:rFonts w:hint="eastAsia" w:ascii="宋体" w:hAnsi="宋体" w:eastAsia="宋体" w:cs="宋体"/>
          <w:b/>
          <w:bCs/>
          <w:sz w:val="36"/>
          <w:szCs w:val="36"/>
        </w:rPr>
      </w:pPr>
    </w:p>
    <w:p w14:paraId="1C261A38">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1CFF9024">
      <w:pPr>
        <w:spacing w:before="120" w:line="360" w:lineRule="auto"/>
        <w:jc w:val="center"/>
        <w:rPr>
          <w:rFonts w:hint="eastAsia" w:ascii="宋体" w:hAnsi="宋体" w:eastAsia="宋体" w:cs="宋体"/>
          <w:sz w:val="28"/>
          <w:szCs w:val="28"/>
        </w:rPr>
      </w:pPr>
    </w:p>
    <w:p w14:paraId="0749F89F">
      <w:pPr>
        <w:spacing w:before="120" w:line="360" w:lineRule="auto"/>
        <w:ind w:firstLine="3064" w:firstLineChars="1090"/>
        <w:rPr>
          <w:rFonts w:hint="eastAsia" w:ascii="宋体" w:hAnsi="宋体" w:eastAsia="宋体" w:cs="宋体"/>
          <w:b/>
          <w:bCs/>
          <w:sz w:val="28"/>
          <w:szCs w:val="28"/>
        </w:rPr>
      </w:pPr>
      <w:bookmarkStart w:id="0" w:name="_Toc109542396"/>
      <w:bookmarkStart w:id="1" w:name="_Toc109543216"/>
    </w:p>
    <w:p w14:paraId="71653880">
      <w:pPr>
        <w:spacing w:before="120" w:line="360" w:lineRule="auto"/>
        <w:ind w:firstLine="3064" w:firstLineChars="1090"/>
        <w:rPr>
          <w:rFonts w:hint="eastAsia" w:ascii="宋体" w:hAnsi="宋体" w:eastAsia="宋体" w:cs="宋体"/>
          <w:b/>
          <w:bCs/>
          <w:sz w:val="28"/>
          <w:szCs w:val="28"/>
        </w:rPr>
      </w:pPr>
    </w:p>
    <w:bookmarkEnd w:id="0"/>
    <w:bookmarkEnd w:id="1"/>
    <w:p w14:paraId="42180577">
      <w:pPr>
        <w:spacing w:before="120" w:line="360" w:lineRule="auto"/>
        <w:ind w:firstLine="3052" w:firstLineChars="1090"/>
        <w:rPr>
          <w:rFonts w:hint="eastAsia" w:ascii="宋体" w:hAnsi="宋体" w:eastAsia="宋体" w:cs="宋体"/>
          <w:sz w:val="28"/>
          <w:szCs w:val="28"/>
        </w:rPr>
      </w:pPr>
      <w:r>
        <w:rPr>
          <w:rFonts w:hint="eastAsia" w:ascii="宋体" w:hAnsi="宋体" w:eastAsia="宋体" w:cs="宋体"/>
          <w:sz w:val="28"/>
          <w:szCs w:val="28"/>
        </w:rPr>
        <w:t xml:space="preserve">    </w:t>
      </w:r>
    </w:p>
    <w:p w14:paraId="19813D03">
      <w:pPr>
        <w:pStyle w:val="4"/>
        <w:spacing w:before="120" w:line="360" w:lineRule="auto"/>
        <w:ind w:firstLine="0"/>
        <w:rPr>
          <w:rFonts w:hint="eastAsia" w:ascii="宋体" w:hAnsi="宋体" w:eastAsia="宋体" w:cs="宋体"/>
          <w:sz w:val="28"/>
          <w:szCs w:val="28"/>
        </w:rPr>
      </w:pPr>
    </w:p>
    <w:p w14:paraId="7AACA9E8">
      <w:pPr>
        <w:spacing w:before="120" w:line="360" w:lineRule="auto"/>
        <w:rPr>
          <w:rFonts w:hint="eastAsia" w:ascii="宋体" w:hAnsi="宋体" w:eastAsia="宋体" w:cs="宋体"/>
          <w:b/>
          <w:bCs/>
          <w:sz w:val="28"/>
          <w:szCs w:val="28"/>
        </w:rPr>
      </w:pPr>
    </w:p>
    <w:p w14:paraId="4961F620">
      <w:pPr>
        <w:pStyle w:val="6"/>
        <w:rPr>
          <w:rFonts w:hint="eastAsia" w:ascii="宋体" w:hAnsi="宋体" w:eastAsia="宋体" w:cs="宋体"/>
          <w:b/>
          <w:bCs/>
          <w:sz w:val="28"/>
          <w:szCs w:val="28"/>
        </w:rPr>
      </w:pPr>
    </w:p>
    <w:p w14:paraId="11A89155">
      <w:pPr>
        <w:rPr>
          <w:rFonts w:hint="eastAsia" w:ascii="宋体" w:hAnsi="宋体" w:eastAsia="宋体" w:cs="宋体"/>
          <w:b/>
          <w:bCs/>
          <w:sz w:val="28"/>
          <w:szCs w:val="28"/>
        </w:rPr>
      </w:pPr>
    </w:p>
    <w:p w14:paraId="3141B3E1">
      <w:pPr>
        <w:pStyle w:val="6"/>
        <w:rPr>
          <w:rFonts w:hint="eastAsia"/>
        </w:rPr>
      </w:pPr>
    </w:p>
    <w:p w14:paraId="11912C13">
      <w:pPr>
        <w:spacing w:before="120" w:line="360" w:lineRule="auto"/>
        <w:ind w:left="960"/>
        <w:rPr>
          <w:rFonts w:hint="eastAsia" w:ascii="宋体" w:hAnsi="宋体" w:eastAsia="宋体" w:cs="宋体"/>
          <w:b/>
          <w:bCs/>
          <w:sz w:val="28"/>
          <w:szCs w:val="28"/>
        </w:rPr>
      </w:pPr>
      <w:r>
        <w:rPr>
          <w:rFonts w:hint="eastAsia" w:ascii="宋体" w:hAnsi="宋体" w:cs="宋体"/>
          <w:b/>
          <w:bCs/>
          <w:sz w:val="28"/>
          <w:szCs w:val="28"/>
          <w:lang w:val="en-US" w:eastAsia="zh-CN"/>
        </w:rPr>
        <w:t>采购人</w:t>
      </w:r>
      <w:r>
        <w:rPr>
          <w:rFonts w:hint="eastAsia" w:ascii="宋体" w:hAnsi="宋体" w:cs="宋体"/>
          <w:b/>
          <w:bCs/>
          <w:sz w:val="28"/>
          <w:szCs w:val="28"/>
          <w:lang w:eastAsia="zh-CN"/>
        </w:rPr>
        <w:t>（</w:t>
      </w:r>
      <w:r>
        <w:rPr>
          <w:rFonts w:hint="eastAsia" w:ascii="宋体" w:hAnsi="宋体" w:eastAsia="宋体" w:cs="宋体"/>
          <w:b/>
          <w:bCs/>
          <w:sz w:val="28"/>
          <w:szCs w:val="28"/>
          <w:lang w:eastAsia="zh-CN"/>
        </w:rPr>
        <w:t>甲方</w:t>
      </w:r>
      <w:r>
        <w:rPr>
          <w:rFonts w:hint="eastAsia" w:ascii="宋体" w:hAnsi="宋体" w:cs="宋体"/>
          <w:b/>
          <w:bCs/>
          <w:sz w:val="28"/>
          <w:szCs w:val="28"/>
          <w:lang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346F73CE">
      <w:pPr>
        <w:spacing w:before="120" w:line="360" w:lineRule="auto"/>
        <w:ind w:left="960"/>
        <w:rPr>
          <w:rFonts w:hint="eastAsia" w:ascii="宋体" w:hAnsi="宋体" w:eastAsia="宋体" w:cs="宋体"/>
          <w:b/>
          <w:bCs/>
          <w:sz w:val="28"/>
          <w:szCs w:val="28"/>
          <w:u w:val="single"/>
        </w:rPr>
      </w:pPr>
      <w:r>
        <w:rPr>
          <w:rFonts w:hint="eastAsia" w:ascii="宋体" w:hAnsi="宋体" w:cs="宋体"/>
          <w:b/>
          <w:bCs/>
          <w:sz w:val="28"/>
          <w:szCs w:val="28"/>
          <w:lang w:val="en-US" w:eastAsia="zh-CN"/>
        </w:rPr>
        <w:t>成交供应商（</w:t>
      </w:r>
      <w:r>
        <w:rPr>
          <w:rFonts w:hint="eastAsia" w:ascii="宋体" w:hAnsi="宋体" w:eastAsia="宋体" w:cs="宋体"/>
          <w:b/>
          <w:bCs/>
          <w:sz w:val="28"/>
          <w:szCs w:val="28"/>
          <w:lang w:eastAsia="zh-CN"/>
        </w:rPr>
        <w:t>乙方</w:t>
      </w:r>
      <w:r>
        <w:rPr>
          <w:rFonts w:hint="eastAsia" w:ascii="宋体" w:hAnsi="宋体" w:cs="宋体"/>
          <w:b/>
          <w:bCs/>
          <w:sz w:val="28"/>
          <w:szCs w:val="28"/>
          <w:lang w:val="en-US"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52C956BE">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签署日期 ：　　　　　　　　　　　                  　　</w:t>
      </w:r>
    </w:p>
    <w:p w14:paraId="55CC7AC3">
      <w:pPr>
        <w:spacing w:before="120" w:line="360" w:lineRule="auto"/>
        <w:ind w:left="960"/>
        <w:rPr>
          <w:rFonts w:hint="eastAsia" w:ascii="宋体" w:hAnsi="宋体" w:cs="宋体"/>
          <w:b/>
          <w:bCs/>
          <w:sz w:val="28"/>
          <w:szCs w:val="28"/>
          <w:lang w:val="en-US" w:eastAsia="zh-CN"/>
        </w:rPr>
        <w:sectPr>
          <w:footerReference r:id="rId3" w:type="default"/>
          <w:pgSz w:w="11906" w:h="16838"/>
          <w:pgMar w:top="1417" w:right="1423" w:bottom="1417" w:left="1417" w:header="720" w:footer="720" w:gutter="0"/>
          <w:pgBorders>
            <w:top w:val="none" w:sz="0" w:space="0"/>
            <w:left w:val="none" w:sz="0" w:space="0"/>
            <w:bottom w:val="none" w:sz="0" w:space="0"/>
            <w:right w:val="none" w:sz="0" w:space="0"/>
          </w:pgBorders>
          <w:pgNumType w:fmt="decimal" w:start="1"/>
          <w:cols w:space="720" w:num="1"/>
          <w:rtlGutter w:val="0"/>
          <w:docGrid w:linePitch="288" w:charSpace="0"/>
        </w:sectPr>
      </w:pPr>
    </w:p>
    <w:p w14:paraId="413BA55A">
      <w:pPr>
        <w:pStyle w:val="13"/>
        <w:spacing w:before="24" w:after="24" w:line="360" w:lineRule="auto"/>
        <w:ind w:left="0" w:leftChars="0" w:firstLine="240" w:firstLineChars="100"/>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p>
    <w:p w14:paraId="2605A41C">
      <w:pPr>
        <w:pStyle w:val="13"/>
        <w:spacing w:before="24" w:after="24" w:line="360" w:lineRule="auto"/>
        <w:ind w:left="0" w:leftChars="0" w:firstLine="240" w:firstLineChars="100"/>
        <w:rPr>
          <w:rFonts w:hint="eastAsia" w:ascii="宋体" w:hAnsi="宋体" w:eastAsia="宋体" w:cs="宋体"/>
          <w:sz w:val="24"/>
          <w:szCs w:val="24"/>
          <w:lang w:val="zh-CN"/>
        </w:rPr>
      </w:pPr>
      <w:r>
        <w:rPr>
          <w:rFonts w:hint="eastAsia" w:ascii="宋体" w:hAnsi="宋体" w:eastAsia="宋体" w:cs="宋体"/>
          <w:sz w:val="24"/>
          <w:szCs w:val="24"/>
        </w:rPr>
        <w:t>乙方（供应商）：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p>
    <w:p w14:paraId="50472189">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根据《中华人民共和国</w:t>
      </w:r>
      <w:r>
        <w:rPr>
          <w:rFonts w:hint="eastAsia" w:ascii="宋体" w:hAnsi="宋体" w:eastAsia="宋体" w:cs="宋体"/>
          <w:sz w:val="24"/>
          <w:szCs w:val="24"/>
        </w:rPr>
        <w:t>民法典</w:t>
      </w:r>
      <w:r>
        <w:rPr>
          <w:rFonts w:hint="eastAsia" w:ascii="宋体" w:hAnsi="宋体" w:eastAsia="宋体" w:cs="宋体"/>
          <w:sz w:val="24"/>
          <w:szCs w:val="24"/>
          <w:lang w:val="zh-CN"/>
        </w:rPr>
        <w:t>》、《中华人民共和国政府采购法》、</w:t>
      </w:r>
      <w:r>
        <w:rPr>
          <w:rFonts w:hint="eastAsia" w:ascii="宋体" w:hAnsi="宋体" w:eastAsia="宋体" w:cs="宋体"/>
          <w:sz w:val="24"/>
          <w:szCs w:val="24"/>
        </w:rPr>
        <w:t>《中华人民共和国政府采购法实施条例》</w:t>
      </w:r>
      <w:r>
        <w:rPr>
          <w:rFonts w:hint="eastAsia" w:ascii="宋体" w:hAnsi="宋体" w:eastAsia="宋体" w:cs="宋体"/>
          <w:sz w:val="24"/>
          <w:szCs w:val="24"/>
          <w:lang w:val="zh-CN"/>
        </w:rPr>
        <w:t>等相关法律法规之规定，按照平等、自愿、公平和诚实信用的原则，经甲方和乙方协商一致，约定以下合同</w:t>
      </w:r>
      <w:r>
        <w:rPr>
          <w:rFonts w:hint="eastAsia" w:ascii="宋体" w:hAnsi="宋体" w:eastAsia="宋体" w:cs="宋体"/>
          <w:sz w:val="24"/>
          <w:szCs w:val="24"/>
        </w:rPr>
        <w:t>条款，以兹共同遵守、全面履行。</w:t>
      </w:r>
    </w:p>
    <w:p w14:paraId="02175509">
      <w:pPr>
        <w:spacing w:before="24" w:after="24" w:line="360" w:lineRule="auto"/>
        <w:rPr>
          <w:rFonts w:hint="eastAsia" w:ascii="宋体" w:hAnsi="宋体" w:eastAsia="宋体" w:cs="宋体"/>
          <w:sz w:val="24"/>
          <w:szCs w:val="24"/>
        </w:rPr>
      </w:pPr>
      <w:bookmarkStart w:id="2" w:name="_Toc20421"/>
      <w:bookmarkStart w:id="3" w:name="_Toc26482"/>
      <w:bookmarkStart w:id="4" w:name="_Toc22967"/>
      <w:bookmarkStart w:id="5" w:name="_Toc9470"/>
      <w:bookmarkStart w:id="6" w:name="_Toc15367"/>
      <w:bookmarkStart w:id="7" w:name="_Toc6601"/>
      <w:bookmarkStart w:id="8" w:name="_Toc28855"/>
      <w:bookmarkStart w:id="9" w:name="_Toc19514"/>
      <w:r>
        <w:rPr>
          <w:rFonts w:hint="eastAsia" w:ascii="宋体" w:hAnsi="宋体" w:eastAsia="宋体" w:cs="宋体"/>
          <w:b/>
          <w:sz w:val="24"/>
          <w:szCs w:val="24"/>
        </w:rPr>
        <w:t>1.合同组成部分</w:t>
      </w:r>
      <w:bookmarkEnd w:id="2"/>
      <w:bookmarkEnd w:id="3"/>
      <w:bookmarkEnd w:id="4"/>
      <w:bookmarkEnd w:id="5"/>
      <w:bookmarkEnd w:id="6"/>
      <w:bookmarkEnd w:id="7"/>
      <w:bookmarkEnd w:id="8"/>
      <w:bookmarkEnd w:id="9"/>
    </w:p>
    <w:p w14:paraId="4A38ABD7">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下列文件为本合同的组成部分，并构成一个整体，需综合解释、相互补充。如果下列文件内容出现不一致的情形，那么在保证按照</w:t>
      </w:r>
      <w:r>
        <w:rPr>
          <w:rFonts w:hint="eastAsia" w:ascii="宋体" w:hAnsi="宋体" w:eastAsia="宋体" w:cs="宋体"/>
          <w:sz w:val="24"/>
          <w:szCs w:val="24"/>
          <w:lang w:eastAsia="zh-CN"/>
        </w:rPr>
        <w:t>竞争性磋商文件</w:t>
      </w:r>
      <w:r>
        <w:rPr>
          <w:rFonts w:hint="eastAsia" w:ascii="宋体" w:hAnsi="宋体" w:eastAsia="宋体" w:cs="宋体"/>
          <w:sz w:val="24"/>
          <w:szCs w:val="24"/>
        </w:rPr>
        <w:t>确定的事项的前提下，组成本合同的多个文件的优先适用顺序如下：</w:t>
      </w:r>
    </w:p>
    <w:p w14:paraId="57921AC6">
      <w:pPr>
        <w:adjustRightInd w:val="0"/>
        <w:snapToGrid w:val="0"/>
        <w:spacing w:before="24" w:after="24" w:line="360" w:lineRule="auto"/>
        <w:ind w:firstLine="475" w:firstLineChars="198"/>
        <w:rPr>
          <w:rFonts w:hint="eastAsia" w:ascii="宋体" w:hAnsi="宋体" w:eastAsia="宋体" w:cs="宋体"/>
          <w:sz w:val="24"/>
          <w:szCs w:val="24"/>
        </w:rPr>
      </w:pPr>
      <w:bookmarkStart w:id="10" w:name="_Toc6311"/>
      <w:bookmarkStart w:id="11" w:name="_Toc18585"/>
      <w:bookmarkStart w:id="12" w:name="_Toc18557"/>
      <w:bookmarkStart w:id="13" w:name="_Toc6773"/>
      <w:bookmarkStart w:id="14" w:name="_Toc2918"/>
      <w:bookmarkStart w:id="15" w:name="_Toc16407"/>
      <w:bookmarkStart w:id="16" w:name="_Toc22185"/>
      <w:bookmarkStart w:id="17" w:name="_Toc30104"/>
      <w:r>
        <w:rPr>
          <w:rFonts w:hint="eastAsia" w:ascii="宋体" w:hAnsi="宋体" w:eastAsia="宋体" w:cs="宋体"/>
          <w:sz w:val="24"/>
          <w:szCs w:val="24"/>
        </w:rPr>
        <w:t>1.1 协议书；</w:t>
      </w:r>
    </w:p>
    <w:p w14:paraId="2F05D536">
      <w:pPr>
        <w:adjustRightInd w:val="0"/>
        <w:snapToGrid w:val="0"/>
        <w:spacing w:before="24" w:after="24"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1.2 中标通知书、</w:t>
      </w:r>
      <w:r>
        <w:rPr>
          <w:rFonts w:hint="eastAsia" w:ascii="宋体" w:hAnsi="宋体" w:eastAsia="宋体" w:cs="宋体"/>
          <w:sz w:val="24"/>
          <w:szCs w:val="24"/>
          <w:lang w:eastAsia="zh-CN"/>
        </w:rPr>
        <w:t>磋商响应文件</w:t>
      </w:r>
      <w:r>
        <w:rPr>
          <w:rFonts w:hint="eastAsia" w:ascii="宋体" w:hAnsi="宋体" w:eastAsia="宋体" w:cs="宋体"/>
          <w:sz w:val="24"/>
          <w:szCs w:val="24"/>
        </w:rPr>
        <w:t>、</w:t>
      </w:r>
      <w:r>
        <w:rPr>
          <w:rFonts w:hint="eastAsia" w:ascii="宋体" w:hAnsi="宋体" w:eastAsia="宋体" w:cs="宋体"/>
          <w:sz w:val="24"/>
          <w:szCs w:val="24"/>
          <w:lang w:eastAsia="zh-CN"/>
        </w:rPr>
        <w:t>竞争性磋商文件</w:t>
      </w:r>
      <w:r>
        <w:rPr>
          <w:rFonts w:hint="eastAsia" w:ascii="宋体" w:hAnsi="宋体" w:eastAsia="宋体" w:cs="宋体"/>
          <w:sz w:val="24"/>
          <w:szCs w:val="24"/>
        </w:rPr>
        <w:t>、澄清、补充文件；</w:t>
      </w:r>
    </w:p>
    <w:p w14:paraId="0E6F508D">
      <w:pPr>
        <w:adjustRightInd w:val="0"/>
        <w:snapToGrid w:val="0"/>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相关服务建议书；</w:t>
      </w:r>
    </w:p>
    <w:p w14:paraId="11C104D3">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05DDF0BC">
      <w:pPr>
        <w:spacing w:before="24" w:after="24" w:line="360" w:lineRule="auto"/>
        <w:rPr>
          <w:rFonts w:hint="eastAsia" w:ascii="宋体" w:hAnsi="宋体" w:eastAsia="宋体" w:cs="宋体"/>
          <w:b/>
          <w:sz w:val="24"/>
          <w:szCs w:val="24"/>
          <w:lang w:eastAsia="zh-CN"/>
        </w:rPr>
      </w:pPr>
      <w:r>
        <w:rPr>
          <w:rFonts w:hint="eastAsia" w:ascii="宋体" w:hAnsi="宋体" w:eastAsia="宋体" w:cs="宋体"/>
          <w:b/>
          <w:sz w:val="24"/>
          <w:szCs w:val="24"/>
        </w:rPr>
        <w:t>2.</w:t>
      </w:r>
      <w:bookmarkEnd w:id="10"/>
      <w:bookmarkEnd w:id="11"/>
      <w:bookmarkEnd w:id="12"/>
      <w:bookmarkEnd w:id="13"/>
      <w:bookmarkEnd w:id="14"/>
      <w:bookmarkEnd w:id="15"/>
      <w:bookmarkEnd w:id="16"/>
      <w:bookmarkEnd w:id="17"/>
      <w:r>
        <w:rPr>
          <w:rFonts w:hint="eastAsia" w:ascii="宋体" w:hAnsi="宋体" w:cs="宋体"/>
          <w:b/>
          <w:sz w:val="24"/>
          <w:szCs w:val="24"/>
          <w:lang w:val="en-US" w:eastAsia="zh-CN"/>
        </w:rPr>
        <w:t>项目概况</w:t>
      </w:r>
    </w:p>
    <w:p w14:paraId="678D90E1">
      <w:pPr>
        <w:spacing w:before="24" w:after="24"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2.1项目</w:t>
      </w:r>
      <w:r>
        <w:rPr>
          <w:rFonts w:hint="eastAsia" w:ascii="宋体" w:hAnsi="宋体" w:eastAsia="宋体" w:cs="宋体"/>
          <w:sz w:val="24"/>
          <w:szCs w:val="24"/>
        </w:rPr>
        <w:t>名称：</w:t>
      </w:r>
    </w:p>
    <w:p w14:paraId="309ABEAA">
      <w:pPr>
        <w:spacing w:before="24" w:after="24"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2.2质量：</w:t>
      </w:r>
    </w:p>
    <w:p w14:paraId="243C671F">
      <w:pPr>
        <w:spacing w:before="24" w:after="24" w:line="360" w:lineRule="auto"/>
        <w:rPr>
          <w:rFonts w:hint="eastAsia" w:ascii="宋体" w:hAnsi="宋体" w:eastAsia="宋体" w:cs="宋体"/>
          <w:b/>
          <w:sz w:val="24"/>
          <w:szCs w:val="24"/>
        </w:rPr>
      </w:pPr>
      <w:bookmarkStart w:id="18" w:name="_Toc6409"/>
      <w:bookmarkStart w:id="19" w:name="_Toc4929"/>
      <w:bookmarkStart w:id="20" w:name="_Toc13918"/>
      <w:bookmarkStart w:id="21" w:name="_Toc5635"/>
      <w:bookmarkStart w:id="22" w:name="_Toc21782"/>
      <w:bookmarkStart w:id="23" w:name="_Toc1386"/>
      <w:bookmarkStart w:id="24" w:name="_Toc25535"/>
      <w:bookmarkStart w:id="25" w:name="_Toc20141"/>
      <w:bookmarkStart w:id="26" w:name="_Toc21124"/>
      <w:r>
        <w:rPr>
          <w:rFonts w:hint="eastAsia" w:ascii="宋体" w:hAnsi="宋体" w:eastAsia="宋体" w:cs="宋体"/>
          <w:b/>
          <w:sz w:val="24"/>
          <w:szCs w:val="24"/>
        </w:rPr>
        <w:t>3.价款</w:t>
      </w:r>
      <w:bookmarkEnd w:id="18"/>
      <w:bookmarkEnd w:id="19"/>
      <w:bookmarkEnd w:id="20"/>
      <w:bookmarkEnd w:id="21"/>
      <w:bookmarkEnd w:id="22"/>
      <w:bookmarkEnd w:id="23"/>
      <w:bookmarkEnd w:id="24"/>
      <w:bookmarkEnd w:id="25"/>
      <w:bookmarkEnd w:id="26"/>
    </w:p>
    <w:p w14:paraId="0E084658">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本合同总价为：¥</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27"/>
        <w:gridCol w:w="2137"/>
        <w:gridCol w:w="2129"/>
      </w:tblGrid>
      <w:tr w14:paraId="32B5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59" w:type="dxa"/>
            <w:noWrap w:val="0"/>
            <w:vAlign w:val="top"/>
          </w:tcPr>
          <w:p w14:paraId="68CDC36B">
            <w:pPr>
              <w:kinsoku w:val="0"/>
              <w:spacing w:line="500" w:lineRule="exact"/>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序号</w:t>
            </w:r>
          </w:p>
        </w:tc>
        <w:tc>
          <w:tcPr>
            <w:tcW w:w="2159" w:type="dxa"/>
            <w:noWrap w:val="0"/>
            <w:vAlign w:val="top"/>
          </w:tcPr>
          <w:p w14:paraId="06FD2954">
            <w:pPr>
              <w:kinsoku w:val="0"/>
              <w:spacing w:line="500" w:lineRule="exact"/>
              <w:jc w:val="center"/>
              <w:rPr>
                <w:rFonts w:hint="default" w:ascii="宋体" w:hAnsi="宋体" w:eastAsia="宋体"/>
                <w:b/>
                <w:sz w:val="24"/>
                <w:vertAlign w:val="baseline"/>
                <w:lang w:val="en-US" w:eastAsia="zh-CN"/>
              </w:rPr>
            </w:pPr>
            <w:r>
              <w:rPr>
                <w:rFonts w:hint="eastAsia" w:ascii="宋体" w:hAnsi="宋体"/>
                <w:b/>
                <w:sz w:val="24"/>
                <w:vertAlign w:val="baseline"/>
                <w:lang w:val="en-US" w:eastAsia="zh-CN"/>
              </w:rPr>
              <w:t>内容</w:t>
            </w:r>
            <w:bookmarkStart w:id="53" w:name="_GoBack"/>
            <w:bookmarkEnd w:id="53"/>
          </w:p>
        </w:tc>
        <w:tc>
          <w:tcPr>
            <w:tcW w:w="2160" w:type="dxa"/>
            <w:noWrap w:val="0"/>
            <w:vAlign w:val="top"/>
          </w:tcPr>
          <w:p w14:paraId="68645D34">
            <w:pPr>
              <w:kinsoku w:val="0"/>
              <w:spacing w:line="500" w:lineRule="exact"/>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报价（元）</w:t>
            </w:r>
          </w:p>
        </w:tc>
        <w:tc>
          <w:tcPr>
            <w:tcW w:w="2160" w:type="dxa"/>
            <w:noWrap w:val="0"/>
            <w:vAlign w:val="top"/>
          </w:tcPr>
          <w:p w14:paraId="6A25F54C">
            <w:pPr>
              <w:kinsoku w:val="0"/>
              <w:spacing w:line="500" w:lineRule="exact"/>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备注</w:t>
            </w:r>
          </w:p>
        </w:tc>
      </w:tr>
      <w:tr w14:paraId="38683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59" w:type="dxa"/>
            <w:noWrap w:val="0"/>
            <w:vAlign w:val="top"/>
          </w:tcPr>
          <w:p w14:paraId="4323C2B3">
            <w:pPr>
              <w:kinsoku w:val="0"/>
              <w:spacing w:line="500" w:lineRule="exact"/>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1</w:t>
            </w:r>
          </w:p>
        </w:tc>
        <w:tc>
          <w:tcPr>
            <w:tcW w:w="2159" w:type="dxa"/>
            <w:noWrap w:val="0"/>
            <w:vAlign w:val="top"/>
          </w:tcPr>
          <w:p w14:paraId="2094D6A1">
            <w:pPr>
              <w:kinsoku w:val="0"/>
              <w:spacing w:line="500" w:lineRule="exact"/>
              <w:jc w:val="center"/>
              <w:rPr>
                <w:rFonts w:hint="eastAsia" w:ascii="宋体" w:hAnsi="宋体"/>
                <w:b/>
                <w:sz w:val="24"/>
                <w:vertAlign w:val="baseline"/>
              </w:rPr>
            </w:pPr>
          </w:p>
        </w:tc>
        <w:tc>
          <w:tcPr>
            <w:tcW w:w="2160" w:type="dxa"/>
            <w:noWrap w:val="0"/>
            <w:vAlign w:val="top"/>
          </w:tcPr>
          <w:p w14:paraId="23C286B8">
            <w:pPr>
              <w:kinsoku w:val="0"/>
              <w:spacing w:line="500" w:lineRule="exact"/>
              <w:jc w:val="center"/>
              <w:rPr>
                <w:rFonts w:hint="eastAsia" w:ascii="宋体" w:hAnsi="宋体"/>
                <w:b/>
                <w:sz w:val="24"/>
                <w:vertAlign w:val="baseline"/>
              </w:rPr>
            </w:pPr>
          </w:p>
        </w:tc>
        <w:tc>
          <w:tcPr>
            <w:tcW w:w="2160" w:type="dxa"/>
            <w:noWrap w:val="0"/>
            <w:vAlign w:val="top"/>
          </w:tcPr>
          <w:p w14:paraId="5508AC4D">
            <w:pPr>
              <w:kinsoku w:val="0"/>
              <w:spacing w:line="500" w:lineRule="exact"/>
              <w:jc w:val="center"/>
              <w:rPr>
                <w:rFonts w:hint="eastAsia" w:ascii="宋体" w:hAnsi="宋体"/>
                <w:b/>
                <w:sz w:val="24"/>
                <w:vertAlign w:val="baseline"/>
              </w:rPr>
            </w:pPr>
          </w:p>
        </w:tc>
      </w:tr>
      <w:tr w14:paraId="6C914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59" w:type="dxa"/>
            <w:noWrap w:val="0"/>
            <w:vAlign w:val="top"/>
          </w:tcPr>
          <w:p w14:paraId="20E4189F">
            <w:pPr>
              <w:kinsoku w:val="0"/>
              <w:spacing w:line="500" w:lineRule="exact"/>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2</w:t>
            </w:r>
          </w:p>
        </w:tc>
        <w:tc>
          <w:tcPr>
            <w:tcW w:w="2159" w:type="dxa"/>
            <w:noWrap w:val="0"/>
            <w:vAlign w:val="top"/>
          </w:tcPr>
          <w:p w14:paraId="135575AD">
            <w:pPr>
              <w:kinsoku w:val="0"/>
              <w:spacing w:line="500" w:lineRule="exact"/>
              <w:jc w:val="center"/>
              <w:rPr>
                <w:rFonts w:hint="eastAsia" w:ascii="宋体" w:hAnsi="宋体"/>
                <w:b/>
                <w:sz w:val="24"/>
                <w:vertAlign w:val="baseline"/>
              </w:rPr>
            </w:pPr>
          </w:p>
        </w:tc>
        <w:tc>
          <w:tcPr>
            <w:tcW w:w="2160" w:type="dxa"/>
            <w:noWrap w:val="0"/>
            <w:vAlign w:val="top"/>
          </w:tcPr>
          <w:p w14:paraId="0340A59E">
            <w:pPr>
              <w:kinsoku w:val="0"/>
              <w:spacing w:line="500" w:lineRule="exact"/>
              <w:jc w:val="center"/>
              <w:rPr>
                <w:rFonts w:hint="eastAsia" w:ascii="宋体" w:hAnsi="宋体"/>
                <w:b/>
                <w:sz w:val="24"/>
                <w:vertAlign w:val="baseline"/>
              </w:rPr>
            </w:pPr>
          </w:p>
        </w:tc>
        <w:tc>
          <w:tcPr>
            <w:tcW w:w="2160" w:type="dxa"/>
            <w:noWrap w:val="0"/>
            <w:vAlign w:val="top"/>
          </w:tcPr>
          <w:p w14:paraId="31FD570A">
            <w:pPr>
              <w:kinsoku w:val="0"/>
              <w:spacing w:line="500" w:lineRule="exact"/>
              <w:jc w:val="center"/>
              <w:rPr>
                <w:rFonts w:hint="eastAsia" w:ascii="宋体" w:hAnsi="宋体"/>
                <w:b/>
                <w:sz w:val="24"/>
                <w:vertAlign w:val="baseline"/>
              </w:rPr>
            </w:pPr>
          </w:p>
        </w:tc>
      </w:tr>
      <w:tr w14:paraId="4359F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159" w:type="dxa"/>
            <w:noWrap w:val="0"/>
            <w:vAlign w:val="top"/>
          </w:tcPr>
          <w:p w14:paraId="34CF5E02">
            <w:pPr>
              <w:kinsoku w:val="0"/>
              <w:spacing w:line="500" w:lineRule="exact"/>
              <w:jc w:val="center"/>
              <w:rPr>
                <w:rFonts w:hint="default" w:ascii="宋体" w:hAnsi="宋体" w:eastAsia="宋体"/>
                <w:b/>
                <w:sz w:val="24"/>
                <w:vertAlign w:val="baseline"/>
                <w:lang w:val="en-US" w:eastAsia="zh-CN"/>
              </w:rPr>
            </w:pPr>
            <w:r>
              <w:rPr>
                <w:rFonts w:hint="eastAsia" w:ascii="宋体" w:hAnsi="宋体"/>
                <w:b/>
                <w:sz w:val="24"/>
                <w:vertAlign w:val="baseline"/>
                <w:lang w:val="en-US" w:eastAsia="zh-CN"/>
              </w:rPr>
              <w:t>...</w:t>
            </w:r>
          </w:p>
        </w:tc>
        <w:tc>
          <w:tcPr>
            <w:tcW w:w="2159" w:type="dxa"/>
            <w:noWrap w:val="0"/>
            <w:vAlign w:val="top"/>
          </w:tcPr>
          <w:p w14:paraId="52C9AB30">
            <w:pPr>
              <w:kinsoku w:val="0"/>
              <w:spacing w:line="500" w:lineRule="exact"/>
              <w:jc w:val="center"/>
              <w:rPr>
                <w:rFonts w:hint="eastAsia" w:ascii="宋体" w:hAnsi="宋体"/>
                <w:b/>
                <w:sz w:val="24"/>
                <w:vertAlign w:val="baseline"/>
              </w:rPr>
            </w:pPr>
          </w:p>
        </w:tc>
        <w:tc>
          <w:tcPr>
            <w:tcW w:w="2160" w:type="dxa"/>
            <w:noWrap w:val="0"/>
            <w:vAlign w:val="top"/>
          </w:tcPr>
          <w:p w14:paraId="2BBCE725">
            <w:pPr>
              <w:kinsoku w:val="0"/>
              <w:spacing w:line="500" w:lineRule="exact"/>
              <w:jc w:val="center"/>
              <w:rPr>
                <w:rFonts w:hint="eastAsia" w:ascii="宋体" w:hAnsi="宋体"/>
                <w:b/>
                <w:sz w:val="24"/>
                <w:vertAlign w:val="baseline"/>
              </w:rPr>
            </w:pPr>
          </w:p>
        </w:tc>
        <w:tc>
          <w:tcPr>
            <w:tcW w:w="2160" w:type="dxa"/>
            <w:noWrap w:val="0"/>
            <w:vAlign w:val="top"/>
          </w:tcPr>
          <w:p w14:paraId="13346C88">
            <w:pPr>
              <w:kinsoku w:val="0"/>
              <w:spacing w:line="500" w:lineRule="exact"/>
              <w:jc w:val="center"/>
              <w:rPr>
                <w:rFonts w:hint="eastAsia" w:ascii="宋体" w:hAnsi="宋体"/>
                <w:b/>
                <w:sz w:val="24"/>
                <w:vertAlign w:val="baseline"/>
              </w:rPr>
            </w:pPr>
          </w:p>
        </w:tc>
      </w:tr>
      <w:tr w14:paraId="4089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638" w:type="dxa"/>
            <w:gridSpan w:val="4"/>
            <w:noWrap w:val="0"/>
            <w:vAlign w:val="top"/>
          </w:tcPr>
          <w:p w14:paraId="4A2C592A">
            <w:pPr>
              <w:kinsoku w:val="0"/>
              <w:spacing w:line="500" w:lineRule="exact"/>
              <w:jc w:val="both"/>
              <w:rPr>
                <w:rFonts w:hint="eastAsia" w:ascii="宋体" w:hAnsi="宋体" w:eastAsia="宋体"/>
                <w:b/>
                <w:sz w:val="24"/>
                <w:vertAlign w:val="baseline"/>
                <w:lang w:val="en-US" w:eastAsia="zh-CN"/>
              </w:rPr>
            </w:pPr>
            <w:r>
              <w:rPr>
                <w:rFonts w:hint="eastAsia" w:ascii="宋体" w:hAnsi="宋体"/>
                <w:b/>
                <w:sz w:val="24"/>
                <w:vertAlign w:val="baseline"/>
                <w:lang w:val="en-US" w:eastAsia="zh-CN"/>
              </w:rPr>
              <w:t>合计：</w:t>
            </w:r>
          </w:p>
        </w:tc>
      </w:tr>
    </w:tbl>
    <w:p w14:paraId="73D6E16A">
      <w:pPr>
        <w:spacing w:before="24" w:after="24" w:line="360" w:lineRule="auto"/>
        <w:rPr>
          <w:rFonts w:hint="eastAsia" w:ascii="宋体" w:hAnsi="宋体" w:eastAsia="宋体" w:cs="宋体"/>
          <w:b/>
          <w:sz w:val="24"/>
          <w:szCs w:val="24"/>
        </w:rPr>
      </w:pPr>
      <w:bookmarkStart w:id="27" w:name="_Toc15617"/>
      <w:bookmarkStart w:id="28" w:name="_Toc26916"/>
      <w:bookmarkStart w:id="29" w:name="_Toc13113"/>
      <w:bookmarkStart w:id="30" w:name="_Toc17639"/>
      <w:bookmarkStart w:id="31" w:name="_Toc3654"/>
      <w:bookmarkStart w:id="32" w:name="_Toc30506"/>
      <w:bookmarkStart w:id="33" w:name="_Toc30158"/>
      <w:bookmarkStart w:id="34" w:name="_Toc13174"/>
      <w:bookmarkStart w:id="35" w:name="_Toc14993"/>
      <w:r>
        <w:rPr>
          <w:rFonts w:hint="eastAsia" w:ascii="宋体" w:hAnsi="宋体" w:eastAsia="宋体" w:cs="宋体"/>
          <w:b/>
          <w:sz w:val="24"/>
          <w:szCs w:val="24"/>
        </w:rPr>
        <w:t>4.付款方式和发票开具方式</w:t>
      </w:r>
      <w:bookmarkEnd w:id="27"/>
      <w:bookmarkEnd w:id="28"/>
      <w:bookmarkEnd w:id="29"/>
      <w:bookmarkEnd w:id="30"/>
      <w:bookmarkEnd w:id="31"/>
      <w:bookmarkEnd w:id="32"/>
      <w:bookmarkEnd w:id="33"/>
      <w:bookmarkEnd w:id="34"/>
      <w:bookmarkEnd w:id="35"/>
    </w:p>
    <w:p w14:paraId="796BBB3A">
      <w:pPr>
        <w:spacing w:before="24" w:after="24" w:line="360" w:lineRule="auto"/>
        <w:ind w:firstLine="480" w:firstLineChars="200"/>
        <w:rPr>
          <w:rFonts w:hint="eastAsia" w:ascii="宋体" w:hAnsi="宋体" w:eastAsia="宋体" w:cs="宋体"/>
          <w:sz w:val="24"/>
          <w:szCs w:val="24"/>
          <w:highlight w:val="none"/>
          <w:u w:val="none"/>
        </w:rPr>
      </w:pPr>
      <w:bookmarkStart w:id="36" w:name="_Toc3625"/>
      <w:bookmarkStart w:id="37" w:name="_Toc8772"/>
      <w:bookmarkStart w:id="38" w:name="_Toc31421"/>
      <w:bookmarkStart w:id="39" w:name="_Toc11108"/>
      <w:bookmarkStart w:id="40" w:name="_Toc17784"/>
      <w:bookmarkStart w:id="41" w:name="_Toc4760"/>
      <w:bookmarkStart w:id="42" w:name="_Toc19039"/>
      <w:r>
        <w:rPr>
          <w:rFonts w:hint="eastAsia" w:ascii="宋体" w:hAnsi="宋体" w:eastAsia="宋体" w:cs="宋体"/>
          <w:sz w:val="24"/>
          <w:szCs w:val="24"/>
          <w:highlight w:val="none"/>
          <w:u w:val="none"/>
        </w:rPr>
        <w:t>（1）付款方式：合同签订后预付40%咨询费用，每完成一项地方标准咨询服务后1</w:t>
      </w:r>
      <w:r>
        <w:rPr>
          <w:rFonts w:hint="eastAsia" w:ascii="宋体" w:hAnsi="宋体" w:cs="宋体"/>
          <w:sz w:val="24"/>
          <w:szCs w:val="24"/>
          <w:highlight w:val="none"/>
          <w:u w:val="none"/>
          <w:lang w:val="en-US" w:eastAsia="zh-CN"/>
        </w:rPr>
        <w:t>0</w:t>
      </w:r>
      <w:r>
        <w:rPr>
          <w:rFonts w:hint="eastAsia" w:ascii="宋体" w:hAnsi="宋体" w:eastAsia="宋体" w:cs="宋体"/>
          <w:sz w:val="24"/>
          <w:szCs w:val="24"/>
          <w:highlight w:val="none"/>
          <w:u w:val="none"/>
        </w:rPr>
        <w:t>个工作日内支付该项目剩余咨询服务费用。</w:t>
      </w:r>
    </w:p>
    <w:p w14:paraId="6B0752B8">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（2）乙方承诺在甲方办理以上各期付款的支付手续前，为甲方出具等额的符合国家规定的发票；</w:t>
      </w:r>
    </w:p>
    <w:p w14:paraId="4846C485">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（3）上述时间不包括甲方正常办理支付报批手续的时间。</w:t>
      </w:r>
    </w:p>
    <w:p w14:paraId="5715BFCF">
      <w:pPr>
        <w:spacing w:before="24" w:after="24" w:line="360" w:lineRule="auto"/>
        <w:rPr>
          <w:rFonts w:hint="eastAsia" w:ascii="宋体" w:hAnsi="宋体" w:eastAsia="宋体" w:cs="宋体"/>
          <w:b/>
          <w:sz w:val="24"/>
          <w:szCs w:val="24"/>
        </w:rPr>
      </w:pPr>
      <w:bookmarkStart w:id="43" w:name="_Toc18630"/>
      <w:r>
        <w:rPr>
          <w:rFonts w:hint="eastAsia" w:ascii="宋体" w:hAnsi="宋体" w:eastAsia="宋体" w:cs="宋体"/>
          <w:b/>
          <w:sz w:val="24"/>
          <w:szCs w:val="24"/>
        </w:rPr>
        <w:t>5.服务期、地点</w:t>
      </w:r>
      <w:bookmarkEnd w:id="36"/>
      <w:bookmarkEnd w:id="37"/>
      <w:bookmarkEnd w:id="38"/>
      <w:bookmarkEnd w:id="39"/>
      <w:bookmarkEnd w:id="40"/>
      <w:bookmarkEnd w:id="41"/>
      <w:bookmarkEnd w:id="42"/>
      <w:bookmarkEnd w:id="43"/>
    </w:p>
    <w:p w14:paraId="09577743">
      <w:pPr>
        <w:spacing w:before="24" w:after="24"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5.1服务期：</w:t>
      </w:r>
      <w:r>
        <w:rPr>
          <w:rFonts w:hint="eastAsia" w:ascii="宋体" w:hAnsi="宋体" w:eastAsia="宋体" w:cs="宋体"/>
          <w:sz w:val="24"/>
          <w:szCs w:val="24"/>
          <w:u w:val="single"/>
        </w:rPr>
        <w:t xml:space="preserve">                         </w:t>
      </w:r>
    </w:p>
    <w:p w14:paraId="4C60F642">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w:t>
      </w:r>
      <w:bookmarkStart w:id="44" w:name="_Toc5698"/>
      <w:bookmarkStart w:id="45" w:name="_Toc15869"/>
      <w:bookmarkStart w:id="46" w:name="_Toc14539"/>
      <w:bookmarkStart w:id="47" w:name="_Toc3232"/>
      <w:bookmarkStart w:id="48" w:name="_Toc18097"/>
      <w:bookmarkStart w:id="49" w:name="_Toc24662"/>
      <w:bookmarkStart w:id="50" w:name="_Toc2375"/>
      <w:bookmarkStart w:id="51" w:name="_Toc3079"/>
      <w:bookmarkStart w:id="52" w:name="_Toc8586"/>
      <w:r>
        <w:rPr>
          <w:rFonts w:hint="eastAsia" w:ascii="宋体" w:hAnsi="宋体" w:eastAsia="宋体" w:cs="宋体"/>
          <w:b w:val="0"/>
          <w:color w:val="auto"/>
          <w:kern w:val="2"/>
          <w:sz w:val="24"/>
          <w:szCs w:val="24"/>
          <w:lang w:val="en-US" w:eastAsia="zh-CN" w:bidi="ar-SA"/>
        </w:rPr>
        <w:t>服务地点（合同履行地点）：</w:t>
      </w:r>
    </w:p>
    <w:p w14:paraId="41148805">
      <w:pPr>
        <w:spacing w:before="24" w:after="24" w:line="360" w:lineRule="auto"/>
        <w:rPr>
          <w:rFonts w:hint="default" w:ascii="宋体" w:hAnsi="宋体" w:eastAsia="宋体" w:cs="宋体"/>
          <w:b/>
          <w:sz w:val="24"/>
          <w:szCs w:val="24"/>
          <w:lang w:val="en-US" w:eastAsia="zh-CN"/>
        </w:rPr>
      </w:pPr>
      <w:r>
        <w:rPr>
          <w:rFonts w:hint="eastAsia" w:ascii="宋体" w:hAnsi="宋体" w:eastAsia="宋体" w:cs="宋体"/>
          <w:b/>
          <w:sz w:val="24"/>
          <w:szCs w:val="24"/>
        </w:rPr>
        <w:t>6.</w:t>
      </w:r>
      <w:bookmarkEnd w:id="44"/>
      <w:bookmarkEnd w:id="45"/>
      <w:bookmarkEnd w:id="46"/>
      <w:bookmarkEnd w:id="47"/>
      <w:bookmarkEnd w:id="48"/>
      <w:bookmarkEnd w:id="49"/>
      <w:bookmarkEnd w:id="50"/>
      <w:bookmarkEnd w:id="51"/>
      <w:bookmarkEnd w:id="52"/>
      <w:r>
        <w:rPr>
          <w:rFonts w:hint="eastAsia" w:ascii="宋体" w:hAnsi="宋体" w:eastAsia="宋体" w:cs="宋体"/>
          <w:b/>
          <w:sz w:val="24"/>
          <w:szCs w:val="24"/>
        </w:rPr>
        <w:t>服务内容</w:t>
      </w:r>
      <w:r>
        <w:rPr>
          <w:rFonts w:hint="eastAsia" w:ascii="宋体" w:hAnsi="宋体" w:eastAsia="宋体" w:cs="宋体"/>
          <w:b/>
          <w:sz w:val="24"/>
          <w:szCs w:val="24"/>
          <w:lang w:val="en-US" w:eastAsia="zh-CN"/>
        </w:rPr>
        <w:t>及服务要求</w:t>
      </w:r>
    </w:p>
    <w:p w14:paraId="37D141C2">
      <w:pPr>
        <w:spacing w:before="24" w:after="24" w:line="360" w:lineRule="auto"/>
        <w:ind w:firstLine="482" w:firstLineChars="200"/>
        <w:rPr>
          <w:rFonts w:hint="eastAsia" w:ascii="宋体" w:hAnsi="宋体" w:eastAsia="宋体" w:cs="宋体"/>
          <w:b w:val="0"/>
          <w:bCs/>
          <w:sz w:val="24"/>
          <w:szCs w:val="24"/>
          <w:u w:val="none"/>
          <w:lang w:eastAsia="zh-CN"/>
        </w:rPr>
      </w:pPr>
      <w:r>
        <w:rPr>
          <w:rFonts w:hint="eastAsia" w:ascii="宋体" w:hAnsi="宋体" w:eastAsia="宋体" w:cs="宋体"/>
          <w:b/>
          <w:bCs w:val="0"/>
          <w:sz w:val="24"/>
          <w:szCs w:val="24"/>
          <w:u w:val="none"/>
        </w:rPr>
        <w:t>服务内容</w:t>
      </w:r>
      <w:r>
        <w:rPr>
          <w:rFonts w:hint="eastAsia" w:ascii="宋体" w:hAnsi="宋体" w:eastAsia="宋体" w:cs="宋体"/>
          <w:b/>
          <w:bCs w:val="0"/>
          <w:sz w:val="24"/>
          <w:szCs w:val="24"/>
          <w:u w:val="none"/>
          <w:lang w:eastAsia="zh-CN"/>
        </w:rPr>
        <w:t>：</w:t>
      </w:r>
      <w:r>
        <w:rPr>
          <w:rFonts w:hint="eastAsia" w:ascii="宋体" w:hAnsi="宋体" w:eastAsia="宋体" w:cs="宋体"/>
          <w:b w:val="0"/>
          <w:bCs/>
          <w:sz w:val="24"/>
          <w:szCs w:val="24"/>
          <w:u w:val="none"/>
          <w:lang w:eastAsia="zh-CN"/>
        </w:rPr>
        <w:t>服务内容包括但不限于:标准的起草审定、考察调研、专家评审、意见征询、标准查新等项目实施过程中的咨询服务。以及标准咨询服务过程中产生的会议费、评审费、文印费等其它费用。</w:t>
      </w:r>
    </w:p>
    <w:p w14:paraId="7F2D0D1C">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textAlignment w:val="auto"/>
        <w:rPr>
          <w:rFonts w:hint="eastAsia" w:ascii="宋体" w:hAnsi="宋体" w:eastAsia="宋体" w:cs="宋体"/>
          <w:b w:val="0"/>
          <w:bCs/>
          <w:sz w:val="24"/>
          <w:szCs w:val="24"/>
          <w:u w:val="none"/>
          <w:lang w:val="en-US" w:eastAsia="zh-CN"/>
        </w:rPr>
      </w:pPr>
      <w:r>
        <w:rPr>
          <w:rFonts w:hint="eastAsia" w:ascii="宋体" w:hAnsi="宋体" w:eastAsia="宋体" w:cs="宋体"/>
          <w:b/>
          <w:bCs w:val="0"/>
          <w:sz w:val="24"/>
          <w:szCs w:val="24"/>
          <w:u w:val="none"/>
          <w:lang w:val="en-US" w:eastAsia="zh-CN"/>
        </w:rPr>
        <w:t>服务要求：</w:t>
      </w:r>
      <w:r>
        <w:rPr>
          <w:rFonts w:hint="eastAsia" w:ascii="宋体" w:hAnsi="宋体" w:eastAsia="宋体" w:cs="宋体"/>
          <w:b w:val="0"/>
          <w:bCs/>
          <w:sz w:val="24"/>
          <w:szCs w:val="24"/>
          <w:u w:val="none"/>
          <w:lang w:val="en-US" w:eastAsia="zh-CN"/>
        </w:rPr>
        <w:t>1、咨询服务单位应安排具备国家咨询工程师以上职称的人员作为该项目负责人，同时应安排具有市政公用专业、燃气供热工程专业、工程技术经济等专业的人员参与项目。</w:t>
      </w:r>
    </w:p>
    <w:p w14:paraId="24288F3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2、应符合《工程咨询行业管理办法(发改委〔2017〕第9号)》《标准化法》等标准化法规制度，以及城市管理领域建设维护管理相关国家、省、市行业标准规范。</w:t>
      </w:r>
    </w:p>
    <w:p w14:paraId="2EFD7E85">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textAlignment w:val="auto"/>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3、标准制订咨询服务实施流程应完整准确，体现咨询机构在整个咨询过程中的专业引导作用，并能够引导、协助编制小组顺利推进项目。能够确定每项地方标准设置的运作目标，设置完善的保障措施，保障各个阶段的咨询服务质量。</w:t>
      </w:r>
    </w:p>
    <w:p w14:paraId="226F14F6">
      <w:pPr>
        <w:keepNext w:val="0"/>
        <w:keepLines w:val="0"/>
        <w:pageBreakBefore w:val="0"/>
        <w:widowControl w:val="0"/>
        <w:kinsoku/>
        <w:wordWrap/>
        <w:overflowPunct/>
        <w:topLinePunct w:val="0"/>
        <w:autoSpaceDE/>
        <w:autoSpaceDN/>
        <w:bidi w:val="0"/>
        <w:adjustRightInd/>
        <w:snapToGrid/>
        <w:spacing w:line="360" w:lineRule="auto"/>
        <w:ind w:left="0" w:right="0" w:firstLine="426" w:firstLineChars="200"/>
        <w:textAlignment w:val="auto"/>
        <w:rPr>
          <w:rFonts w:hint="eastAsia" w:ascii="宋体" w:hAnsi="宋体" w:eastAsia="宋体" w:cs="宋体"/>
          <w:b/>
          <w:sz w:val="24"/>
          <w:szCs w:val="24"/>
          <w:lang w:val="en-US" w:eastAsia="zh-CN"/>
        </w:rPr>
      </w:pPr>
      <w:r>
        <w:rPr>
          <w:rFonts w:ascii="宋体" w:hAnsi="宋体" w:eastAsia="宋体" w:cs="宋体"/>
          <w:b/>
          <w:bCs/>
          <w:spacing w:val="-14"/>
          <w:sz w:val="24"/>
          <w:szCs w:val="24"/>
        </w:rPr>
        <w:t>成果提交：</w:t>
      </w:r>
      <w:r>
        <w:rPr>
          <w:rFonts w:ascii="宋体" w:hAnsi="宋体" w:eastAsia="宋体" w:cs="宋体"/>
          <w:spacing w:val="1"/>
          <w:sz w:val="24"/>
          <w:szCs w:val="24"/>
        </w:rPr>
        <w:t>按采购人要求的格式及数量提交</w:t>
      </w:r>
      <w:r>
        <w:rPr>
          <w:rFonts w:hint="eastAsia" w:ascii="宋体" w:hAnsi="宋体" w:eastAsia="宋体" w:cs="宋体"/>
          <w:spacing w:val="1"/>
          <w:sz w:val="24"/>
          <w:szCs w:val="24"/>
          <w:lang w:val="en-US" w:eastAsia="zh-CN"/>
        </w:rPr>
        <w:t>地方</w:t>
      </w:r>
      <w:r>
        <w:rPr>
          <w:rFonts w:ascii="宋体" w:hAnsi="宋体" w:eastAsia="宋体" w:cs="宋体"/>
          <w:spacing w:val="1"/>
          <w:sz w:val="24"/>
          <w:szCs w:val="24"/>
        </w:rPr>
        <w:t>标准制订成果文件</w:t>
      </w:r>
      <w:r>
        <w:rPr>
          <w:rFonts w:hint="eastAsia" w:ascii="宋体" w:hAnsi="宋体" w:eastAsia="宋体" w:cs="宋体"/>
          <w:spacing w:val="1"/>
          <w:sz w:val="24"/>
          <w:szCs w:val="24"/>
          <w:lang w:eastAsia="zh-CN"/>
        </w:rPr>
        <w:t>。</w:t>
      </w:r>
    </w:p>
    <w:p w14:paraId="5A9E3E7E">
      <w:pPr>
        <w:spacing w:before="18" w:line="219" w:lineRule="auto"/>
        <w:ind w:left="3"/>
        <w:outlineLvl w:val="3"/>
        <w:rPr>
          <w:rFonts w:ascii="宋体" w:hAnsi="宋体" w:eastAsia="宋体" w:cs="宋体"/>
          <w:sz w:val="24"/>
          <w:szCs w:val="24"/>
        </w:rPr>
      </w:pPr>
      <w:r>
        <w:rPr>
          <w:rFonts w:ascii="宋体" w:hAnsi="宋体" w:eastAsia="宋体" w:cs="宋体"/>
          <w:b/>
          <w:bCs/>
          <w:spacing w:val="-6"/>
          <w:sz w:val="24"/>
          <w:szCs w:val="24"/>
        </w:rPr>
        <w:t>7.双方的权利义务</w:t>
      </w:r>
    </w:p>
    <w:p w14:paraId="5ABE20E3">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7.1 甲方的权利及义务：</w:t>
      </w:r>
    </w:p>
    <w:p w14:paraId="586632B6">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7.1.1 甲方有权对乙方的咨询服务提出建议和思路，以使乙方完成的成果要 求更符合项目要求；</w:t>
      </w:r>
    </w:p>
    <w:p w14:paraId="074EFBE5">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7.1.2 甲方有权对乙方的工作过程进行监督，如发现问题，甲方有权提出纠 正。在本项目执行过程中，甲方在不妨碍乙方正常工作的情况下，有权检查任何 原始资料；</w:t>
      </w:r>
    </w:p>
    <w:p w14:paraId="0C68A48F">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7.1.3 甲方有义务支付合同约定的相关费用；</w:t>
      </w:r>
    </w:p>
    <w:p w14:paraId="74C5DC2D">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7.1.4 甲方有义务提供有关资料给乙方。</w:t>
      </w:r>
    </w:p>
    <w:p w14:paraId="1C40F4AD">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7.2乙方的权利及义务：</w:t>
      </w:r>
    </w:p>
    <w:p w14:paraId="5FBF2E97">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7.2.1 乙方有权要求甲方提供有关项目资料供乙方参考；</w:t>
      </w:r>
    </w:p>
    <w:p w14:paraId="75658F4E">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w:t>
      </w:r>
      <w:r>
        <w:rPr>
          <w:rFonts w:hint="eastAsia" w:ascii="宋体" w:hAnsi="宋体" w:cs="宋体"/>
          <w:b w:val="0"/>
          <w:bCs/>
          <w:sz w:val="24"/>
          <w:szCs w:val="24"/>
          <w:u w:val="none"/>
          <w:lang w:val="en-US" w:eastAsia="zh-CN"/>
        </w:rPr>
        <w:t>.2.2</w:t>
      </w:r>
      <w:r>
        <w:rPr>
          <w:rFonts w:hint="eastAsia" w:ascii="宋体" w:hAnsi="宋体" w:eastAsia="宋体" w:cs="宋体"/>
          <w:b w:val="0"/>
          <w:bCs/>
          <w:sz w:val="24"/>
          <w:szCs w:val="24"/>
          <w:u w:val="none"/>
          <w:lang w:val="en-US" w:eastAsia="zh-CN"/>
        </w:rPr>
        <w:t>乙方有权要求甲方按照合同约定支付相应款项；</w:t>
      </w:r>
    </w:p>
    <w:p w14:paraId="156814E5">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7.2.3 乙方需按照甲方的要求提供咨询服务；</w:t>
      </w:r>
    </w:p>
    <w:p w14:paraId="1446431F">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7.2.4乙方需按照合同约定交付成果；</w:t>
      </w:r>
    </w:p>
    <w:p w14:paraId="3AC69EDA">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7.2.5 乙方需主动与甲方沟通相关事项的细节；</w:t>
      </w:r>
    </w:p>
    <w:p w14:paraId="13CB4C4E">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7.2.6 乙方履行本合同过程中，造成的任何人身损害、财产损失，由乙方自 行承担全部责任；</w:t>
      </w:r>
    </w:p>
    <w:p w14:paraId="7306C01E">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7.2.7 乙方对项目涉及内容负有保密责任，未经甲方授权，不得向任何第三 方提供项目内容。本协议项下工作成果归甲方所有，未经甲方同意，乙方不得以 任何形式利用该工作成果。乙方保证其提交的工作成果不侵犯任何其他方的商业 秘密、所有权和知识产权及其他合法权益，否则一切法律责任由乙方承担；</w:t>
      </w:r>
    </w:p>
    <w:p w14:paraId="5A7AFFB9">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7.2.8 乙方需根据甲方要求进行项目汇报工作。</w:t>
      </w:r>
    </w:p>
    <w:p w14:paraId="447458CD">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7.2.9 乙方应保证足够的项目组成人员，独立开展项目咨询评估等工作，若 确有必要，甲方可提供协调沟通帮助。</w:t>
      </w:r>
    </w:p>
    <w:p w14:paraId="335BE568">
      <w:pPr>
        <w:spacing w:before="24" w:after="24" w:line="360" w:lineRule="auto"/>
        <w:rPr>
          <w:rFonts w:hint="eastAsia" w:ascii="宋体" w:hAnsi="宋体" w:eastAsia="宋体" w:cs="宋体"/>
          <w:b/>
          <w:sz w:val="24"/>
          <w:szCs w:val="24"/>
        </w:rPr>
      </w:pPr>
      <w:r>
        <w:rPr>
          <w:rFonts w:hint="eastAsia" w:ascii="宋体" w:hAnsi="宋体" w:cs="宋体"/>
          <w:b/>
          <w:sz w:val="24"/>
          <w:szCs w:val="24"/>
          <w:lang w:val="en-US" w:eastAsia="zh-CN"/>
        </w:rPr>
        <w:t>8</w:t>
      </w:r>
      <w:r>
        <w:rPr>
          <w:rFonts w:hint="eastAsia" w:ascii="宋体" w:hAnsi="宋体" w:eastAsia="宋体" w:cs="宋体"/>
          <w:b/>
          <w:sz w:val="24"/>
          <w:szCs w:val="24"/>
        </w:rPr>
        <w:t>.合同争议的解决</w:t>
      </w:r>
    </w:p>
    <w:p w14:paraId="3719CAB3">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合同执行中发生争议的，当事人双方应协商解决。协商达不成一致时，可向当地行政仲裁机关申请仲裁或者向人民法院提请诉讼。</w:t>
      </w:r>
    </w:p>
    <w:p w14:paraId="036D54ED">
      <w:pPr>
        <w:spacing w:before="24" w:after="24" w:line="360" w:lineRule="auto"/>
        <w:jc w:val="left"/>
        <w:rPr>
          <w:rFonts w:hint="eastAsia" w:ascii="宋体" w:hAnsi="宋体" w:eastAsia="宋体" w:cs="宋体"/>
          <w:b/>
          <w:bCs/>
          <w:sz w:val="24"/>
          <w:szCs w:val="24"/>
        </w:rPr>
      </w:pPr>
      <w:r>
        <w:rPr>
          <w:rFonts w:hint="eastAsia" w:ascii="宋体" w:hAnsi="宋体" w:cs="宋体"/>
          <w:b/>
          <w:bCs/>
          <w:sz w:val="24"/>
          <w:szCs w:val="24"/>
          <w:lang w:val="en-US" w:eastAsia="zh-CN"/>
        </w:rPr>
        <w:t>9</w:t>
      </w:r>
      <w:r>
        <w:rPr>
          <w:rFonts w:hint="eastAsia" w:ascii="宋体" w:hAnsi="宋体" w:eastAsia="宋体" w:cs="宋体"/>
          <w:b/>
          <w:bCs/>
          <w:sz w:val="24"/>
          <w:szCs w:val="24"/>
        </w:rPr>
        <w:t>.不可抗力情况下的免责约定</w:t>
      </w:r>
    </w:p>
    <w:p w14:paraId="582A449C">
      <w:pPr>
        <w:spacing w:before="24" w:after="24"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双方约定不可抗力情况指：双方不可预见、不可避免、不可克服的客观情况， 但不包括双方的违约或疏忽。这些事件包括但不限于：战争、严重火灾、洪水、 台风、地震等。</w:t>
      </w:r>
    </w:p>
    <w:p w14:paraId="623EFE50">
      <w:pPr>
        <w:spacing w:before="24" w:after="24" w:line="360" w:lineRule="auto"/>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val="en-US" w:eastAsia="zh-CN"/>
        </w:rPr>
        <w:t>0</w:t>
      </w:r>
      <w:r>
        <w:rPr>
          <w:rFonts w:hint="eastAsia" w:ascii="宋体" w:hAnsi="宋体" w:eastAsia="宋体" w:cs="宋体"/>
          <w:b/>
          <w:sz w:val="24"/>
          <w:szCs w:val="24"/>
        </w:rPr>
        <w:t>.违约责任</w:t>
      </w:r>
    </w:p>
    <w:p w14:paraId="678C96E6">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10.1 若乙方未按照合同约定的时间完成甲方服务项目，甲方有权要求乙方 按照合同总价款10%承担违约责任，并赔偿因违约造成的损失。逾期超过10日 的，甲方有权解除合同，乙方应返还已收取的费用，并另行支付合同总额30% 的违约金。</w:t>
      </w:r>
    </w:p>
    <w:p w14:paraId="6C4BF27E">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10.2 乙方未按照合同约定的标准提供服务或服务成果未通过甲方审查和验收的，甲方有权要求乙方按照合同总价款30%承担违约责任，并赔偿因违约造成的损失。经修改仍未不符合或乙方拒绝修改的，甲方有权解除合同，乙方应返还已收取的费用，并另行支付合同总额30%的违约金。</w:t>
      </w:r>
    </w:p>
    <w:p w14:paraId="4FFCD2B3">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10.3 乙方违反合同约定的保密协议，将商业机密泄露的，视为乙方违约， 甲方有权要求乙方按照合同总价款20%承担违约责任，并赔偿因违约造成的损失。</w:t>
      </w:r>
    </w:p>
    <w:p w14:paraId="283B341F">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10.4乙方保证其服务成果不存在侵犯其他第三方知识产权或其他权益的情形(甲方提供的内容除外),否则，甲方有权单方解除合同，乙方应返还已收取的费用，并另行支付合同总额20%的违约金。</w:t>
      </w:r>
    </w:p>
    <w:p w14:paraId="620284FD">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10.5 本合同生效后，如果任何一方违约，守约方为维护权益，向违约方追偿的一切费用包括但不限于律师费、诉讼费、保全费、保全担保费或保险费、鉴 定费、差旅费，由违约方承担。</w:t>
      </w:r>
    </w:p>
    <w:p w14:paraId="19D6DCF2">
      <w:pPr>
        <w:spacing w:before="24" w:after="24" w:line="360" w:lineRule="auto"/>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val="en-US" w:eastAsia="zh-CN"/>
        </w:rPr>
        <w:t>1.</w:t>
      </w:r>
      <w:r>
        <w:rPr>
          <w:rFonts w:hint="eastAsia" w:ascii="宋体" w:hAnsi="宋体" w:eastAsia="宋体" w:cs="宋体"/>
          <w:b/>
          <w:sz w:val="24"/>
          <w:szCs w:val="24"/>
        </w:rPr>
        <w:t>合同订立</w:t>
      </w:r>
    </w:p>
    <w:p w14:paraId="3E063B2E">
      <w:pPr>
        <w:adjustRightInd w:val="0"/>
        <w:snapToGrid w:val="0"/>
        <w:spacing w:before="24" w:after="24"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B44A6F2">
      <w:pPr>
        <w:adjustRightInd w:val="0"/>
        <w:snapToGrid w:val="0"/>
        <w:spacing w:before="24" w:after="24"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5107F5">
      <w:pPr>
        <w:spacing w:before="75" w:line="220" w:lineRule="auto"/>
        <w:ind w:left="3"/>
        <w:outlineLvl w:val="4"/>
        <w:rPr>
          <w:rFonts w:ascii="宋体" w:hAnsi="宋体" w:eastAsia="宋体" w:cs="宋体"/>
          <w:sz w:val="23"/>
          <w:szCs w:val="23"/>
        </w:rPr>
      </w:pPr>
      <w:r>
        <w:rPr>
          <w:rFonts w:ascii="宋体" w:hAnsi="宋体" w:eastAsia="宋体" w:cs="宋体"/>
          <w:b/>
          <w:bCs/>
          <w:sz w:val="23"/>
          <w:szCs w:val="23"/>
        </w:rPr>
        <w:t>12.合同生效</w:t>
      </w:r>
    </w:p>
    <w:p w14:paraId="1A45BED7">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12.1本合同自双方签字并盖章之日起生效，双方签字盖章的日期不在同一日的，以最后一方签字盖章的日期为合同生效日期。</w:t>
      </w:r>
    </w:p>
    <w:p w14:paraId="4312DF98">
      <w:pPr>
        <w:spacing w:before="24" w:after="24" w:line="360" w:lineRule="auto"/>
        <w:ind w:firstLine="480" w:firstLineChars="200"/>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12.2 合同文本壹式捌份，双方各执肆份，具有同等法律效力，合同执行完 毕自动失效。(合同的服务承诺则长期有效)。</w:t>
      </w:r>
    </w:p>
    <w:p w14:paraId="7B5166B3">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b w:val="0"/>
          <w:bCs/>
          <w:sz w:val="24"/>
          <w:szCs w:val="24"/>
          <w:u w:val="none"/>
          <w:lang w:val="en-US" w:eastAsia="zh-CN"/>
        </w:rPr>
      </w:pPr>
      <w:r>
        <w:rPr>
          <w:rFonts w:hint="eastAsia" w:ascii="宋体" w:hAnsi="宋体" w:eastAsia="宋体" w:cs="宋体"/>
          <w:b w:val="0"/>
          <w:bCs/>
          <w:sz w:val="24"/>
          <w:szCs w:val="24"/>
          <w:u w:val="none"/>
          <w:lang w:val="en-US" w:eastAsia="zh-CN"/>
        </w:rPr>
        <w:t>12.3 本合同约定的当事人联系方式和联系信息，适用于双方往来联系、书 面文件送达及争议解决时法律文书送达。因当事人改变联系方式和联系信息未及 时通知另一方或当事人失联、拒收等原因而未能直接送达的，自按本合同约定的 联系信息交邮后第5日视为送达。</w:t>
      </w:r>
    </w:p>
    <w:p w14:paraId="08AAFE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b w:val="0"/>
          <w:bCs/>
          <w:sz w:val="24"/>
          <w:szCs w:val="24"/>
          <w:u w:val="none"/>
          <w:lang w:val="en-US" w:eastAsia="zh-CN"/>
        </w:rPr>
        <w:t>12.4本合同如有未尽事宜，甲、乙双方协商解决。另行订立补充协议，补</w:t>
      </w:r>
    </w:p>
    <w:p w14:paraId="05EE85D2">
      <w:pPr>
        <w:keepNext w:val="0"/>
        <w:keepLines w:val="0"/>
        <w:pageBreakBefore w:val="0"/>
        <w:widowControl w:val="0"/>
        <w:kinsoku/>
        <w:wordWrap/>
        <w:overflowPunct/>
        <w:topLinePunct w:val="0"/>
        <w:autoSpaceDE/>
        <w:autoSpaceDN/>
        <w:bidi w:val="0"/>
        <w:adjustRightInd/>
        <w:snapToGrid/>
        <w:spacing w:before="45" w:line="360" w:lineRule="auto"/>
        <w:textAlignment w:val="auto"/>
        <w:rPr>
          <w:rFonts w:ascii="宋体" w:hAnsi="宋体" w:eastAsia="宋体" w:cs="宋体"/>
          <w:sz w:val="23"/>
          <w:szCs w:val="23"/>
        </w:rPr>
      </w:pPr>
      <w:r>
        <w:rPr>
          <w:rFonts w:ascii="宋体" w:hAnsi="宋体" w:eastAsia="宋体" w:cs="宋体"/>
          <w:spacing w:val="7"/>
          <w:sz w:val="23"/>
          <w:szCs w:val="23"/>
        </w:rPr>
        <w:t>充协议与本协议具有同样的法律效力。</w:t>
      </w:r>
    </w:p>
    <w:p w14:paraId="277ED706">
      <w:pPr>
        <w:keepNext w:val="0"/>
        <w:keepLines w:val="0"/>
        <w:pageBreakBefore w:val="0"/>
        <w:widowControl w:val="0"/>
        <w:kinsoku/>
        <w:wordWrap/>
        <w:overflowPunct/>
        <w:topLinePunct w:val="0"/>
        <w:autoSpaceDE/>
        <w:autoSpaceDN/>
        <w:bidi w:val="0"/>
        <w:adjustRightInd/>
        <w:snapToGrid/>
        <w:spacing w:before="24" w:after="24" w:line="360" w:lineRule="auto"/>
        <w:ind w:firstLine="482" w:firstLineChars="200"/>
        <w:textAlignment w:val="auto"/>
        <w:rPr>
          <w:rFonts w:hint="eastAsia" w:ascii="宋体" w:hAnsi="宋体" w:eastAsia="宋体" w:cs="宋体"/>
          <w:b/>
          <w:sz w:val="24"/>
          <w:szCs w:val="24"/>
        </w:rPr>
      </w:pPr>
    </w:p>
    <w:p w14:paraId="1C98B046">
      <w:pPr>
        <w:spacing w:before="24" w:after="24"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甲方</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乙方</w:t>
      </w:r>
      <w:r>
        <w:rPr>
          <w:rFonts w:hint="eastAsia" w:ascii="宋体" w:hAnsi="宋体" w:eastAsia="宋体" w:cs="宋体"/>
          <w:b/>
          <w:bCs/>
          <w:sz w:val="24"/>
          <w:szCs w:val="24"/>
        </w:rPr>
        <w:t>：</w:t>
      </w:r>
    </w:p>
    <w:p w14:paraId="3F9E9A5F">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地址：</w:t>
      </w:r>
    </w:p>
    <w:p w14:paraId="51E2C107">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法定代表人或</w:t>
      </w:r>
      <w:r>
        <w:rPr>
          <w:rFonts w:hint="eastAsia" w:ascii="宋体" w:hAnsi="宋体" w:eastAsia="宋体" w:cs="宋体"/>
          <w:sz w:val="24"/>
          <w:szCs w:val="24"/>
        </w:rPr>
        <w:t xml:space="preserve">                             </w:t>
      </w:r>
      <w:r>
        <w:rPr>
          <w:rFonts w:hint="eastAsia" w:ascii="宋体" w:hAnsi="宋体" w:eastAsia="宋体" w:cs="宋体"/>
          <w:sz w:val="24"/>
          <w:szCs w:val="24"/>
          <w:lang w:val="zh-CN"/>
        </w:rPr>
        <w:t>法定代表人</w:t>
      </w:r>
    </w:p>
    <w:p w14:paraId="5B09878B">
      <w:pPr>
        <w:spacing w:before="24" w:after="24"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被授权人（签字）：                       或被授权人（签字）:</w:t>
      </w:r>
    </w:p>
    <w:p w14:paraId="2F7F9437">
      <w:pPr>
        <w:spacing w:before="24" w:after="24"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联系人：                                 联系人：</w:t>
      </w:r>
    </w:p>
    <w:p w14:paraId="4BA691EF">
      <w:pPr>
        <w:spacing w:before="24" w:after="24"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邮政编码：                               邮政编码：</w:t>
      </w:r>
    </w:p>
    <w:p w14:paraId="3BDFEBCC">
      <w:pPr>
        <w:spacing w:before="24" w:after="24"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电话:                                    电话:</w:t>
      </w:r>
    </w:p>
    <w:p w14:paraId="29A061B2">
      <w:pPr>
        <w:spacing w:before="24" w:after="24"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传真:                                    传真:</w:t>
      </w:r>
    </w:p>
    <w:p w14:paraId="217C2B2E">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电子邮箱：                               电子邮箱：</w:t>
      </w:r>
    </w:p>
    <w:p w14:paraId="2E62B81F">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62944FAC">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开户名称：                               开户名称：</w:t>
      </w:r>
    </w:p>
    <w:p w14:paraId="41EC2D07">
      <w:pPr>
        <w:spacing w:before="24" w:after="24"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开户账号：</w:t>
      </w:r>
      <w:r>
        <w:rPr>
          <w:rFonts w:hint="eastAsia" w:ascii="宋体" w:hAnsi="宋体" w:eastAsia="宋体" w:cs="宋体"/>
          <w:sz w:val="24"/>
          <w:szCs w:val="24"/>
          <w:lang w:val="zh-CN"/>
        </w:rPr>
        <w:t xml:space="preserve">                               </w:t>
      </w:r>
      <w:r>
        <w:rPr>
          <w:rFonts w:hint="eastAsia" w:ascii="宋体" w:hAnsi="宋体" w:eastAsia="宋体" w:cs="宋体"/>
          <w:sz w:val="24"/>
          <w:szCs w:val="24"/>
        </w:rPr>
        <w:t>开户账号：</w:t>
      </w:r>
    </w:p>
    <w:p w14:paraId="782FF3CB"/>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089F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5DE89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5DE89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DE238">
    <w:pPr>
      <w:spacing w:line="173" w:lineRule="auto"/>
      <w:ind w:left="4100"/>
      <w:rPr>
        <w:rFonts w:ascii="Times New Roman" w:hAnsi="Times New Roman" w:eastAsia="Times New Roman" w:cs="Times New Roman"/>
        <w:sz w:val="14"/>
        <w:szCs w:val="14"/>
      </w:rPr>
    </w:pPr>
    <w:r>
      <w:rPr>
        <w:sz w:val="1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D2D5F7">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FD2D5F7">
                    <w:pPr>
                      <w:pStyle w:val="8"/>
                    </w:pPr>
                    <w:r>
                      <w:fldChar w:fldCharType="begin"/>
                    </w:r>
                    <w:r>
                      <w:instrText xml:space="preserve"> PAGE  \* MERGEFORMAT </w:instrText>
                    </w:r>
                    <w:r>
                      <w:fldChar w:fldCharType="separate"/>
                    </w:r>
                    <w:r>
                      <w:t>5</w:t>
                    </w:r>
                    <w:r>
                      <w:fldChar w:fldCharType="end"/>
                    </w:r>
                  </w:p>
                </w:txbxContent>
              </v:textbox>
            </v:shape>
          </w:pict>
        </mc:Fallback>
      </mc:AlternateContent>
    </w:r>
    <w:r>
      <w:rPr>
        <w:rFonts w:ascii="Times New Roman" w:hAnsi="Times New Roman" w:eastAsia="Times New Roman" w:cs="Times New Roman"/>
        <w:sz w:val="14"/>
        <w:szCs w:val="14"/>
      </w:rPr>
      <w:t>4</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ZDE4YzZkYWQ2OTI1MzQ5OWViMzE2MDM3MzA2NjAifQ=="/>
  </w:docVars>
  <w:rsids>
    <w:rsidRoot w:val="00000000"/>
    <w:rsid w:val="11BB253C"/>
    <w:rsid w:val="1A0F6516"/>
    <w:rsid w:val="22F917F3"/>
    <w:rsid w:val="23152417"/>
    <w:rsid w:val="3CEB6517"/>
    <w:rsid w:val="541339CB"/>
    <w:rsid w:val="62A570D5"/>
    <w:rsid w:val="65571A5D"/>
    <w:rsid w:val="666B5E4F"/>
    <w:rsid w:val="6ADE077C"/>
    <w:rsid w:val="6B754EA0"/>
    <w:rsid w:val="6CD04C5E"/>
    <w:rsid w:val="749E2F3C"/>
    <w:rsid w:val="79AC25AE"/>
    <w:rsid w:val="7CE3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44"/>
    </w:rPr>
  </w:style>
  <w:style w:type="paragraph" w:styleId="3">
    <w:name w:val="heading 2"/>
    <w:basedOn w:val="1"/>
    <w:next w:val="1"/>
    <w:semiHidden/>
    <w:unhideWhenUsed/>
    <w:qFormat/>
    <w:uiPriority w:val="0"/>
    <w:pPr>
      <w:keepNext/>
      <w:keepLines/>
      <w:spacing w:line="360" w:lineRule="auto"/>
      <w:jc w:val="left"/>
      <w:outlineLvl w:val="1"/>
    </w:pPr>
    <w:rPr>
      <w:rFonts w:ascii="Arial" w:hAnsi="Arial" w:eastAsia="宋体" w:cs="宋体"/>
      <w:b/>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1"/>
    </w:rPr>
  </w:style>
  <w:style w:type="paragraph" w:styleId="5">
    <w:name w:val="toc 4"/>
    <w:basedOn w:val="1"/>
    <w:next w:val="1"/>
    <w:unhideWhenUsed/>
    <w:qFormat/>
    <w:uiPriority w:val="39"/>
    <w:pPr>
      <w:ind w:left="1260" w:leftChars="600"/>
    </w:pPr>
  </w:style>
  <w:style w:type="paragraph" w:styleId="6">
    <w:name w:val="Body Text"/>
    <w:basedOn w:val="1"/>
    <w:qFormat/>
    <w:uiPriority w:val="0"/>
    <w:pPr>
      <w:jc w:val="left"/>
    </w:pPr>
    <w:rPr>
      <w:rFonts w:ascii="Copperplate Gothic Bold" w:hAnsi="Copperplate Gothic Bold"/>
      <w:sz w:val="28"/>
    </w:rPr>
  </w:style>
  <w:style w:type="paragraph" w:styleId="7">
    <w:name w:val="HTML Address"/>
    <w:basedOn w:val="1"/>
    <w:qFormat/>
    <w:uiPriority w:val="0"/>
    <w:pPr>
      <w:widowControl/>
      <w:jc w:val="left"/>
    </w:pPr>
    <w:rPr>
      <w:rFonts w:hAnsi="宋体" w:cs="宋体"/>
      <w:i/>
      <w:iCs/>
      <w:szCs w:val="24"/>
    </w:rPr>
  </w:style>
  <w:style w:type="paragraph" w:styleId="8">
    <w:name w:val="footer"/>
    <w:basedOn w:val="1"/>
    <w:next w:val="7"/>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99"/>
    <w:pPr>
      <w:ind w:firstLine="420" w:firstLineChars="2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2469</Words>
  <Characters>2605</Characters>
  <Lines>0</Lines>
  <Paragraphs>0</Paragraphs>
  <TotalTime>4</TotalTime>
  <ScaleCrop>false</ScaleCrop>
  <LinksUpToDate>false</LinksUpToDate>
  <CharactersWithSpaces>3333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2022-03-22T01:06:00Z</dcterms:created>
  <dc:creator>Administrator</dc:creator>
  <cp:lastModifiedBy>晶.</cp:lastModifiedBy>
  <dcterms:modified xsi:type="dcterms:W3CDTF">2025-06-25T04:06:42Z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B9B9FCAB7376419C9C12660216F4D85C</vt:lpwstr>
  </property>
  <property fmtid="{D5CDD505-2E9C-101B-9397-08002B2CF9AE}" pid="4" name="KSOTemplateDocerSaveRecord">
    <vt:lpwstr>eyJoZGlkIjoiMjFjNTUzYTc2MzBiNWI1ZDE0ZTBiZjJlZmMxODg1YWQiLCJ1c2VySWQiOiI0MzUwNzIzOTMifQ==</vt:lpwstr>
  </property>
</Properties>
</file>