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版本号：KY2025-1-64020250624001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2025年度人社年度业务数据分析应用服务项目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KY2025-1-640</w:t>
      </w:r>
      <w:r>
        <w:br/>
      </w:r>
      <w:r>
        <w:br/>
      </w:r>
      <w:r>
        <w:br/>
      </w:r>
    </w:p>
    <w:p>
      <w:pPr>
        <w:pStyle w:val="null3"/>
        <w:jc w:val="center"/>
        <w:outlineLvl w:val="2"/>
      </w:pPr>
      <w:r>
        <w:rPr>
          <w:rFonts w:ascii="仿宋_GB2312" w:hAnsi="仿宋_GB2312" w:cs="仿宋_GB2312" w:eastAsia="仿宋_GB2312"/>
          <w:sz w:val="28"/>
          <w:b/>
        </w:rPr>
        <w:t>西安市人力资源和社会保障局信息中心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西安市人力资源和社会保障局信息中心</w:t>
      </w:r>
      <w:r>
        <w:rPr>
          <w:rFonts w:ascii="仿宋_GB2312" w:hAnsi="仿宋_GB2312" w:cs="仿宋_GB2312" w:eastAsia="仿宋_GB2312"/>
        </w:rPr>
        <w:t>委托，拟对</w:t>
      </w:r>
      <w:r>
        <w:rPr>
          <w:rFonts w:ascii="仿宋_GB2312" w:hAnsi="仿宋_GB2312" w:cs="仿宋_GB2312" w:eastAsia="仿宋_GB2312"/>
        </w:rPr>
        <w:t>2025年度人社年度业务数据分析应用服务项目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2025年度人社年度业务数据分析应用服务项目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西安市人力资源和社会保障局信息中心2025年度人社年度业务数据分析应用服务项目，1项，为进一步加强人社数据应用，通过公共服务体系完善、人社数据 质量提升、人社数据统计分析等服务维护，保证西安人社基础库系统、 西安人社公共服务平台的稳定运行，保证系统对业务需求的快速有效响应。具体详见第三章 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4、社会保障资金缴存证明：提供2024年6月至今已缴存的至少一个月的社会保障资金缴存单据或社保机构开具的社会保险参保缴费情况证明，依法不需要缴存社会保障资金的单位应提供相关证明材料。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被授权人须提供2024年6月至今在本单位缴纳的连续六个月的社会保障资金缴存单据或社保机构开具的社会保险参保缴费情况证明，法定代表人直接投标只须提交其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西安市人力资源和社会保障局信息中心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陕西省西安市雁塔区建工路28A号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029-82282994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规定的招标代理服务收费标准下浮10%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西安市人力资源和社会保障局信息中心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西安市人力资源和社会保障局信息中心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西安市人力资源和社会保障局信息中心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依据磋商文件、响应文件要求及合同约定执行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为进一步加强人社数据应用，通过公共服务体系完善、人社数据 质量提升、人社数据统计分析等服务维护，保证西安人社基础库系统、 西安人社公共服务平台的稳定运行，保证系统对业务需求的快速有效响应。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1,332,000.00</w:t>
      </w:r>
    </w:p>
    <w:p>
      <w:pPr>
        <w:pStyle w:val="null3"/>
      </w:pPr>
      <w:r>
        <w:rPr>
          <w:rFonts w:ascii="仿宋_GB2312" w:hAnsi="仿宋_GB2312" w:cs="仿宋_GB2312" w:eastAsia="仿宋_GB2312"/>
        </w:rPr>
        <w:t>采购包最高限价（元）: 1,332,000.00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业务数据分析应用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标的名称：业务数据分析应用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项目概况</w:t>
            </w:r>
            <w:r>
              <w:rPr>
                <w:rFonts w:ascii="仿宋_GB2312" w:hAnsi="仿宋_GB2312" w:cs="仿宋_GB2312" w:eastAsia="仿宋_GB2312"/>
                <w:sz w:val="24"/>
                <w:b/>
              </w:rPr>
              <w:t>和</w:t>
            </w:r>
            <w:r>
              <w:rPr>
                <w:rFonts w:ascii="仿宋_GB2312" w:hAnsi="仿宋_GB2312" w:cs="仿宋_GB2312" w:eastAsia="仿宋_GB2312"/>
                <w:sz w:val="24"/>
                <w:b/>
              </w:rPr>
              <w:t>建设目标</w:t>
            </w:r>
          </w:p>
          <w:p>
            <w:pPr>
              <w:pStyle w:val="null3"/>
              <w:ind w:firstLine="480"/>
              <w:jc w:val="both"/>
            </w:pPr>
            <w:r>
              <w:rPr>
                <w:rFonts w:ascii="仿宋_GB2312" w:hAnsi="仿宋_GB2312" w:cs="仿宋_GB2312" w:eastAsia="仿宋_GB2312"/>
                <w:sz w:val="24"/>
              </w:rPr>
              <w:t>为进一步加强人社数据应用，通过公共服务体系完善、人社数据质量提升、人社数据统计分析等服务维护，保证西安人社基础库系统、西安人社公共服务平台的稳定运行，保证系统对业务需求的快速有效响应。</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包括社保卡应用</w:t>
            </w:r>
            <w:r>
              <w:rPr>
                <w:rFonts w:ascii="仿宋_GB2312" w:hAnsi="仿宋_GB2312" w:cs="仿宋_GB2312" w:eastAsia="仿宋_GB2312"/>
                <w:sz w:val="24"/>
              </w:rPr>
              <w:t>(公共服务平台)建设项目的维护：包含西安人社公共服务平台、西安人事考试网、公共招聘网、就业创业培训服务系统的维护。二是人社“好差评”系统对接：与政务好差评对接、与政务办件库对接。三是秦云就业西安平台与省级平台对接开发及数据对接应用：包含与省秦云就业微信小程序对接、移动端公招网维护、现有就业、职介、培训系统与秦云就业数据对接。四是人社公共数据平台维护服务：基于基础支撑系统建设项目—人社基础信息共享平台进行升级和改造。五是西安人社公共服务平台全面维护升级：整合公共服务体系、创新服务方式。对以上业务服务提供运维服务，对系统运行及服务功能等方面进行监测和检查服务，完成安全漏洞的修复完善，并提供数据分析及服务完善。以下为具体要求：</w:t>
            </w:r>
          </w:p>
          <w:p>
            <w:pPr>
              <w:pStyle w:val="null3"/>
              <w:jc w:val="both"/>
            </w:pPr>
            <w:r>
              <w:rPr>
                <w:rFonts w:ascii="仿宋_GB2312" w:hAnsi="仿宋_GB2312" w:cs="仿宋_GB2312" w:eastAsia="仿宋_GB2312"/>
                <w:sz w:val="24"/>
                <w:b/>
              </w:rPr>
              <w:t>2.1西安人社公共服务平台维护</w:t>
            </w:r>
          </w:p>
          <w:p>
            <w:pPr>
              <w:pStyle w:val="null3"/>
              <w:ind w:firstLine="549"/>
              <w:jc w:val="both"/>
            </w:pPr>
            <w:r>
              <w:rPr>
                <w:rFonts w:ascii="仿宋_GB2312" w:hAnsi="仿宋_GB2312" w:cs="仿宋_GB2312" w:eastAsia="仿宋_GB2312"/>
                <w:sz w:val="24"/>
              </w:rPr>
              <w:t>本年度将以现有公共服务平台为依托，持续优化完善西安人社公共服务体系。重点推进服务创新与智能化升级，引入电子地图、音视频（云直播、云点播、云存储等）、人脸识别、文字识别、数字人导办等第三方服务，保障平台系统、业务运行、数据资产及人员信息安全，构建全方位安全防护体系，全面提升公共服务平台的综合服务能力，打造更智能、更安全、更便捷的人社服务体系。实现劳动、就业、社保等业务系统单位、人员和服务机构的信息共享与业务协同，依据重点业务、重点服务、高峰期、各业务经办情况、群众满意度分析结果，对人社公共服务体系进行完善，强化标准实施、简化办事环节、优化服务模式。从人社公共服务层面，以社保、就业及外部门数据为基础，分析人才就业情况、流动趋势、流动原因和流动去向、各类单位人才引进情况、人社服务覆盖情况，为优化人才资源配置提供建议；分析劳动合同的签订率、履行情况，以及劳动纠纷的调解、仲裁和诉讼情况。分析就业数据、薪酬数据、职业培训数据等，了解劳动力市场的需求和供给状况，为政府制定用工政策提供依据。分析劳动争议数据，预警潜在的劳动争议风险，为预防和解决劳动争议提供依据；分析就业服务内容包括技能提升培训服务、创业支持服务、就业指导与援助服务、各类就业补贴发放服务及其他个性化服务，以协助管理人员及时掌握各项人社服务对促进就业影响，以目标为导向提升各项就业服务能力，为服务</w:t>
            </w:r>
            <w:r>
              <w:rPr>
                <w:rFonts w:ascii="仿宋_GB2312" w:hAnsi="仿宋_GB2312" w:cs="仿宋_GB2312" w:eastAsia="仿宋_GB2312"/>
                <w:sz w:val="24"/>
              </w:rPr>
              <w:t>改善优化提供支撑。</w:t>
            </w:r>
          </w:p>
          <w:p>
            <w:pPr>
              <w:pStyle w:val="null3"/>
              <w:jc w:val="both"/>
            </w:pPr>
            <w:r>
              <w:rPr>
                <w:rFonts w:ascii="仿宋_GB2312" w:hAnsi="仿宋_GB2312" w:cs="仿宋_GB2312" w:eastAsia="仿宋_GB2312"/>
                <w:sz w:val="24"/>
                <w:b/>
              </w:rPr>
              <w:t>2.2西安人社基础信息库系统运维</w:t>
            </w:r>
          </w:p>
          <w:p>
            <w:pPr>
              <w:pStyle w:val="null3"/>
              <w:ind w:firstLine="480"/>
              <w:jc w:val="both"/>
            </w:pPr>
            <w:r>
              <w:rPr>
                <w:rFonts w:ascii="仿宋_GB2312" w:hAnsi="仿宋_GB2312" w:cs="仿宋_GB2312" w:eastAsia="仿宋_GB2312"/>
                <w:sz w:val="24"/>
              </w:rPr>
              <w:t>包含人社数据质量提升、人社数据统计分析、人才业务经办分析、劳动关系业务经办分析、就业业务经办分析、人社基础库功能完善等内容，为该系统提供运维服务，对数据资源情况进行分析，对问题数据进行修复，提升人社数据质量，同时开展人社数据统计分析和基础库功能完善服务。</w:t>
            </w:r>
          </w:p>
          <w:p>
            <w:pPr>
              <w:pStyle w:val="null3"/>
              <w:ind w:firstLine="480"/>
              <w:jc w:val="both"/>
            </w:pPr>
            <w:r>
              <w:rPr>
                <w:rFonts w:ascii="仿宋_GB2312" w:hAnsi="仿宋_GB2312" w:cs="仿宋_GB2312" w:eastAsia="仿宋_GB2312"/>
                <w:sz w:val="24"/>
              </w:rPr>
              <w:t>持续归集人社数据及外部数据，对已归集的人社重点数据开展质量分析，制定统一的数据标准和格式，在西安人社共享资源列表模块实时生成数据资源清单和数据共享应用情况清单，同时与人口库、法人库数据进行比对，提高数据的准确性和一致性，持续监控、提升数据质量，形成良性循环，协助业务系统提高风控能力，建立高可靠的数据质量体系，针对重点业务执行情况、疑点数据处置等，提供专业的数据分析服务，为人社政策的执行、政策评估、政策优化、风险预警、服务优化等方面提供数据支撑。从人社业务经办层面，以社保、就业及外部门共享数据为基础，分析人才就业情况、流动趋势、流动原因和流动去向、各类单位人才引进情况、人社服务覆盖情况，为优化人才资源配置提供建议与指导；分析劳动合同的签订率、履行情况，以及劳动纠纷的调解、仲裁和诉讼情况。分析就业数据、薪酬数据、职业培训数据等，了解劳动力市场的需求和供给状况，为政府制定用工政策提供依据。分析劳动争议数据，预警潜在的劳动争议风险，为预防和解决劳动争议提供依据；分析就业服务内容包括技能提升培训服务、创业支持服务、就业指导与援助服务、各类就业补贴发放服务及其他个性化服务，以协助管理人员及时掌握各项人社服务对促进就业影响，以目标为导向提升各项就业服务能力，为服务改善优化提供支撑。根据归集的基础数据以及新增的共享数据（服务），在西安人社基础库系统中开发相关数据查询、数据核验功能，并加强系统运维日志管理，记录关键操作以便后续追溯，保障数据安全，同时对数据分析需求进行分析，将业务常用的数据分析需求在人社基础库系统中开发系统功能。</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color w:val="000000"/>
              </w:rPr>
              <w:t>技术要求</w:t>
            </w:r>
          </w:p>
          <w:p>
            <w:pPr>
              <w:pStyle w:val="null3"/>
              <w:ind w:firstLine="482"/>
              <w:jc w:val="both"/>
            </w:pPr>
            <w:r>
              <w:rPr>
                <w:rFonts w:ascii="仿宋_GB2312" w:hAnsi="仿宋_GB2312" w:cs="仿宋_GB2312" w:eastAsia="仿宋_GB2312"/>
                <w:sz w:val="24"/>
                <w:b/>
              </w:rPr>
              <w:t>3.1数据维护</w:t>
            </w:r>
          </w:p>
          <w:p>
            <w:pPr>
              <w:pStyle w:val="null3"/>
              <w:ind w:firstLine="480"/>
              <w:jc w:val="both"/>
            </w:pPr>
            <w:r>
              <w:rPr>
                <w:rFonts w:ascii="仿宋_GB2312" w:hAnsi="仿宋_GB2312" w:cs="仿宋_GB2312" w:eastAsia="仿宋_GB2312"/>
                <w:sz w:val="24"/>
              </w:rPr>
              <w:t>解决历史性的数据错误：例如原应用系统数据迁移所遗留的数据问题；解决因应用系统异常所导致的数据问题；解决因操作人员操作错误引起的数据问题；为业务或信息部门提供临时数据统计或</w:t>
            </w:r>
            <w:r>
              <w:rPr>
                <w:rFonts w:ascii="仿宋_GB2312" w:hAnsi="仿宋_GB2312" w:cs="仿宋_GB2312" w:eastAsia="仿宋_GB2312"/>
                <w:sz w:val="24"/>
              </w:rPr>
              <w:t>SQL编写；为业务或信息部门提供相关统计数据或明细数据。</w:t>
            </w:r>
          </w:p>
          <w:p>
            <w:pPr>
              <w:pStyle w:val="null3"/>
              <w:ind w:firstLine="482"/>
              <w:jc w:val="both"/>
            </w:pPr>
            <w:r>
              <w:rPr>
                <w:rFonts w:ascii="仿宋_GB2312" w:hAnsi="仿宋_GB2312" w:cs="仿宋_GB2312" w:eastAsia="仿宋_GB2312"/>
                <w:sz w:val="24"/>
                <w:b/>
              </w:rPr>
              <w:t>3.2应用系统程序性日常维护</w:t>
            </w:r>
          </w:p>
          <w:p>
            <w:pPr>
              <w:pStyle w:val="null3"/>
              <w:ind w:firstLine="480"/>
              <w:jc w:val="both"/>
            </w:pPr>
            <w:r>
              <w:rPr>
                <w:rFonts w:ascii="仿宋_GB2312" w:hAnsi="仿宋_GB2312" w:cs="仿宋_GB2312" w:eastAsia="仿宋_GB2312"/>
                <w:sz w:val="24"/>
              </w:rPr>
              <w:t>应用系统程序性日常维护主要是针对系统操作人员在日常业务办理中，遇到的通过业务系统无法解决或不知如何解决的问题，包括：</w:t>
            </w:r>
          </w:p>
          <w:p>
            <w:pPr>
              <w:pStyle w:val="null3"/>
              <w:ind w:firstLine="480"/>
              <w:jc w:val="both"/>
            </w:pPr>
            <w:r>
              <w:rPr>
                <w:rFonts w:ascii="仿宋_GB2312" w:hAnsi="仿宋_GB2312" w:cs="仿宋_GB2312" w:eastAsia="仿宋_GB2312"/>
                <w:sz w:val="24"/>
              </w:rPr>
              <w:t>纠错性维护：对应用软件缺陷（错误）的整改，在应用系统运行过程中，针对发现的应用软件缺陷（错误），对应用程序进行及时的修补，并通过软件系统升级和现场服务等方式对应用软件进行升级改造。</w:t>
            </w:r>
          </w:p>
          <w:p>
            <w:pPr>
              <w:pStyle w:val="null3"/>
              <w:ind w:firstLine="480"/>
              <w:jc w:val="both"/>
            </w:pPr>
            <w:r>
              <w:rPr>
                <w:rFonts w:ascii="仿宋_GB2312" w:hAnsi="仿宋_GB2312" w:cs="仿宋_GB2312" w:eastAsia="仿宋_GB2312"/>
                <w:sz w:val="24"/>
              </w:rPr>
              <w:t>适应性维护：是针对软件系统为适应外部环境的变化进行的系统修改，为适应经办人员使用方法的改变或为提高经办人员工作效率进行的程序适应性修改，</w:t>
            </w:r>
            <w:r>
              <w:rPr>
                <w:rFonts w:ascii="仿宋_GB2312" w:hAnsi="仿宋_GB2312" w:cs="仿宋_GB2312" w:eastAsia="仿宋_GB2312"/>
                <w:sz w:val="24"/>
              </w:rPr>
              <w:t>另外由于多种原因，需要增加对应用系统功能，</w:t>
            </w:r>
            <w:r>
              <w:rPr>
                <w:rFonts w:ascii="仿宋_GB2312" w:hAnsi="仿宋_GB2312" w:cs="仿宋_GB2312" w:eastAsia="仿宋_GB2312"/>
                <w:sz w:val="24"/>
              </w:rPr>
              <w:t>对已有的功能进行改善，或因为用户需要而增加的某些模块的事后打印，包括查询功能查询条件或查询结果不能满足用户要求等进行适应性维护。</w:t>
            </w:r>
          </w:p>
          <w:p>
            <w:pPr>
              <w:pStyle w:val="null3"/>
              <w:ind w:firstLine="482"/>
              <w:jc w:val="both"/>
            </w:pPr>
            <w:r>
              <w:rPr>
                <w:rFonts w:ascii="仿宋_GB2312" w:hAnsi="仿宋_GB2312" w:cs="仿宋_GB2312" w:eastAsia="仿宋_GB2312"/>
                <w:sz w:val="24"/>
                <w:b/>
              </w:rPr>
              <w:t>3.3政策咨询及业务经办咨询服务</w:t>
            </w:r>
          </w:p>
          <w:p>
            <w:pPr>
              <w:pStyle w:val="null3"/>
              <w:ind w:firstLine="480"/>
              <w:jc w:val="both"/>
            </w:pPr>
            <w:r>
              <w:rPr>
                <w:rFonts w:ascii="仿宋_GB2312" w:hAnsi="仿宋_GB2312" w:cs="仿宋_GB2312" w:eastAsia="仿宋_GB2312"/>
                <w:sz w:val="24"/>
              </w:rPr>
              <w:t>解决新政策出台后，业务人员对政策的理解与系统的功能不一致而提出的政策咨询；解决经办人员轮岗后对相关系统操作不熟悉的业务经办咨询。重点业务咨询服务：对于系统的重点的、复杂的业务办理及流程，配合用户进行分析，提出可行的整改意见。</w:t>
            </w:r>
          </w:p>
          <w:p>
            <w:pPr>
              <w:pStyle w:val="null3"/>
              <w:ind w:firstLine="482"/>
              <w:jc w:val="both"/>
            </w:pPr>
            <w:r>
              <w:rPr>
                <w:rFonts w:ascii="仿宋_GB2312" w:hAnsi="仿宋_GB2312" w:cs="仿宋_GB2312" w:eastAsia="仿宋_GB2312"/>
                <w:sz w:val="24"/>
                <w:b/>
              </w:rPr>
              <w:t>3.4应用系统业务培训</w:t>
            </w:r>
          </w:p>
          <w:p>
            <w:pPr>
              <w:pStyle w:val="null3"/>
              <w:ind w:firstLine="480"/>
              <w:jc w:val="both"/>
            </w:pPr>
            <w:r>
              <w:rPr>
                <w:rFonts w:ascii="仿宋_GB2312" w:hAnsi="仿宋_GB2312" w:cs="仿宋_GB2312" w:eastAsia="仿宋_GB2312"/>
                <w:sz w:val="24"/>
              </w:rPr>
              <w:t>针对用户需要，对经办人员进行集中的系统业务培训。</w:t>
            </w:r>
          </w:p>
          <w:p>
            <w:pPr>
              <w:pStyle w:val="null3"/>
              <w:ind w:firstLine="482"/>
              <w:jc w:val="both"/>
            </w:pPr>
            <w:r>
              <w:rPr>
                <w:rFonts w:ascii="仿宋_GB2312" w:hAnsi="仿宋_GB2312" w:cs="仿宋_GB2312" w:eastAsia="仿宋_GB2312"/>
                <w:sz w:val="24"/>
                <w:b/>
              </w:rPr>
              <w:t>3.5应用系统性能调优</w:t>
            </w:r>
          </w:p>
          <w:p>
            <w:pPr>
              <w:pStyle w:val="null3"/>
              <w:ind w:firstLine="480"/>
              <w:jc w:val="both"/>
            </w:pPr>
            <w:r>
              <w:rPr>
                <w:rFonts w:ascii="仿宋_GB2312" w:hAnsi="仿宋_GB2312" w:cs="仿宋_GB2312" w:eastAsia="仿宋_GB2312"/>
                <w:sz w:val="24"/>
              </w:rPr>
              <w:t>应用系统是直接面向最终用户的一层，设计、开发人员在建设业务系统的过程中必须全面考虑性能的优化，包括利用各种设计模式、高效编程实现，多进程技术的利用、高效算法的设计等。在业务的长期使用中，会发现程序中查询语句等不够优化的情况，需长期持续跟踪，并进行调优。</w:t>
            </w:r>
          </w:p>
          <w:p>
            <w:pPr>
              <w:pStyle w:val="null3"/>
              <w:ind w:firstLine="482"/>
              <w:jc w:val="both"/>
            </w:pPr>
            <w:r>
              <w:rPr>
                <w:rFonts w:ascii="仿宋_GB2312" w:hAnsi="仿宋_GB2312" w:cs="仿宋_GB2312" w:eastAsia="仿宋_GB2312"/>
                <w:sz w:val="24"/>
                <w:b/>
              </w:rPr>
              <w:t>3.6新增需求维护内容</w:t>
            </w:r>
          </w:p>
          <w:p>
            <w:pPr>
              <w:pStyle w:val="null3"/>
              <w:ind w:firstLine="480"/>
              <w:jc w:val="both"/>
            </w:pPr>
            <w:r>
              <w:rPr>
                <w:rFonts w:ascii="仿宋_GB2312" w:hAnsi="仿宋_GB2312" w:cs="仿宋_GB2312" w:eastAsia="仿宋_GB2312"/>
                <w:sz w:val="24"/>
              </w:rPr>
              <w:t>由于需求的变化，在保持原有系统整体框架不发生大的变化的前提下对应用系统进行相关完善性维护。当出台新的政策，系统已不能通过政策参数的调整来适应政策调整要求的时候，需对系统进行较大的改动。服务商在服务期内完成局信息中心审批通过的新政策或新需求的开发、测试、应用。</w:t>
            </w:r>
          </w:p>
          <w:p>
            <w:pPr>
              <w:pStyle w:val="null3"/>
              <w:ind w:firstLine="482"/>
              <w:jc w:val="both"/>
            </w:pPr>
            <w:r>
              <w:rPr>
                <w:rFonts w:ascii="仿宋_GB2312" w:hAnsi="仿宋_GB2312" w:cs="仿宋_GB2312" w:eastAsia="仿宋_GB2312"/>
                <w:sz w:val="24"/>
                <w:b/>
              </w:rPr>
              <w:t>3.7数据库平台及应用中间件协助维护内容</w:t>
            </w:r>
          </w:p>
          <w:p>
            <w:pPr>
              <w:pStyle w:val="null3"/>
              <w:ind w:firstLine="480"/>
              <w:jc w:val="both"/>
            </w:pPr>
            <w:r>
              <w:rPr>
                <w:rFonts w:ascii="仿宋_GB2312" w:hAnsi="仿宋_GB2312" w:cs="仿宋_GB2312" w:eastAsia="仿宋_GB2312"/>
                <w:sz w:val="24"/>
              </w:rPr>
              <w:t>针对西安市人社涉及的系统所使用的数据库平台和中间件提供数据支持。协助数据库服务商对应用环境中产生的严重故障进行分析，就该故障进行讨论，密切配合，及时找出问题原因并提供建议帮助避免故障的重复发生。对中间件运行情况进行日常监控，配置、性能检查调整、紧急处理等。</w:t>
            </w:r>
          </w:p>
          <w:p>
            <w:pPr>
              <w:pStyle w:val="null3"/>
              <w:ind w:firstLine="480"/>
              <w:jc w:val="both"/>
            </w:pPr>
            <w:r>
              <w:rPr>
                <w:rFonts w:ascii="仿宋_GB2312" w:hAnsi="仿宋_GB2312" w:cs="仿宋_GB2312" w:eastAsia="仿宋_GB2312"/>
                <w:sz w:val="24"/>
              </w:rPr>
              <w:t>基于应用服务软件、操作系统国产化要求，强化系统兼容性，支持主流国产操作系统、浏览器等。</w:t>
            </w:r>
          </w:p>
          <w:p>
            <w:pPr>
              <w:pStyle w:val="null3"/>
              <w:ind w:firstLine="482"/>
              <w:jc w:val="both"/>
            </w:pPr>
            <w:r>
              <w:rPr>
                <w:rFonts w:ascii="仿宋_GB2312" w:hAnsi="仿宋_GB2312" w:cs="仿宋_GB2312" w:eastAsia="仿宋_GB2312"/>
                <w:sz w:val="24"/>
                <w:b/>
              </w:rPr>
              <w:t>3.8安全排查及整改</w:t>
            </w:r>
          </w:p>
          <w:p>
            <w:pPr>
              <w:pStyle w:val="null3"/>
              <w:ind w:firstLine="400"/>
            </w:pPr>
            <w:r>
              <w:rPr>
                <w:rFonts w:ascii="仿宋_GB2312" w:hAnsi="仿宋_GB2312" w:cs="仿宋_GB2312" w:eastAsia="仿宋_GB2312"/>
                <w:sz w:val="24"/>
              </w:rPr>
              <w:t>在项目运维服务期间，运维服务单位应保证系统安全，定期进行安全排查及整改：一是实行标准化排查，遵循人社部技术支持商风险排查要求，形成标准化排查指南和排查流程；二是开展应用实操检查，针对每个系统特别是</w:t>
            </w:r>
            <w:r>
              <w:rPr>
                <w:rFonts w:ascii="仿宋_GB2312" w:hAnsi="仿宋_GB2312" w:cs="仿宋_GB2312" w:eastAsia="仿宋_GB2312"/>
                <w:sz w:val="24"/>
              </w:rPr>
              <w:t>H5页面，核查用户认证及权限管理，通过业务访谈与实际操作梳理核心业务流程、查找风险点；三是在软件安全专家指导下进行代码审计，通过静态分析结合人工审查，主动识别潜在的编程错误、设计缺陷、输入验证不足、未加密敏感数据存储、未授权访问控制漏洞等问题，排查逻辑层面安全隐患，确保应用程序具备足够的健壮性和安全性；四是部署网络流量分析，重点排查未经授权的网络连接、内部数据泄露和数据脱敏的情况，排查应用系统是否存在异常流量情况；五是建立交叉验证机制，多技术小组独立排查后比对结果；六是汇总分析全量数据问题、风险评估结果，确定优先级最高的安全隐患和亟待解决的安全问题，为整改提供科学依据。</w:t>
            </w:r>
          </w:p>
          <w:p>
            <w:pPr>
              <w:pStyle w:val="null3"/>
            </w:pPr>
            <w:r>
              <w:rPr>
                <w:rFonts w:ascii="仿宋_GB2312" w:hAnsi="仿宋_GB2312" w:cs="仿宋_GB2312" w:eastAsia="仿宋_GB2312"/>
                <w:sz w:val="24"/>
                <w:b/>
              </w:rPr>
              <w:t>4.质量、安全及</w:t>
            </w:r>
            <w:r>
              <w:rPr>
                <w:rFonts w:ascii="仿宋_GB2312" w:hAnsi="仿宋_GB2312" w:cs="仿宋_GB2312" w:eastAsia="仿宋_GB2312"/>
                <w:sz w:val="24"/>
                <w:b/>
              </w:rPr>
              <w:t>管理要求</w:t>
            </w:r>
          </w:p>
          <w:p>
            <w:pPr>
              <w:pStyle w:val="null3"/>
              <w:ind w:firstLine="482"/>
            </w:pPr>
            <w:r>
              <w:rPr>
                <w:rFonts w:ascii="仿宋_GB2312" w:hAnsi="仿宋_GB2312" w:cs="仿宋_GB2312" w:eastAsia="仿宋_GB2312"/>
                <w:sz w:val="24"/>
                <w:b/>
              </w:rPr>
              <w:t>4.1</w:t>
            </w:r>
            <w:r>
              <w:rPr>
                <w:rFonts w:ascii="仿宋_GB2312" w:hAnsi="仿宋_GB2312" w:cs="仿宋_GB2312" w:eastAsia="仿宋_GB2312"/>
                <w:sz w:val="24"/>
                <w:b/>
              </w:rPr>
              <w:t>质量、安全要求</w:t>
            </w:r>
          </w:p>
          <w:p>
            <w:pPr>
              <w:pStyle w:val="null3"/>
              <w:ind w:firstLine="480"/>
              <w:jc w:val="both"/>
            </w:pPr>
            <w:r>
              <w:rPr>
                <w:rFonts w:ascii="仿宋_GB2312" w:hAnsi="仿宋_GB2312" w:cs="仿宋_GB2312" w:eastAsia="仿宋_GB2312"/>
                <w:sz w:val="24"/>
              </w:rPr>
              <w:t>运维服务期内，运维人员能够及时</w:t>
            </w:r>
            <w:r>
              <w:rPr>
                <w:rFonts w:ascii="仿宋_GB2312" w:hAnsi="仿宋_GB2312" w:cs="仿宋_GB2312" w:eastAsia="仿宋_GB2312"/>
                <w:sz w:val="24"/>
              </w:rPr>
              <w:t>7×24小时响应和处理故障发生；业务服务故障分类：</w:t>
            </w:r>
          </w:p>
          <w:p>
            <w:pPr>
              <w:pStyle w:val="null3"/>
              <w:ind w:firstLine="480"/>
              <w:jc w:val="both"/>
            </w:pPr>
            <w:r>
              <w:rPr>
                <w:rFonts w:ascii="仿宋_GB2312" w:hAnsi="仿宋_GB2312" w:cs="仿宋_GB2312" w:eastAsia="仿宋_GB2312"/>
                <w:sz w:val="24"/>
              </w:rPr>
              <w:t>一级故障：业务中断</w:t>
            </w:r>
            <w:r>
              <w:rPr>
                <w:rFonts w:ascii="仿宋_GB2312" w:hAnsi="仿宋_GB2312" w:cs="仿宋_GB2312" w:eastAsia="仿宋_GB2312"/>
                <w:sz w:val="24"/>
              </w:rPr>
              <w:t>8小时以上</w:t>
            </w:r>
          </w:p>
          <w:p>
            <w:pPr>
              <w:pStyle w:val="null3"/>
              <w:ind w:firstLine="480"/>
              <w:jc w:val="both"/>
            </w:pPr>
            <w:r>
              <w:rPr>
                <w:rFonts w:ascii="仿宋_GB2312" w:hAnsi="仿宋_GB2312" w:cs="仿宋_GB2312" w:eastAsia="仿宋_GB2312"/>
                <w:sz w:val="24"/>
              </w:rPr>
              <w:t>二级故障：业务中断</w:t>
            </w:r>
            <w:r>
              <w:rPr>
                <w:rFonts w:ascii="仿宋_GB2312" w:hAnsi="仿宋_GB2312" w:cs="仿宋_GB2312" w:eastAsia="仿宋_GB2312"/>
                <w:sz w:val="24"/>
              </w:rPr>
              <w:t>2-8小时</w:t>
            </w:r>
          </w:p>
          <w:p>
            <w:pPr>
              <w:pStyle w:val="null3"/>
              <w:ind w:firstLine="480"/>
              <w:jc w:val="both"/>
            </w:pPr>
            <w:r>
              <w:rPr>
                <w:rFonts w:ascii="仿宋_GB2312" w:hAnsi="仿宋_GB2312" w:cs="仿宋_GB2312" w:eastAsia="仿宋_GB2312"/>
                <w:sz w:val="24"/>
              </w:rPr>
              <w:t>三级故障：业务中断</w:t>
            </w:r>
            <w:r>
              <w:rPr>
                <w:rFonts w:ascii="仿宋_GB2312" w:hAnsi="仿宋_GB2312" w:cs="仿宋_GB2312" w:eastAsia="仿宋_GB2312"/>
                <w:sz w:val="24"/>
              </w:rPr>
              <w:t>1-2小时，业务核心功能无法使用</w:t>
            </w:r>
          </w:p>
          <w:p>
            <w:pPr>
              <w:pStyle w:val="null3"/>
              <w:ind w:firstLine="480"/>
              <w:jc w:val="both"/>
            </w:pPr>
            <w:r>
              <w:rPr>
                <w:rFonts w:ascii="仿宋_GB2312" w:hAnsi="仿宋_GB2312" w:cs="仿宋_GB2312" w:eastAsia="仿宋_GB2312"/>
                <w:sz w:val="24"/>
              </w:rPr>
              <w:t>四级故障：业务中断</w:t>
            </w:r>
            <w:r>
              <w:rPr>
                <w:rFonts w:ascii="仿宋_GB2312" w:hAnsi="仿宋_GB2312" w:cs="仿宋_GB2312" w:eastAsia="仿宋_GB2312"/>
                <w:sz w:val="24"/>
              </w:rPr>
              <w:t>1小时以下，业务核心功能受影响</w:t>
            </w:r>
          </w:p>
          <w:p>
            <w:pPr>
              <w:pStyle w:val="null3"/>
              <w:ind w:firstLine="480"/>
              <w:jc w:val="both"/>
            </w:pPr>
            <w:r>
              <w:rPr>
                <w:rFonts w:ascii="仿宋_GB2312" w:hAnsi="仿宋_GB2312" w:cs="仿宋_GB2312" w:eastAsia="仿宋_GB2312"/>
                <w:sz w:val="24"/>
              </w:rPr>
              <w:t>五级故障：业务中断</w:t>
            </w:r>
            <w:r>
              <w:rPr>
                <w:rFonts w:ascii="仿宋_GB2312" w:hAnsi="仿宋_GB2312" w:cs="仿宋_GB2312" w:eastAsia="仿宋_GB2312"/>
                <w:sz w:val="24"/>
              </w:rPr>
              <w:t>1小时以下，业务次要功能受影响</w:t>
            </w:r>
          </w:p>
          <w:p>
            <w:pPr>
              <w:pStyle w:val="null3"/>
              <w:ind w:firstLine="480"/>
              <w:jc w:val="both"/>
            </w:pPr>
            <w:r>
              <w:rPr>
                <w:rFonts w:ascii="仿宋_GB2312" w:hAnsi="仿宋_GB2312" w:cs="仿宋_GB2312" w:eastAsia="仿宋_GB2312"/>
                <w:sz w:val="24"/>
              </w:rPr>
              <w:t>处理要求：</w:t>
            </w:r>
          </w:p>
          <w:p>
            <w:pPr>
              <w:pStyle w:val="null3"/>
              <w:ind w:firstLine="480"/>
              <w:jc w:val="both"/>
            </w:pPr>
            <w:r>
              <w:rPr>
                <w:rFonts w:ascii="仿宋_GB2312" w:hAnsi="仿宋_GB2312" w:cs="仿宋_GB2312" w:eastAsia="仿宋_GB2312"/>
                <w:sz w:val="24"/>
              </w:rPr>
              <w:t>1、所有故障须在第一时间响应（30分钟），包括故障的通知，处理，善后等事宜，</w:t>
            </w:r>
          </w:p>
          <w:p>
            <w:pPr>
              <w:pStyle w:val="null3"/>
              <w:ind w:firstLine="480"/>
              <w:jc w:val="both"/>
            </w:pPr>
            <w:r>
              <w:rPr>
                <w:rFonts w:ascii="仿宋_GB2312" w:hAnsi="仿宋_GB2312" w:cs="仿宋_GB2312" w:eastAsia="仿宋_GB2312"/>
                <w:sz w:val="24"/>
              </w:rPr>
              <w:t>2、在最快时间内处理故障，并积极配合其他相关人员的完成故障处理工作；技术问题积极寻求解决办法和资源支持；</w:t>
            </w:r>
          </w:p>
          <w:p>
            <w:pPr>
              <w:pStyle w:val="null3"/>
              <w:ind w:firstLine="480"/>
            </w:pPr>
            <w:r>
              <w:rPr>
                <w:rFonts w:ascii="仿宋_GB2312" w:hAnsi="仿宋_GB2312" w:cs="仿宋_GB2312" w:eastAsia="仿宋_GB2312"/>
                <w:sz w:val="24"/>
              </w:rPr>
              <w:t>3、保障系统在最短时间内完全恢复正常运作，故障影响降到最低。</w:t>
            </w:r>
          </w:p>
          <w:p>
            <w:pPr>
              <w:pStyle w:val="null3"/>
              <w:ind w:firstLine="482"/>
            </w:pPr>
            <w:r>
              <w:rPr>
                <w:rFonts w:ascii="仿宋_GB2312" w:hAnsi="仿宋_GB2312" w:cs="仿宋_GB2312" w:eastAsia="仿宋_GB2312"/>
                <w:sz w:val="24"/>
                <w:b/>
              </w:rPr>
              <w:t>4.</w:t>
            </w:r>
            <w:r>
              <w:rPr>
                <w:rFonts w:ascii="仿宋_GB2312" w:hAnsi="仿宋_GB2312" w:cs="仿宋_GB2312" w:eastAsia="仿宋_GB2312"/>
                <w:sz w:val="24"/>
                <w:b/>
              </w:rPr>
              <w:t>2</w:t>
            </w:r>
            <w:r>
              <w:rPr>
                <w:rFonts w:ascii="仿宋_GB2312" w:hAnsi="仿宋_GB2312" w:cs="仿宋_GB2312" w:eastAsia="仿宋_GB2312"/>
                <w:sz w:val="24"/>
                <w:b/>
              </w:rPr>
              <w:t>保密要求</w:t>
            </w:r>
          </w:p>
          <w:p>
            <w:pPr>
              <w:pStyle w:val="null3"/>
              <w:ind w:firstLine="400"/>
            </w:pPr>
            <w:r>
              <w:rPr>
                <w:rFonts w:ascii="仿宋_GB2312" w:hAnsi="仿宋_GB2312" w:cs="仿宋_GB2312" w:eastAsia="仿宋_GB2312"/>
                <w:sz w:val="24"/>
              </w:rPr>
              <w:t>1、</w:t>
            </w:r>
            <w:r>
              <w:rPr>
                <w:rFonts w:ascii="仿宋_GB2312" w:hAnsi="仿宋_GB2312" w:cs="仿宋_GB2312" w:eastAsia="仿宋_GB2312"/>
                <w:sz w:val="24"/>
              </w:rPr>
              <w:t>须签订保密协议，对其因身份、职务、职业或技术关系而知悉的采购人商业秘密和党政机关保密信息应严格保守，保证不被披露或使用，包括意外或过失。</w:t>
            </w:r>
          </w:p>
          <w:p>
            <w:pPr>
              <w:pStyle w:val="null3"/>
              <w:ind w:firstLine="400"/>
            </w:pPr>
            <w:r>
              <w:rPr>
                <w:rFonts w:ascii="仿宋_GB2312" w:hAnsi="仿宋_GB2312" w:cs="仿宋_GB2312" w:eastAsia="仿宋_GB2312"/>
                <w:sz w:val="24"/>
              </w:rPr>
              <w:t>2、</w:t>
            </w:r>
            <w:r>
              <w:rPr>
                <w:rFonts w:ascii="仿宋_GB2312" w:hAnsi="仿宋_GB2312" w:cs="仿宋_GB2312" w:eastAsia="仿宋_GB2312"/>
                <w:sz w:val="24"/>
              </w:rPr>
              <w:t>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在从事政府项目时，不得擅自记录、复制、拍摄、摘抄、收藏在工作中涉及的保密信息，严禁将涉及政府项目的任何资料、数据透露或以其他方式提供给项目以外的其他方或内部与该项目无关的任何人员。</w:t>
            </w:r>
          </w:p>
          <w:p>
            <w:pPr>
              <w:pStyle w:val="null3"/>
              <w:ind w:firstLine="400"/>
            </w:pPr>
            <w:r>
              <w:rPr>
                <w:rFonts w:ascii="仿宋_GB2312" w:hAnsi="仿宋_GB2312" w:cs="仿宋_GB2312" w:eastAsia="仿宋_GB2312"/>
                <w:sz w:val="24"/>
              </w:rPr>
              <w:t>3、</w:t>
            </w:r>
            <w:r>
              <w:rPr>
                <w:rFonts w:ascii="仿宋_GB2312" w:hAnsi="仿宋_GB2312" w:cs="仿宋_GB2312" w:eastAsia="仿宋_GB2312"/>
                <w:sz w:val="24"/>
              </w:rPr>
              <w:t>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pPr>
            <w:r>
              <w:rPr>
                <w:rFonts w:ascii="仿宋_GB2312" w:hAnsi="仿宋_GB2312" w:cs="仿宋_GB2312" w:eastAsia="仿宋_GB2312"/>
                <w:sz w:val="24"/>
              </w:rPr>
              <w:t>4、</w:t>
            </w:r>
            <w:r>
              <w:rPr>
                <w:rFonts w:ascii="仿宋_GB2312" w:hAnsi="仿宋_GB2312" w:cs="仿宋_GB2312" w:eastAsia="仿宋_GB2312"/>
                <w:sz w:val="24"/>
              </w:rPr>
              <w:t>严禁泄露在工作中接触到的政府机关科技研究、发明、装备器材及其技术资料和政府工作信息。</w:t>
            </w:r>
          </w:p>
          <w:p>
            <w:pPr>
              <w:pStyle w:val="null3"/>
            </w:pPr>
            <w:r>
              <w:rPr>
                <w:rFonts w:ascii="仿宋_GB2312" w:hAnsi="仿宋_GB2312" w:cs="仿宋_GB2312" w:eastAsia="仿宋_GB2312"/>
                <w:sz w:val="24"/>
                <w:b/>
              </w:rPr>
              <w:t>5.</w:t>
            </w: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5.1履行合同的时间</w:t>
            </w:r>
          </w:p>
          <w:p>
            <w:pPr>
              <w:pStyle w:val="null3"/>
              <w:ind w:firstLine="480"/>
              <w:jc w:val="both"/>
            </w:pPr>
            <w:r>
              <w:rPr>
                <w:rFonts w:ascii="仿宋_GB2312" w:hAnsi="仿宋_GB2312" w:cs="仿宋_GB2312" w:eastAsia="仿宋_GB2312"/>
                <w:sz w:val="24"/>
              </w:rPr>
              <w:t>运维内容自合同签订之日起生效，运维期</w:t>
            </w:r>
            <w:r>
              <w:rPr>
                <w:rFonts w:ascii="仿宋_GB2312" w:hAnsi="仿宋_GB2312" w:cs="仿宋_GB2312" w:eastAsia="仿宋_GB2312"/>
                <w:sz w:val="24"/>
              </w:rPr>
              <w:t>1年；</w:t>
            </w:r>
          </w:p>
          <w:p>
            <w:pPr>
              <w:pStyle w:val="null3"/>
              <w:ind w:firstLine="482"/>
              <w:jc w:val="both"/>
            </w:pPr>
            <w:r>
              <w:rPr>
                <w:rFonts w:ascii="仿宋_GB2312" w:hAnsi="仿宋_GB2312" w:cs="仿宋_GB2312" w:eastAsia="仿宋_GB2312"/>
                <w:sz w:val="24"/>
                <w:b/>
              </w:rPr>
              <w:t>5.2地点及方式</w:t>
            </w:r>
          </w:p>
          <w:p>
            <w:pPr>
              <w:pStyle w:val="null3"/>
              <w:ind w:firstLine="480"/>
              <w:jc w:val="both"/>
            </w:pPr>
            <w:r>
              <w:rPr>
                <w:rFonts w:ascii="仿宋_GB2312" w:hAnsi="仿宋_GB2312" w:cs="仿宋_GB2312" w:eastAsia="仿宋_GB2312"/>
                <w:sz w:val="24"/>
              </w:rPr>
              <w:t>西安市内采购方指定地点，驻场服务（采购方提供办公场地）</w:t>
            </w:r>
          </w:p>
          <w:p>
            <w:pPr>
              <w:pStyle w:val="null3"/>
              <w:ind w:firstLine="482"/>
              <w:jc w:val="both"/>
            </w:pPr>
            <w:r>
              <w:rPr>
                <w:rFonts w:ascii="仿宋_GB2312" w:hAnsi="仿宋_GB2312" w:cs="仿宋_GB2312" w:eastAsia="仿宋_GB2312"/>
                <w:sz w:val="24"/>
                <w:b/>
              </w:rPr>
              <w:t>5.3其他</w:t>
            </w:r>
          </w:p>
          <w:p>
            <w:pPr>
              <w:pStyle w:val="null3"/>
              <w:ind w:firstLine="480"/>
              <w:jc w:val="left"/>
            </w:pPr>
            <w:r>
              <w:rPr>
                <w:rFonts w:ascii="仿宋_GB2312" w:hAnsi="仿宋_GB2312" w:cs="仿宋_GB2312" w:eastAsia="仿宋_GB2312"/>
                <w:sz w:val="24"/>
              </w:rPr>
              <w:t>成交供应商应派驻不少于</w:t>
            </w:r>
            <w:r>
              <w:rPr>
                <w:rFonts w:ascii="仿宋_GB2312" w:hAnsi="仿宋_GB2312" w:cs="仿宋_GB2312" w:eastAsia="仿宋_GB2312"/>
                <w:sz w:val="24"/>
              </w:rPr>
              <w:t>8名工程师提供驻场服务。</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验收标准</w:t>
            </w:r>
          </w:p>
          <w:p>
            <w:pPr>
              <w:pStyle w:val="null3"/>
              <w:ind w:firstLine="480"/>
              <w:jc w:val="both"/>
            </w:pPr>
            <w:r>
              <w:rPr>
                <w:rFonts w:ascii="仿宋_GB2312" w:hAnsi="仿宋_GB2312" w:cs="仿宋_GB2312" w:eastAsia="仿宋_GB2312"/>
                <w:sz w:val="24"/>
              </w:rPr>
              <w:t>1.服务专业性：参照GB/T 25000.51和GB/T 16260.1-2006、《西安市信息化项目管理办法（暂行）》（市政办发〔2024〕2号）、《西安市信息化项目验收实施细则（试行）》（市数发〔2025〕12号）、等级保护三级有关要求执行，按照合同要求完成服务内容，验收资料齐全、合理；</w:t>
            </w:r>
          </w:p>
          <w:p>
            <w:pPr>
              <w:pStyle w:val="null3"/>
              <w:ind w:firstLine="480"/>
              <w:jc w:val="both"/>
            </w:pPr>
            <w:r>
              <w:rPr>
                <w:rFonts w:ascii="仿宋_GB2312" w:hAnsi="仿宋_GB2312" w:cs="仿宋_GB2312" w:eastAsia="仿宋_GB2312"/>
                <w:sz w:val="24"/>
              </w:rPr>
              <w:t>2.响应及时性：遵守合同约定的服务响应要求；</w:t>
            </w:r>
          </w:p>
          <w:p>
            <w:pPr>
              <w:pStyle w:val="null3"/>
              <w:ind w:firstLine="480"/>
              <w:jc w:val="both"/>
            </w:pPr>
            <w:r>
              <w:rPr>
                <w:rFonts w:ascii="仿宋_GB2312" w:hAnsi="仿宋_GB2312" w:cs="仿宋_GB2312" w:eastAsia="仿宋_GB2312"/>
                <w:sz w:val="24"/>
              </w:rPr>
              <w:t>3.安全性：发生运维故障恢复时间满足合同要求。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运维内容自合同签订之日起生效，运维期1年；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西安市内采购方指定地点，驻场服务（采购方提供办公场地）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成交通知书时，提交纸质响应文件正本壹份、副本贰份、电子版壹份（U盘壹份注明单位名称）编辑目录和页码，内容和通过电子化交易平台实施的政府采购项目提交的响应文件一致。纸质响应文件正副本分别胶装（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被授权人须提供2024年6月至今在本单位缴纳的连续六个月的社会保障资金缴存单据或社保机构开具的社会保险参保缴费情况证明，法定代表人直接投标只须提交其身份证复印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分项报价表 中小企业声明函 供应商应提交的相关资格证明材料 报价表 响应文件封面 偏差表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分项报价表 中小企业声明函 供应商应提交的相关资格证明材料 报价表 响应文件封面 偏差表 商务条款响应说明 响应方案说明 残疾人福利性单位声明函 标的清单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分项报价表 中小企业声明函 供应商应提交的相关资格证明材料 报价表 响应文件封面 偏差表 商务条款响应说明 响应方案说明 残疾人福利性单位声明函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1、供应商具有有效的ISO9001、ISO/IEC27001、ISO/IEC20000证书(提供加盖供应商公章的扫描件或复印件)，每提供一个得1分，满分3分。 2、供应商具有信息系统安全运维服务资质(一级)、信息系统安全集成服务资质(一级)、软件安全开发服务资质(一级)的每提供一个得1分，最高得3分。(提供加盖供应商公章的扫描件或复印件) 3、供应商具有运行维护标准符合性证书(ITSS证书)得2分，未提供不得分。(提供加盖供应商公章的扫描件或复印件) 4、供应商具有信息系统建设和服务能力等级证书CS1得0.5分，CS2得1分，CS3得1.5分，CS4及以上证书得2分，未提供不得分。(提供加盖供应商公章的扫描件或复印件) 5、供应商具有“公共服务平台”、“基础信息管理”、“系统安全”、“开发运维”相关的软件著作权登记证书，具有一项得1分，最高得4分。 (提供加盖供应商公章的扫描件或复印件)</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1、供应商拟派驻本项目的项目经理，具有信息系统项目管理师证书、ITSS颁发的IT服务工程师证书、IT服务项目经理证书、信息安全保障人员认证证书，具有4项证书得4分，缺少一项扣1分，扣完为止。 2、项目团队成员（不含项目经理）具有注册信息安全管理人员证书、系统集成项目管理工程师证书、数据库系统工程师证书、软件设计师证书、软件评测师证书，每提供一项得1分，同一人员不重复计分，最高得6分。 备注：提供以上人员证书及在职证明(加盖供应商公章的扫描件或复印件)，同一人员拥有多个证书的不重复计算。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提供2022年1月至今的同类项目业绩，以磋商响应文件中附有的合同文件为依据(提供加盖供应商公章的完整合同扫描件或复印件，合同以签订时间为准)，每提供一个得2分，满分6分。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供应商应熟悉西安市人社公共服务、基础信息库特点和信息化建设等情况，对项目需求理解准确，整体架构清晰、合理，充分考虑用户实际需求，运维服务内容能够满足项目整体要求。 1、对项目需求理解深刻透彻，内容详实，对项目工作重点、难点认识准确，对本项目的重点难点有合理的解决思路，按其响应程度，计6.1-10分； 2、对项目需求理解较清晰，内容较详实，对项目工作重点、难点认识较准确，对本项目建设的重点难点有基本的解决思路，按其响应程度，计3.1-6分； 3、对项目需求理解体现较差，对项目工作重点、难点认识不准确，对本项目建设的重点难点无解决思路，按其响应程度，计0.1-3分； 4、未提供计0分。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供应商针对本项目中运维服务部分工作内容设计工作方案，方案设计合理、架构完整、层次清楚。 1、运维服务方案合理、针对性强、架构清晰完整，按其响应程度，计12.1-15分； 2、运维服务方案较合理、针对性较强、架构比较清晰完整，按其响应程度，计9.1-12分； 3、运维服务方案基本合理、针对性一般、架构基本清晰，按其响应程度，计6.1-9分； 4、运维服务方案具有合理性但针对性不强、架构不够清晰，按其响应程度，计3.1-6分； 5、运维服务方案合理性及针对性较差、架构模糊，按其响应程度，计0.1-3分； 6、未提供计0分。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供应商的运维服务工作必须遵循并优化现有的安全体系，必须在现有安全体制下提出确保系统安全可靠的安全策略、措施和步骤。 1、方案内容合理、针对性强、架构清晰完整，按其响应程度，计6.1-9分； 2、方案内容较合理、针对性较强、架构比较清晰完整，按其响应程度，计3.1-6分； 3、方案内容基本合理、针对性一般、架构基本清晰，按其响应程度，计0.1-3分； 4、未提供计0分。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 1、方案完整，科学合理，清晰明确，针对性强，按其响应程度，计6.1-9分； 2、方案较完整，可行性、针对性一般，按其响应程度，计3.1-6分； 3、方案简单，不具备针对性，按其响应程度，计0.1-3分； 4、未提供计0分。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运维服务计划</w:t>
            </w:r>
          </w:p>
        </w:tc>
        <w:tc>
          <w:tcPr>
            <w:tcW w:type="dxa" w:w="2492"/>
          </w:tcPr>
          <w:p>
            <w:pPr>
              <w:pStyle w:val="null3"/>
            </w:pPr>
            <w:r>
              <w:rPr>
                <w:rFonts w:ascii="仿宋_GB2312" w:hAnsi="仿宋_GB2312" w:cs="仿宋_GB2312" w:eastAsia="仿宋_GB2312"/>
              </w:rPr>
              <w:t>项目实施进度和运维服务计划安排合理，有明确的项目施工计划和项目进度安排，并提供人员驻场承诺函。 1、计划合理全面、针对性强，按其响应程度，计3.1-5分； 2、计划完整、有针对性，按其响应程度，计2.1-3分； 3、计划不合理、不具备针对性，按其响应程度，计0.1-2分； 4、未提供计0分。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供应商根据采购需求提供项目售后服务方案，包含但不限于售后服务流程、售后服务内容、响应时间、驻场人员配置、售后服务保障措施。 1、服务方案针对性强、合理有效，计4.1-6分； 2、服务方案针对性不强、基本合理有效，计2.1-4分； 3、服务方案无针对性、不合理，计0.1-2分； 4、未提供计0分。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供应商根据采购需求提供项目培训方案，包含但不限于培训对象和内容、培训方式、培训流程、培训日程安排。 1、培训方案针对性强、合理有效，计4.1-6分； 2、培训方案针对性不强、基本合理有效，计2.1-4分； 3、培训方案无针对性、不合理，计0.1-2分； 4、未提供方案计0分。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