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版本号：SXZHZB2025-ZC009-CS20250623001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训练场馆加固维修施工图设计采购项目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SXZHZB2025-ZC009-CS</w:t>
      </w:r>
      <w:r>
        <w:br/>
      </w:r>
      <w:r>
        <w:br/>
      </w:r>
      <w:r>
        <w:br/>
      </w:r>
    </w:p>
    <w:p>
      <w:pPr>
        <w:pStyle w:val="null3"/>
        <w:jc w:val="center"/>
        <w:outlineLvl w:val="2"/>
      </w:pPr>
      <w:r>
        <w:rPr>
          <w:rFonts w:ascii="仿宋_GB2312" w:hAnsi="仿宋_GB2312" w:cs="仿宋_GB2312" w:eastAsia="仿宋_GB2312"/>
          <w:sz w:val="28"/>
          <w:b/>
        </w:rPr>
        <w:t>西安市青少年体育学校</w:t>
      </w:r>
    </w:p>
    <w:p>
      <w:pPr>
        <w:pStyle w:val="null3"/>
        <w:jc w:val="center"/>
        <w:outlineLvl w:val="2"/>
      </w:pPr>
      <w:r>
        <w:rPr>
          <w:rFonts w:ascii="仿宋_GB2312" w:hAnsi="仿宋_GB2312" w:cs="仿宋_GB2312" w:eastAsia="仿宋_GB2312"/>
          <w:sz w:val="28"/>
          <w:b/>
        </w:rPr>
        <w:t>陕西纵横项目管理有限公司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陕西纵横项目管理有限公司</w:t>
      </w:r>
      <w:r>
        <w:rPr>
          <w:rFonts w:ascii="仿宋_GB2312" w:hAnsi="仿宋_GB2312" w:cs="仿宋_GB2312" w:eastAsia="仿宋_GB2312"/>
        </w:rPr>
        <w:t>（以下简称“代理机构”）受</w:t>
      </w:r>
      <w:r>
        <w:rPr>
          <w:rFonts w:ascii="仿宋_GB2312" w:hAnsi="仿宋_GB2312" w:cs="仿宋_GB2312" w:eastAsia="仿宋_GB2312"/>
        </w:rPr>
        <w:t>西安市青少年体育学校</w:t>
      </w:r>
      <w:r>
        <w:rPr>
          <w:rFonts w:ascii="仿宋_GB2312" w:hAnsi="仿宋_GB2312" w:cs="仿宋_GB2312" w:eastAsia="仿宋_GB2312"/>
        </w:rPr>
        <w:t>委托，拟对</w:t>
      </w:r>
      <w:r>
        <w:rPr>
          <w:rFonts w:ascii="仿宋_GB2312" w:hAnsi="仿宋_GB2312" w:cs="仿宋_GB2312" w:eastAsia="仿宋_GB2312"/>
        </w:rPr>
        <w:t>训练场馆加固维修施工图设计采购项目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SXZHZB2025-ZC009-CS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训练场馆加固维修施工图设计采购项目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原运动学校举摔柔馆、综合馆，被鉴定为C级危房，如果不加固，存在安全隐患，无法满足训练要求。现需对C级危房运动场馆进行加固。举摔柔馆屋顶整体更换、内墙面粉刷、地面处理和木地板铺设、东侧临街外立面形象提升等。田径场综合馆整体加固、地面铺设、墙面处理、东侧临街外立面形象提升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采购包1（训练场馆加固维修施工图设计采购项目）：属于专门面向中小企业采购。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1、法定代表人授权书/法定代表人身份证明：法定代表人授权书（附法定代表人、被授权代表身份证复印件）（法定代表人直接参加磋商，须提供法定代表人身份证明）；</w:t>
      </w:r>
    </w:p>
    <w:p>
      <w:pPr>
        <w:pStyle w:val="null3"/>
      </w:pPr>
      <w:r>
        <w:rPr>
          <w:rFonts w:ascii="仿宋_GB2312" w:hAnsi="仿宋_GB2312" w:cs="仿宋_GB2312" w:eastAsia="仿宋_GB2312"/>
        </w:rPr>
        <w:t>2、资质证书：供应商具备【工程设计综合资质甲级】，或【建筑行业工程设计乙级】及以上资质，或【建筑行业（建筑工程）丙级】及以上资质；</w:t>
      </w:r>
    </w:p>
    <w:p>
      <w:pPr>
        <w:pStyle w:val="null3"/>
      </w:pPr>
      <w:r>
        <w:rPr>
          <w:rFonts w:ascii="仿宋_GB2312" w:hAnsi="仿宋_GB2312" w:cs="仿宋_GB2312" w:eastAsia="仿宋_GB2312"/>
        </w:rPr>
        <w:t>3、项目负责人证书：供应商拟派设计项目负责人须具备【二级注册建筑师】及以上执业资格且在本单位注册；</w:t>
      </w:r>
    </w:p>
    <w:p>
      <w:pPr>
        <w:pStyle w:val="null3"/>
      </w:pPr>
      <w:r>
        <w:rPr>
          <w:rFonts w:ascii="仿宋_GB2312" w:hAnsi="仿宋_GB2312" w:cs="仿宋_GB2312" w:eastAsia="仿宋_GB2312"/>
        </w:rPr>
        <w:t>4、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5、联合体：本项目不接受联合体磋商。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西安市青少年体育学校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西安市碑林区伞塔路89号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029-82282523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陕西纵横项目管理有限公司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西安市经开区凤城五路赛高街区A座902室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029-86252018（转804）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采购包1：106,845.00元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代理服务费收费标准：1、以成交金额为基数，参照国家计委颁发的《招标代理服务收费管理暂行办法》（计价格〔2002〕1980号）和财政部颁发的《政府采购代理机构管理暂行办法》 (财库〔2018〕2号) 的有关规定执行，不足8000.00元，按8000.00元计取。2、磋商代理服务费由成交供应商支付，在项目完成采购后，由成交供应商一次性支付给陕西纵横项目管理有限公司。3、磋商代理服务费缴纳账户： 开户名称：陕西纵横项目管理有限公司 开户银行：浙商银行股份有限公司西安未央路支行 账号：7910000610120100029478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西安市青少年体育学校</w:t>
      </w:r>
      <w:r>
        <w:rPr>
          <w:rFonts w:ascii="仿宋_GB2312" w:hAnsi="仿宋_GB2312" w:cs="仿宋_GB2312" w:eastAsia="仿宋_GB2312"/>
        </w:rPr>
        <w:t>和</w:t>
      </w:r>
      <w:r>
        <w:rPr>
          <w:rFonts w:ascii="仿宋_GB2312" w:hAnsi="仿宋_GB2312" w:cs="仿宋_GB2312" w:eastAsia="仿宋_GB2312"/>
        </w:rPr>
        <w:t>陕西纵横项目管理有限公司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西安市青少年体育学校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陕西纵横项目管理有限公司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西安市青少年体育学校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陕西纵横项目管理有限公司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1、磋商文件、磋商响应文件、澄清表（函）； 2、本合同及附件文本； 3、国家、行业相应的标准、规范。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联系电话：029-86252018</w:t>
      </w:r>
    </w:p>
    <w:p>
      <w:pPr>
        <w:pStyle w:val="null3"/>
      </w:pPr>
      <w:r>
        <w:rPr>
          <w:rFonts w:ascii="仿宋_GB2312" w:hAnsi="仿宋_GB2312" w:cs="仿宋_GB2312" w:eastAsia="仿宋_GB2312"/>
        </w:rPr>
        <w:t>地址：西安市经开区凤城五路赛高街区A座902室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原运动学校举摔柔馆、综合馆，被鉴定为C级危房，如果不加固，存在安全隐患，无法满足训练要求。现需对C级危房运动场馆进行加固。举摔柔馆屋顶整体更换、内墙面粉刷、地面处理和木地板铺设、东侧临街外立面形象提升等。田径场综合馆整体加固、地面铺设、墙面处理、东侧临街外立面形象提升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106,845.00</w:t>
      </w:r>
    </w:p>
    <w:p>
      <w:pPr>
        <w:pStyle w:val="null3"/>
      </w:pPr>
      <w:r>
        <w:rPr>
          <w:rFonts w:ascii="仿宋_GB2312" w:hAnsi="仿宋_GB2312" w:cs="仿宋_GB2312" w:eastAsia="仿宋_GB2312"/>
        </w:rPr>
        <w:t>采购包最高限价（元）: 106,845.00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训练场馆加固维修施工图设计采购项目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106,845.00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标的名称：训练场馆加固维修施工图设计采购项目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1、设计范围：举摔柔馆屋顶整体更换、内墙面粉刷、地面处理和木地板铺设、东侧临街外立面形象提升等。田径场综合馆整体加固、地面铺设、墙面处理、东侧临街外立面形象提升等。</w:t>
            </w:r>
          </w:p>
          <w:p>
            <w:pPr>
              <w:pStyle w:val="null3"/>
            </w:pPr>
            <w:r>
              <w:rPr>
                <w:rFonts w:ascii="仿宋_GB2312" w:hAnsi="仿宋_GB2312" w:cs="仿宋_GB2312" w:eastAsia="仿宋_GB2312"/>
              </w:rPr>
              <w:t>2、质量标准：合格，符合国家现行相关的设计规范合格要求。</w:t>
            </w:r>
          </w:p>
          <w:p>
            <w:pPr>
              <w:pStyle w:val="null3"/>
            </w:pPr>
            <w:r>
              <w:rPr>
                <w:rFonts w:ascii="仿宋_GB2312" w:hAnsi="仿宋_GB2312" w:cs="仿宋_GB2312" w:eastAsia="仿宋_GB2312"/>
              </w:rPr>
              <w:t>3、磋商范围：施工图设计工作及后续服务配合工作。</w:t>
            </w:r>
          </w:p>
          <w:p>
            <w:pPr>
              <w:pStyle w:val="null3"/>
            </w:pPr>
            <w:r>
              <w:rPr>
                <w:rFonts w:ascii="仿宋_GB2312" w:hAnsi="仿宋_GB2312" w:cs="仿宋_GB2312" w:eastAsia="仿宋_GB2312"/>
              </w:rPr>
              <w:t>4、最高限价：106845.00元。</w:t>
            </w:r>
          </w:p>
          <w:p>
            <w:pPr>
              <w:pStyle w:val="null3"/>
            </w:pPr>
            <w:r>
              <w:rPr>
                <w:rFonts w:ascii="仿宋_GB2312" w:hAnsi="仿宋_GB2312" w:cs="仿宋_GB2312" w:eastAsia="仿宋_GB2312"/>
              </w:rPr>
              <w:t>注：磋商报价均不得高于本项目最高限价，否则按无效标处理。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设计周期：自合同签订之日起30日历天；服务期限：自合同签订之日起至竣工验收合格止。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经发包人审核满足现行的相关标准，同时应满足省、市有关部门报批报建及施工图报审规定的要求。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项目完成，并经甲方验收合格后无任何问题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结合发改价格〔2015〕299号《国家发展改革委关于进一步放开建设项目专业服务价格的通知》，参照国家发改委、建设部计价格[2002]10号文《工程勘察设计收费管理规定》及相关工程设计收费规定、竞争性磋商文件相关内容结合市场价格自主报价。 供应商应在磋商报价表中标明完成本次磋商所要求内容且验收合格的所有费用，设计费包括但不限于完成所有设计阶段的直接费用、间接费用、税金、利润、相关配合服务工作及合同约定的其他服务，是完成本项目所有服务内容的价格体现，任何有选择的报价将不予接受，否则按无效磋商处理。 （2）项目属性：服务 （3）本项目所属行业为：其他未列明行业。从业人员300人以下的为中小微型企业。其中，从业人员100人及以上的为中型企业；从业人员10人及以上的为小型企业；从业人员10人以下的为微型企业。 （4）按照西安市财政局关于促进政府采购公平竞争优化营商环境的通知&gt;(市财函(2021)431号)规定:供应商登记免费领取磋商文件的，如不参与项目磋商，应在递交磋商响应文件截止时间前一日以书面形式告知采购代理机构。否则，采购代理机构可以向财政部门反映情况并提供相应的佐证。供应商一年内累计出现三次该情形，将被监管部门记录为失信行为。 （5）本项目是否属于信用担保试点范围：否。 （6）若为授权代表参加投标，响应文件中需提供授权代表在本单位的社保证明材料。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2、提供磋商截止时间前6个月内任意时段的依法缴纳税收的相关凭据（时间以税款所属日期为准），依法免税或无须缴纳税收的供应商应提供相关证明材料；3、提供磋商截止时间前6个月内任意时段的社会保障资金的相关材料，依法不需要缴纳社会保障金的供应商，需具有社保部门出具的证明文件；4、提供具有履行合同所必需的设备和专业技术能力的承诺；5、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财务状况报告：提供2024年度的财务审计报告或开标前3个月内供应商基本存款账户开户银行出具的资信证明及开户许可证（基本存款账户信息）；</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法定代表人授权书（附法定代表人、被授权代表身份证复印件）（法定代表人直接参加磋商，须提供法定代表人身份证明）；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供应商具备【工程设计综合资质甲级】，或【建筑行业工程设计乙级】及以上资质，或【建筑行业（建筑工程）丙级】及以上资质；</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项目负责人证书</w:t>
            </w:r>
          </w:p>
        </w:tc>
        <w:tc>
          <w:tcPr>
            <w:tcW w:type="dxa" w:w="3322"/>
          </w:tcPr>
          <w:p>
            <w:pPr>
              <w:pStyle w:val="null3"/>
            </w:pPr>
            <w:r>
              <w:rPr>
                <w:rFonts w:ascii="仿宋_GB2312" w:hAnsi="仿宋_GB2312" w:cs="仿宋_GB2312" w:eastAsia="仿宋_GB2312"/>
              </w:rPr>
              <w:t>供应商拟派设计项目负责人须具备【二级注册建筑师】及以上执业资格且在本单位注册；</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资格证明文件 中小企业声明函 残疾人福利性单位声明函 标的清单 陕西省政府采购供应商拒绝政府采购领域商业贿赂承诺书 报价表 其他说明 响应函 商务条款偏离表 监狱企业的证明文件 磋商方案说明书</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资格证明文件 中小企业声明函 残疾人福利性单位声明函 标的清单 陕西省政府采购供应商拒绝政府采购领域商业贿赂承诺书 其他说明 响应函 商务条款偏离表 监狱企业的证明文件 磋商方案说明书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资格证明文件 中小企业声明函 残疾人福利性单位声明函 标的清单 陕西省政府采购供应商拒绝政府采购领域商业贿赂承诺书 其他说明 响应函 商务条款偏离表 监狱企业的证明文件 磋商方案说明书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标的清单</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针对本项目设计目标、规模、内容理解透彻，能对采购人的需求提供详细的整体设计方案,理念新颖、思路清晰、服务方案完整、可操作性强、细节考虑到位得(10-15]分； 服务方案基本完整，有相对的可操作性，描述良好得(5-10]分； 描述符合磋商文件要求，内容一般得[0-5]分。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确保本项目质量的技术组织措施</w:t>
            </w:r>
          </w:p>
        </w:tc>
        <w:tc>
          <w:tcPr>
            <w:tcW w:type="dxa" w:w="2492"/>
          </w:tcPr>
          <w:p>
            <w:pPr>
              <w:pStyle w:val="null3"/>
            </w:pPr>
            <w:r>
              <w:rPr>
                <w:rFonts w:ascii="仿宋_GB2312" w:hAnsi="仿宋_GB2312" w:cs="仿宋_GB2312" w:eastAsia="仿宋_GB2312"/>
              </w:rPr>
              <w:t>保障措施内容完整、质量控制体系完善、合理，实施性强得(7-10]分； 保障措施内容较完善、质量控制体系较合理，具有一定的实施性得(4-7]分； 保障措施简单、质量控制体系欠合理，可实施性不足或方案欠缺得[0-4]分。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施工过程中的配合措施</w:t>
            </w:r>
          </w:p>
        </w:tc>
        <w:tc>
          <w:tcPr>
            <w:tcW w:type="dxa" w:w="2492"/>
          </w:tcPr>
          <w:p>
            <w:pPr>
              <w:pStyle w:val="null3"/>
            </w:pPr>
            <w:r>
              <w:rPr>
                <w:rFonts w:ascii="仿宋_GB2312" w:hAnsi="仿宋_GB2312" w:cs="仿宋_GB2312" w:eastAsia="仿宋_GB2312"/>
              </w:rPr>
              <w:t>施工过程中的配合措施，方案完整、合理性强、可操作性强得(7-10]分。 方案基本完整、合理性良好、可操作性良好得(4-7]分； 方案欠缺、合理性一般、可操作性一般得[0-4]分。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合理化建议及后续服务措施</w:t>
            </w:r>
          </w:p>
        </w:tc>
        <w:tc>
          <w:tcPr>
            <w:tcW w:type="dxa" w:w="2492"/>
          </w:tcPr>
          <w:p>
            <w:pPr>
              <w:pStyle w:val="null3"/>
            </w:pPr>
            <w:r>
              <w:rPr>
                <w:rFonts w:ascii="仿宋_GB2312" w:hAnsi="仿宋_GB2312" w:cs="仿宋_GB2312" w:eastAsia="仿宋_GB2312"/>
              </w:rPr>
              <w:t>提出规划保障的合理化建议，促进项目有效开展和执行。 合理化建议内容严谨，科学合理，项目后续服务措施优秀得(7-10]分； 内容一般，项目后续服务措施基本可行得(4-7]分； 无实质性合理化建议及项目后续服务措施无实质内容[0-4]分。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设计概算编制的技术保证措施</w:t>
            </w:r>
          </w:p>
        </w:tc>
        <w:tc>
          <w:tcPr>
            <w:tcW w:type="dxa" w:w="2492"/>
          </w:tcPr>
          <w:p>
            <w:pPr>
              <w:pStyle w:val="null3"/>
            </w:pPr>
            <w:r>
              <w:rPr>
                <w:rFonts w:ascii="仿宋_GB2312" w:hAnsi="仿宋_GB2312" w:cs="仿宋_GB2312" w:eastAsia="仿宋_GB2312"/>
              </w:rPr>
              <w:t>设计概算编制的技术保证措施，方案完整、合理性强得(7-10]分。 方案基本完整、合理性良好得(4-7]分； 方案欠缺、合理性一般得[0-4]分。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项目风险预测与防范，事故应急预案科学、合理、可行得(3-5]分； 项目风险预测与防范，事故应急预案较科学、较合理、较可行得[0-3]分。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项目负责人学历</w:t>
            </w:r>
          </w:p>
        </w:tc>
        <w:tc>
          <w:tcPr>
            <w:tcW w:type="dxa" w:w="2492"/>
          </w:tcPr>
          <w:p>
            <w:pPr>
              <w:pStyle w:val="null3"/>
            </w:pPr>
            <w:r>
              <w:rPr>
                <w:rFonts w:ascii="仿宋_GB2312" w:hAnsi="仿宋_GB2312" w:cs="仿宋_GB2312" w:eastAsia="仿宋_GB2312"/>
              </w:rPr>
              <w:t>拟派项目负责人具有本科及以上学历的得 4 分，专科得 2 分，专科以下学历不得分。（提供拟投入项目负责人的学历证书复印件及 2025年1月至今任意一个月缴纳社会保险的证明材料复印件加盖供应商公章，未提供不得分）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技术团队配备</w:t>
            </w:r>
          </w:p>
        </w:tc>
        <w:tc>
          <w:tcPr>
            <w:tcW w:type="dxa" w:w="2492"/>
          </w:tcPr>
          <w:p>
            <w:pPr>
              <w:pStyle w:val="null3"/>
            </w:pPr>
            <w:r>
              <w:rPr>
                <w:rFonts w:ascii="仿宋_GB2312" w:hAnsi="仿宋_GB2312" w:cs="仿宋_GB2312" w:eastAsia="仿宋_GB2312"/>
              </w:rPr>
              <w:t>提供针对本项目的技术团队，配备充足的专业水平高且有相关专业特长的技术人员，各岗位人员配置及分工合理、岗位职责明确。 人员配备充足，且专业配置合理全面，能全面高效地完成 本项目得(7-10]分； 人员配备及专业配置合理，满足本项目基本工作需要得(4-7]分； 人员配备及专业配置不足，无法满足本项目基本工作需要得[0-4]分； （提供拟投入人员职称证书复印件或职业资格证书复印件加盖供应商公章，未提供不得分）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具有2022年6月1日至今类似业绩，提供一个计3分，本项最多得6分。未提供不得分。 注：业绩证明资料以合同或中标（成交）通知书为准。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对完全承诺磋商文件和合同条款的要求，对交付时间内质量、人员到位情况、后期服务的响应时间及配合程度等做出实质性承诺（内容应当包含不能完全履行承诺时愿意接受相关处罚的相关承诺）。 承诺内容可操作性强、细节描述详细、完整优越得(7-10]分； 有相对的操作性、承诺内容良好得(4-7]分； 描述内容一般的得[0-4]分。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1.经初审合格的磋商响应文件，其磋商报价为有效磋商报价。对符合政策性扣减的有效磋商报价进行政策性扣减，并依据扣减后的价格（评审价格）进行价格评审。 2.有效最低报价为基准价得10分。 3.按（有效最低报价/有效磋商报价）×10的公式计算其得分。 4.磋商报价不完整的，不进入评标基准价的计算，本项得0分。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详见附件：磋商方案说明书</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详见附件：其他说明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