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版本号：HJCS2501-077.1B120250623001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“酷炫飞翔梦·沸腾中国心”西安市航空航天体验消费嘉年华活动(二次)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HJCS2501-077.1B1</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陕西海佳项目管理有限公司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陕西海佳项目管理有限公司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“酷炫飞翔梦·沸腾中国心”西安市航空航天体验消费嘉年华活动(二次)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HJCS2501-077.1B1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“酷炫飞翔梦·沸腾中国心”西安市航空航天体验消费嘉年华活动(二次)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酷炫飞翔梦·沸腾中国心”为主题，实行城市总动员、行业全整合，搭建“1+5”消费场景（以西安阎良航空消费体验嘉年华活动现场为主场景，同时依托阎良现有空天研学基地、阎良航空科技馆、飞翔梦体验馆、亲子露营星空广场、飞鹰亚太体验馆、山东齐鲁特色美食街等，打造6个分布式体验消费场景），致力打造集合会、展、演、赛、学、游、玩、吃、购于一体化的大型航空主题综合促销推广活动品牌，强化航空文旅企业联合牵引作用和餐饮住宿零售企业的联动赋能，对文商旅资源和限上商贸企业进行全景式、精准化品牌推广，吸引全国青少儿研学旅行、亲子旅游团队来阎良消费体验旅游，大幅延展游客滞留时间，带动旅游消费、亲子消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采购包1（“酷炫飞翔梦·沸腾中国心”西安市航空航天体验消费嘉年华活动）：属于专门面向中小企业采购。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2023年度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2025年1月1日至今任意时段的缴纳证明，依法免税或不需要缴纳社会保障资金的投标人须提供相应证明文件，事业单位法人可不提供社会保障资金缴纳证明，供应商需在项目电子化交易系统中按要求上传相应证明文件并进行电子签章</w:t>
      </w:r>
    </w:p>
    <w:p>
      <w:pPr>
        <w:pStyle w:val="null3"/>
      </w:pPr>
      <w:r>
        <w:rPr>
          <w:rFonts w:ascii="仿宋_GB2312" w:hAnsi="仿宋_GB2312" w:cs="仿宋_GB2312" w:eastAsia="仿宋_GB2312"/>
        </w:rPr>
        <w:t>4、书面声明：（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6、供应商企业关系关联及联合体说明：1.本项目不接受联合体磋商； 2.单位负责人为同一人或者存在直接控股、管理关系的不同供应商，不得参加同一合同项下的政府采购活动； 供应商需在项目电子化交易系统中按要求上传相应证明文件并进行电子签章</w:t>
      </w:r>
    </w:p>
    <w:p>
      <w:pPr>
        <w:pStyle w:val="null3"/>
      </w:pPr>
      <w:r>
        <w:rPr>
          <w:rFonts w:ascii="仿宋_GB2312" w:hAnsi="仿宋_GB2312" w:cs="仿宋_GB2312" w:eastAsia="仿宋_GB2312"/>
        </w:rPr>
        <w:t>7、本项目专门面向中小企业：供应商提供中小企业或监狱企业或残疾人福利单位的声明函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魏玉才、孙鹏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029-88765623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代理服务费收费标准：依据《国家计委关于印发&lt;招标代理服务收费管理暂行办法&gt;的通知》（计价格【2002】1980号）标准收取,不足3300元按3300元收取。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陕西海佳项目管理有限公司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按照竞争性磋商文件及合同要求进行验收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联系人：孙鹏</w:t>
      </w:r>
    </w:p>
    <w:p>
      <w:pPr>
        <w:pStyle w:val="null3"/>
      </w:pPr>
      <w:r>
        <w:rPr>
          <w:rFonts w:ascii="仿宋_GB2312" w:hAnsi="仿宋_GB2312" w:cs="仿宋_GB2312" w:eastAsia="仿宋_GB2312"/>
        </w:rPr>
        <w:t>联系电话：029-88765623</w:t>
      </w:r>
    </w:p>
    <w:p>
      <w:pPr>
        <w:pStyle w:val="null3"/>
      </w:pPr>
      <w:r>
        <w:rPr>
          <w:rFonts w:ascii="仿宋_GB2312" w:hAnsi="仿宋_GB2312" w:cs="仿宋_GB2312" w:eastAsia="仿宋_GB2312"/>
        </w:rPr>
        <w:t>地址：陕西省西安市雁塔区西安市高新区唐延路35号旺座现代城C座2604室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酷炫飞翔梦·沸腾中国心”为主题，实行城市总动员、行业全整合，搭建“1+5”消费场景（以西安阎良航空消费体验嘉年华活动现场为主场景，同时依托阎良现有空天研学基地、阎良航空科技馆、飞翔梦体验馆、亲子露营星空广场、飞鹰亚太体验馆、山东齐鲁特色美食街等，打造6个分布式体验消费场景），致力打造集合会、展、演、赛、学、游、玩、吃、购于一体化的大型航空主题综合促销推广活动品牌，强化航空文旅企业联合牵引作用和餐饮住宿零售企业的联动赋能，对文商旅资源和限上商贸企业进行全景式、精准化品牌推广，吸引全国青少儿研学旅行、亲子旅游团队来阎良消费体验旅游，大幅延展游客滞留时间，带动旅游消费、亲子消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“酷炫飞翔梦·沸腾中国心” 西安市航空航天体验消费嘉年华活动策划、组织、实施等服务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标的名称：“酷炫飞翔梦·沸腾中国心” 西安市航空航天体验消费嘉年华活动策划、组织、实施等服务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color w:val="0000FF"/>
              </w:rPr>
              <w:t>一、项目概况</w:t>
            </w:r>
          </w:p>
          <w:p>
            <w:pPr>
              <w:pStyle w:val="null3"/>
              <w:ind w:firstLine="480"/>
            </w:pPr>
            <w:r>
              <w:rPr>
                <w:rFonts w:ascii="仿宋_GB2312" w:hAnsi="仿宋_GB2312" w:cs="仿宋_GB2312" w:eastAsia="仿宋_GB2312"/>
                <w:color w:val="0000FF"/>
              </w:rPr>
              <w:t>以</w:t>
            </w:r>
            <w:r>
              <w:rPr>
                <w:rFonts w:ascii="仿宋_GB2312" w:hAnsi="仿宋_GB2312" w:cs="仿宋_GB2312" w:eastAsia="仿宋_GB2312"/>
                <w:color w:val="0000FF"/>
              </w:rPr>
              <w:t>“酷炫飞翔梦、沸腾中国心”为主题，实行城市总动员、行业全整合，搭建“</w:t>
            </w:r>
            <w:r>
              <w:rPr>
                <w:rFonts w:ascii="仿宋_GB2312" w:hAnsi="仿宋_GB2312" w:cs="仿宋_GB2312" w:eastAsia="仿宋_GB2312"/>
                <w:color w:val="0000FF"/>
              </w:rPr>
              <w:t>1+5</w:t>
            </w:r>
            <w:r>
              <w:rPr>
                <w:rFonts w:ascii="仿宋_GB2312" w:hAnsi="仿宋_GB2312" w:cs="仿宋_GB2312" w:eastAsia="仿宋_GB2312"/>
                <w:color w:val="0000FF"/>
              </w:rPr>
              <w:t>”消费场景（以西安阎良航空消费体验嘉年华活动现场为主场景，同时依托阎良现有空天研学基地、阎良航空科技馆、飞翔梦体验馆、亲子露营星空广场、飞鹰亚太体验馆、山东齐鲁特色美食街等，打造</w:t>
            </w:r>
            <w:r>
              <w:rPr>
                <w:rFonts w:ascii="仿宋_GB2312" w:hAnsi="仿宋_GB2312" w:cs="仿宋_GB2312" w:eastAsia="仿宋_GB2312"/>
                <w:color w:val="0000FF"/>
              </w:rPr>
              <w:t>6</w:t>
            </w:r>
            <w:r>
              <w:rPr>
                <w:rFonts w:ascii="仿宋_GB2312" w:hAnsi="仿宋_GB2312" w:cs="仿宋_GB2312" w:eastAsia="仿宋_GB2312"/>
                <w:color w:val="0000FF"/>
              </w:rPr>
              <w:t>个分布式体验消费场景），致力打造集合会、展、演、赛、学、游、玩、吃、购于一体化的大型航空主题综合促销推广活动品牌，强化航空文旅企业联合牵引作用和餐饮住宿零售企业的联动赋能，对文商旅资源和限上商贸企业进行全景式、精准化品牌推广，吸引全国青少儿研学旅行、亲子旅游团队来阎良消费体验旅游，大幅延展游客滞留时间，带动旅游消费、亲子消费。</w:t>
            </w:r>
          </w:p>
          <w:p>
            <w:pPr>
              <w:pStyle w:val="null3"/>
              <w:ind w:firstLine="480"/>
            </w:pPr>
            <w:r>
              <w:rPr>
                <w:rFonts w:ascii="仿宋_GB2312" w:hAnsi="仿宋_GB2312" w:cs="仿宋_GB2312" w:eastAsia="仿宋_GB2312"/>
                <w:color w:val="0000FF"/>
              </w:rPr>
              <w:t>二、服务内容</w:t>
            </w:r>
          </w:p>
          <w:p>
            <w:pPr>
              <w:pStyle w:val="null3"/>
              <w:ind w:firstLine="480"/>
            </w:pPr>
            <w:r>
              <w:rPr>
                <w:rFonts w:ascii="仿宋_GB2312" w:hAnsi="仿宋_GB2312" w:cs="仿宋_GB2312" w:eastAsia="仿宋_GB2312"/>
                <w:color w:val="0000FF"/>
              </w:rPr>
              <w:t>本项目计划</w:t>
            </w:r>
            <w:r>
              <w:rPr>
                <w:rFonts w:ascii="仿宋_GB2312" w:hAnsi="仿宋_GB2312" w:cs="仿宋_GB2312" w:eastAsia="仿宋_GB2312"/>
                <w:color w:val="0000FF"/>
              </w:rPr>
              <w:t>7</w:t>
            </w:r>
            <w:r>
              <w:rPr>
                <w:rFonts w:ascii="仿宋_GB2312" w:hAnsi="仿宋_GB2312" w:cs="仿宋_GB2312" w:eastAsia="仿宋_GB2312"/>
                <w:color w:val="0000FF"/>
              </w:rPr>
              <w:t>月上旬举办，活动参展商不得少于</w:t>
            </w:r>
            <w:r>
              <w:rPr>
                <w:rFonts w:ascii="仿宋_GB2312" w:hAnsi="仿宋_GB2312" w:cs="仿宋_GB2312" w:eastAsia="仿宋_GB2312"/>
                <w:color w:val="0000FF"/>
              </w:rPr>
              <w:t>30</w:t>
            </w:r>
            <w:r>
              <w:rPr>
                <w:rFonts w:ascii="仿宋_GB2312" w:hAnsi="仿宋_GB2312" w:cs="仿宋_GB2312" w:eastAsia="仿宋_GB2312"/>
                <w:color w:val="0000FF"/>
              </w:rPr>
              <w:t>家，时间为期</w:t>
            </w:r>
            <w:r>
              <w:rPr>
                <w:rFonts w:ascii="仿宋_GB2312" w:hAnsi="仿宋_GB2312" w:cs="仿宋_GB2312" w:eastAsia="仿宋_GB2312"/>
                <w:color w:val="0000FF"/>
              </w:rPr>
              <w:t>3</w:t>
            </w:r>
            <w:r>
              <w:rPr>
                <w:rFonts w:ascii="仿宋_GB2312" w:hAnsi="仿宋_GB2312" w:cs="仿宋_GB2312" w:eastAsia="仿宋_GB2312"/>
                <w:color w:val="0000FF"/>
              </w:rPr>
              <w:t>天，现场设置航空模拟器展示体验区、航空文创产品展销区、商贸文旅企业（住宿、餐饮、食品、电商）品牌推广区、地方特色美食展销区、地方时尚饮品展销区、绿色智能家电展销区等特色展销区域，按照“文商旅”融合发展和促进消费升级的理念，突出航空特色，在嘉年华活动现场打造集吃、住、游、乐、购、教于一体的综合性航空体验消费场景，对夏令营、研学、亲子旅游旅行团队青少年进行高质量爱国主义教育和航空科普知识教育，推广西安青少年航空研学旅行和亲子旅游品牌，带动刺激和提振区内文商旅消费，推广西安航空特色消费产品，助力文商旅企业品牌推广和新品展销，提升文商旅消费竞争力和城市的吸引力、美誉度。</w:t>
            </w:r>
          </w:p>
          <w:p>
            <w:pPr>
              <w:pStyle w:val="null3"/>
              <w:ind w:firstLine="480"/>
            </w:pPr>
            <w:r>
              <w:rPr>
                <w:rFonts w:ascii="仿宋_GB2312" w:hAnsi="仿宋_GB2312" w:cs="仿宋_GB2312" w:eastAsia="仿宋_GB2312"/>
                <w:color w:val="0000FF"/>
              </w:rPr>
              <w:t>（一）整体活动组织策划，制定活动方案，对活动期间的参展商户进行招展，活动现场组织执行和管理工作。</w:t>
            </w:r>
          </w:p>
          <w:p>
            <w:pPr>
              <w:pStyle w:val="null3"/>
              <w:ind w:firstLine="480"/>
            </w:pPr>
            <w:r>
              <w:rPr>
                <w:rFonts w:ascii="仿宋_GB2312" w:hAnsi="仿宋_GB2312" w:cs="仿宋_GB2312" w:eastAsia="仿宋_GB2312"/>
                <w:color w:val="0000FF"/>
              </w:rPr>
              <w:t>（二）活动现场布置、展位搭建、宣导装饰、活动氛围营造、设施设备租赁、活动宣传及保障等工作。</w:t>
            </w:r>
          </w:p>
          <w:p>
            <w:pPr>
              <w:pStyle w:val="null3"/>
              <w:ind w:firstLine="480"/>
            </w:pPr>
            <w:r>
              <w:rPr>
                <w:rFonts w:ascii="仿宋_GB2312" w:hAnsi="仿宋_GB2312" w:cs="仿宋_GB2312" w:eastAsia="仿宋_GB2312"/>
                <w:color w:val="0000FF"/>
              </w:rPr>
              <w:t>1.</w:t>
            </w:r>
            <w:r>
              <w:rPr>
                <w:rFonts w:ascii="仿宋_GB2312" w:hAnsi="仿宋_GB2312" w:cs="仿宋_GB2312" w:eastAsia="仿宋_GB2312"/>
                <w:color w:val="0000FF"/>
              </w:rPr>
              <w:t>场地租赁、展位搭建、水电保障</w:t>
            </w:r>
          </w:p>
          <w:p>
            <w:pPr>
              <w:pStyle w:val="null3"/>
              <w:ind w:firstLine="480"/>
            </w:pPr>
            <w:r>
              <w:rPr>
                <w:rFonts w:ascii="仿宋_GB2312" w:hAnsi="仿宋_GB2312" w:cs="仿宋_GB2312" w:eastAsia="仿宋_GB2312"/>
                <w:color w:val="0000FF"/>
              </w:rPr>
              <w:t>2.</w:t>
            </w:r>
            <w:r>
              <w:rPr>
                <w:rFonts w:ascii="仿宋_GB2312" w:hAnsi="仿宋_GB2312" w:cs="仿宋_GB2312" w:eastAsia="仿宋_GB2312"/>
                <w:color w:val="0000FF"/>
              </w:rPr>
              <w:t>音响、物料、氛围营造等</w:t>
            </w:r>
          </w:p>
          <w:p>
            <w:pPr>
              <w:pStyle w:val="null3"/>
              <w:ind w:firstLine="480"/>
            </w:pPr>
            <w:r>
              <w:rPr>
                <w:rFonts w:ascii="仿宋_GB2312" w:hAnsi="仿宋_GB2312" w:cs="仿宋_GB2312" w:eastAsia="仿宋_GB2312"/>
                <w:color w:val="0000FF"/>
              </w:rPr>
              <w:t>3.</w:t>
            </w:r>
            <w:r>
              <w:rPr>
                <w:rFonts w:ascii="仿宋_GB2312" w:hAnsi="仿宋_GB2312" w:cs="仿宋_GB2312" w:eastAsia="仿宋_GB2312"/>
                <w:color w:val="0000FF"/>
              </w:rPr>
              <w:t>嘉宾邀请，活动策划组织</w:t>
            </w:r>
          </w:p>
          <w:p>
            <w:pPr>
              <w:pStyle w:val="null3"/>
              <w:ind w:firstLine="480"/>
            </w:pPr>
            <w:r>
              <w:rPr>
                <w:rFonts w:ascii="仿宋_GB2312" w:hAnsi="仿宋_GB2312" w:cs="仿宋_GB2312" w:eastAsia="仿宋_GB2312"/>
                <w:color w:val="0000FF"/>
              </w:rPr>
              <w:t>4.</w:t>
            </w:r>
            <w:r>
              <w:rPr>
                <w:rFonts w:ascii="仿宋_GB2312" w:hAnsi="仿宋_GB2312" w:cs="仿宋_GB2312" w:eastAsia="仿宋_GB2312"/>
                <w:color w:val="0000FF"/>
              </w:rPr>
              <w:t>整体活动媒体宣传、视频制作等</w:t>
            </w:r>
          </w:p>
          <w:p>
            <w:pPr>
              <w:pStyle w:val="null3"/>
              <w:ind w:firstLine="480"/>
            </w:pPr>
            <w:r>
              <w:rPr>
                <w:rFonts w:ascii="仿宋_GB2312" w:hAnsi="仿宋_GB2312" w:cs="仿宋_GB2312" w:eastAsia="仿宋_GB2312"/>
                <w:color w:val="0000FF"/>
              </w:rPr>
              <w:t>5.</w:t>
            </w:r>
            <w:r>
              <w:rPr>
                <w:rFonts w:ascii="仿宋_GB2312" w:hAnsi="仿宋_GB2312" w:cs="仿宋_GB2312" w:eastAsia="仿宋_GB2312"/>
                <w:color w:val="0000FF"/>
              </w:rPr>
              <w:t>活动现场保洁、安保等工作。</w:t>
            </w:r>
          </w:p>
          <w:p>
            <w:pPr>
              <w:pStyle w:val="null3"/>
              <w:ind w:firstLine="480"/>
            </w:pPr>
            <w:r>
              <w:rPr>
                <w:rFonts w:ascii="仿宋_GB2312" w:hAnsi="仿宋_GB2312" w:cs="仿宋_GB2312" w:eastAsia="仿宋_GB2312"/>
                <w:color w:val="0000FF"/>
              </w:rPr>
              <w:t>三、技术要求</w:t>
            </w:r>
          </w:p>
          <w:p>
            <w:pPr>
              <w:pStyle w:val="null3"/>
              <w:ind w:firstLine="480"/>
            </w:pPr>
            <w:r>
              <w:rPr>
                <w:rFonts w:ascii="仿宋_GB2312" w:hAnsi="仿宋_GB2312" w:cs="仿宋_GB2312" w:eastAsia="仿宋_GB2312"/>
                <w:color w:val="0000FF"/>
              </w:rPr>
              <w:t>按照活动要求，在严格遵守安保、消防等相关安全规定的情况下，按时按质按量完成活动现场各项工作，确保活动效果呈现。</w:t>
            </w:r>
          </w:p>
          <w:p>
            <w:pPr>
              <w:pStyle w:val="null3"/>
              <w:ind w:firstLine="480"/>
            </w:pPr>
            <w:r>
              <w:rPr>
                <w:rFonts w:ascii="仿宋_GB2312" w:hAnsi="仿宋_GB2312" w:cs="仿宋_GB2312" w:eastAsia="仿宋_GB2312"/>
                <w:color w:val="0000FF"/>
              </w:rPr>
              <w:t>四、服务要求</w:t>
            </w:r>
          </w:p>
          <w:p>
            <w:pPr>
              <w:pStyle w:val="null3"/>
              <w:ind w:firstLine="480"/>
            </w:pPr>
            <w:r>
              <w:rPr>
                <w:rFonts w:ascii="仿宋_GB2312" w:hAnsi="仿宋_GB2312" w:cs="仿宋_GB2312" w:eastAsia="仿宋_GB2312"/>
                <w:color w:val="0000FF"/>
              </w:rPr>
              <w:t>1.</w:t>
            </w:r>
            <w:r>
              <w:rPr>
                <w:rFonts w:ascii="仿宋_GB2312" w:hAnsi="仿宋_GB2312" w:cs="仿宋_GB2312" w:eastAsia="仿宋_GB2312"/>
                <w:color w:val="0000FF"/>
              </w:rPr>
              <w:t>活动现场搭建方案内容详见、方便可行，安全可靠，能够完全满足采购人需求。</w:t>
            </w:r>
          </w:p>
          <w:p>
            <w:pPr>
              <w:pStyle w:val="null3"/>
              <w:ind w:firstLine="480"/>
            </w:pPr>
            <w:r>
              <w:rPr>
                <w:rFonts w:ascii="仿宋_GB2312" w:hAnsi="仿宋_GB2312" w:cs="仿宋_GB2312" w:eastAsia="仿宋_GB2312"/>
                <w:color w:val="0000FF"/>
              </w:rPr>
              <w:t>2.</w:t>
            </w:r>
            <w:r>
              <w:rPr>
                <w:rFonts w:ascii="仿宋_GB2312" w:hAnsi="仿宋_GB2312" w:cs="仿宋_GB2312" w:eastAsia="仿宋_GB2312"/>
                <w:color w:val="0000FF"/>
              </w:rPr>
              <w:t>在规定时间内完成活动策划方案及整体设计，提交采购人进行审核，提出改进意见并修改方案至采购人满意。</w:t>
            </w:r>
          </w:p>
          <w:p>
            <w:pPr>
              <w:pStyle w:val="null3"/>
              <w:ind w:firstLine="480"/>
            </w:pPr>
            <w:r>
              <w:rPr>
                <w:rFonts w:ascii="仿宋_GB2312" w:hAnsi="仿宋_GB2312" w:cs="仿宋_GB2312" w:eastAsia="仿宋_GB2312"/>
                <w:color w:val="0000FF"/>
              </w:rPr>
              <w:t>3.</w:t>
            </w:r>
            <w:r>
              <w:rPr>
                <w:rFonts w:ascii="仿宋_GB2312" w:hAnsi="仿宋_GB2312" w:cs="仿宋_GB2312" w:eastAsia="仿宋_GB2312"/>
                <w:color w:val="0000FF"/>
              </w:rPr>
              <w:t>活动期间，安排专人现场协调对接落实活动各项具体事宜，严格执行方案，确保展示效果。</w:t>
            </w:r>
          </w:p>
          <w:p>
            <w:pPr>
              <w:pStyle w:val="null3"/>
              <w:ind w:firstLine="480"/>
            </w:pPr>
            <w:r>
              <w:rPr>
                <w:rFonts w:ascii="仿宋_GB2312" w:hAnsi="仿宋_GB2312" w:cs="仿宋_GB2312" w:eastAsia="仿宋_GB2312"/>
                <w:color w:val="0000FF"/>
              </w:rPr>
              <w:t>4.</w:t>
            </w:r>
            <w:r>
              <w:rPr>
                <w:rFonts w:ascii="仿宋_GB2312" w:hAnsi="仿宋_GB2312" w:cs="仿宋_GB2312" w:eastAsia="仿宋_GB2312"/>
                <w:color w:val="0000FF"/>
              </w:rPr>
              <w:t>按照活动要求，在严格遵守安保、消防等相关安全规定的情况下，按时按质按量完成活动现场各项工作，确保活动效果呈现。</w:t>
            </w:r>
          </w:p>
          <w:p>
            <w:pPr>
              <w:pStyle w:val="null3"/>
              <w:ind w:firstLine="480"/>
            </w:pPr>
            <w:r>
              <w:rPr>
                <w:rFonts w:ascii="仿宋_GB2312" w:hAnsi="仿宋_GB2312" w:cs="仿宋_GB2312" w:eastAsia="仿宋_GB2312"/>
                <w:color w:val="0000FF"/>
              </w:rPr>
              <w:t>五、商务要求</w:t>
            </w:r>
          </w:p>
          <w:p>
            <w:pPr>
              <w:pStyle w:val="null3"/>
              <w:ind w:firstLine="480"/>
            </w:pPr>
            <w:r>
              <w:rPr>
                <w:rFonts w:ascii="仿宋_GB2312" w:hAnsi="仿宋_GB2312" w:cs="仿宋_GB2312" w:eastAsia="仿宋_GB2312"/>
                <w:color w:val="0000FF"/>
              </w:rPr>
              <w:t>（一）服务期限</w:t>
            </w:r>
          </w:p>
          <w:p>
            <w:pPr>
              <w:pStyle w:val="null3"/>
              <w:ind w:firstLine="480"/>
            </w:pPr>
            <w:r>
              <w:rPr>
                <w:rFonts w:ascii="仿宋_GB2312" w:hAnsi="仿宋_GB2312" w:cs="仿宋_GB2312" w:eastAsia="仿宋_GB2312"/>
                <w:color w:val="0000FF"/>
              </w:rPr>
              <w:t>签订合同之日起至项目结束</w:t>
            </w:r>
          </w:p>
          <w:p>
            <w:pPr>
              <w:pStyle w:val="null3"/>
              <w:ind w:firstLine="480"/>
            </w:pPr>
            <w:r>
              <w:rPr>
                <w:rFonts w:ascii="仿宋_GB2312" w:hAnsi="仿宋_GB2312" w:cs="仿宋_GB2312" w:eastAsia="仿宋_GB2312"/>
                <w:color w:val="0000FF"/>
              </w:rPr>
              <w:t>（二）款项结算</w:t>
            </w:r>
          </w:p>
          <w:p>
            <w:pPr>
              <w:pStyle w:val="null3"/>
              <w:ind w:firstLine="480"/>
            </w:pPr>
            <w:r>
              <w:rPr>
                <w:rFonts w:ascii="仿宋_GB2312" w:hAnsi="仿宋_GB2312" w:cs="仿宋_GB2312" w:eastAsia="仿宋_GB2312"/>
                <w:color w:val="0000FF"/>
              </w:rPr>
              <w:t>合同签订后，供应商向采购方开具等额的增值税普通发票，采购方收到符合要求的发票后</w:t>
            </w:r>
            <w:r>
              <w:rPr>
                <w:rFonts w:ascii="仿宋_GB2312" w:hAnsi="仿宋_GB2312" w:cs="仿宋_GB2312" w:eastAsia="仿宋_GB2312"/>
                <w:color w:val="0000FF"/>
              </w:rPr>
              <w:t>15</w:t>
            </w:r>
            <w:r>
              <w:rPr>
                <w:rFonts w:ascii="仿宋_GB2312" w:hAnsi="仿宋_GB2312" w:cs="仿宋_GB2312" w:eastAsia="仿宋_GB2312"/>
                <w:color w:val="0000FF"/>
              </w:rPr>
              <w:t>个工作日内向乙方支付合同金额的</w:t>
            </w:r>
            <w:r>
              <w:rPr>
                <w:rFonts w:ascii="仿宋_GB2312" w:hAnsi="仿宋_GB2312" w:cs="仿宋_GB2312" w:eastAsia="仿宋_GB2312"/>
                <w:color w:val="0000FF"/>
              </w:rPr>
              <w:t>50%</w:t>
            </w:r>
            <w:r>
              <w:rPr>
                <w:rFonts w:ascii="仿宋_GB2312" w:hAnsi="仿宋_GB2312" w:cs="仿宋_GB2312" w:eastAsia="仿宋_GB2312"/>
                <w:color w:val="0000FF"/>
              </w:rPr>
              <w:t>；</w:t>
            </w:r>
          </w:p>
          <w:p>
            <w:pPr>
              <w:pStyle w:val="null3"/>
              <w:ind w:firstLine="480"/>
            </w:pPr>
            <w:r>
              <w:rPr>
                <w:rFonts w:ascii="仿宋_GB2312" w:hAnsi="仿宋_GB2312" w:cs="仿宋_GB2312" w:eastAsia="仿宋_GB2312"/>
                <w:color w:val="0000FF"/>
              </w:rPr>
              <w:t>剩余</w:t>
            </w:r>
            <w:r>
              <w:rPr>
                <w:rFonts w:ascii="仿宋_GB2312" w:hAnsi="仿宋_GB2312" w:cs="仿宋_GB2312" w:eastAsia="仿宋_GB2312"/>
                <w:color w:val="0000FF"/>
              </w:rPr>
              <w:t>50%</w:t>
            </w:r>
            <w:r>
              <w:rPr>
                <w:rFonts w:ascii="仿宋_GB2312" w:hAnsi="仿宋_GB2312" w:cs="仿宋_GB2312" w:eastAsia="仿宋_GB2312"/>
                <w:color w:val="0000FF"/>
              </w:rPr>
              <w:t>，项目验收合格后，供应商向采购方开具等额的增值税普通发票，采购方收到符合要求的发票后</w:t>
            </w:r>
            <w:r>
              <w:rPr>
                <w:rFonts w:ascii="仿宋_GB2312" w:hAnsi="仿宋_GB2312" w:cs="仿宋_GB2312" w:eastAsia="仿宋_GB2312"/>
                <w:color w:val="0000FF"/>
              </w:rPr>
              <w:t>20</w:t>
            </w:r>
            <w:r>
              <w:rPr>
                <w:rFonts w:ascii="仿宋_GB2312" w:hAnsi="仿宋_GB2312" w:cs="仿宋_GB2312" w:eastAsia="仿宋_GB2312"/>
                <w:color w:val="0000FF"/>
              </w:rPr>
              <w:t>个工作日内支付。</w:t>
            </w:r>
          </w:p>
          <w:p>
            <w:pPr>
              <w:pStyle w:val="null3"/>
              <w:ind w:firstLine="480"/>
            </w:pPr>
            <w:r>
              <w:rPr>
                <w:rFonts w:ascii="仿宋_GB2312" w:hAnsi="仿宋_GB2312" w:cs="仿宋_GB2312" w:eastAsia="仿宋_GB2312"/>
                <w:color w:val="0000FF"/>
              </w:rPr>
              <w:t>六、其他</w:t>
            </w:r>
          </w:p>
          <w:p>
            <w:pPr>
              <w:pStyle w:val="null3"/>
              <w:ind w:firstLine="480"/>
            </w:pPr>
            <w:r>
              <w:rPr>
                <w:rFonts w:ascii="仿宋_GB2312" w:hAnsi="仿宋_GB2312" w:cs="仿宋_GB2312" w:eastAsia="仿宋_GB2312"/>
                <w:color w:val="0000FF"/>
              </w:rPr>
              <w:t>（一）对服务商的业绩要求类似项目业绩</w:t>
            </w:r>
          </w:p>
          <w:p>
            <w:pPr>
              <w:pStyle w:val="null3"/>
              <w:ind w:firstLine="480"/>
            </w:pPr>
            <w:r>
              <w:rPr>
                <w:rFonts w:ascii="仿宋_GB2312" w:hAnsi="仿宋_GB2312" w:cs="仿宋_GB2312" w:eastAsia="仿宋_GB2312"/>
                <w:color w:val="0000FF"/>
              </w:rPr>
              <w:t>（二）进度要求</w:t>
            </w:r>
          </w:p>
          <w:p>
            <w:pPr>
              <w:pStyle w:val="null3"/>
              <w:ind w:firstLine="480"/>
            </w:pPr>
            <w:r>
              <w:rPr>
                <w:rFonts w:ascii="仿宋_GB2312" w:hAnsi="仿宋_GB2312" w:cs="仿宋_GB2312" w:eastAsia="仿宋_GB2312"/>
                <w:color w:val="0000FF"/>
              </w:rPr>
              <w:t>按甲方进度要求组织。</w:t>
            </w:r>
          </w:p>
          <w:p>
            <w:pPr>
              <w:pStyle w:val="null3"/>
              <w:ind w:firstLine="480"/>
            </w:pPr>
            <w:r>
              <w:rPr>
                <w:rFonts w:ascii="仿宋_GB2312" w:hAnsi="仿宋_GB2312" w:cs="仿宋_GB2312" w:eastAsia="仿宋_GB2312"/>
                <w:color w:val="0000FF"/>
              </w:rPr>
              <w:t>（三）成果交付要求</w:t>
            </w:r>
          </w:p>
          <w:p>
            <w:pPr>
              <w:pStyle w:val="null3"/>
              <w:ind w:firstLine="480"/>
            </w:pPr>
            <w:r>
              <w:rPr>
                <w:rFonts w:ascii="仿宋_GB2312" w:hAnsi="仿宋_GB2312" w:cs="仿宋_GB2312" w:eastAsia="仿宋_GB2312"/>
                <w:color w:val="0000FF"/>
              </w:rPr>
              <w:t>需达到采购人对项目的具体要求。</w:t>
            </w:r>
          </w:p>
          <w:p>
            <w:pPr>
              <w:pStyle w:val="null3"/>
              <w:ind w:firstLine="480"/>
            </w:pPr>
            <w:r>
              <w:rPr>
                <w:rFonts w:ascii="仿宋_GB2312" w:hAnsi="仿宋_GB2312" w:cs="仿宋_GB2312" w:eastAsia="仿宋_GB2312"/>
                <w:color w:val="0000FF"/>
              </w:rPr>
              <w:t>（四）质量验收标准或规范</w:t>
            </w:r>
          </w:p>
          <w:p>
            <w:pPr>
              <w:pStyle w:val="null3"/>
              <w:ind w:firstLine="480"/>
            </w:pPr>
            <w:r>
              <w:rPr>
                <w:rFonts w:ascii="仿宋_GB2312" w:hAnsi="仿宋_GB2312" w:cs="仿宋_GB2312" w:eastAsia="仿宋_GB2312"/>
                <w:color w:val="0000FF"/>
              </w:rPr>
              <w:t>1</w:t>
            </w:r>
            <w:r>
              <w:rPr>
                <w:rFonts w:ascii="仿宋_GB2312" w:hAnsi="仿宋_GB2312" w:cs="仿宋_GB2312" w:eastAsia="仿宋_GB2312"/>
                <w:color w:val="0000FF"/>
              </w:rPr>
              <w:t>、服务期满后按照成交供应商所提供的资料及数据进行验收；</w:t>
            </w:r>
          </w:p>
          <w:p>
            <w:pPr>
              <w:pStyle w:val="null3"/>
              <w:ind w:firstLine="480"/>
            </w:pPr>
            <w:r>
              <w:rPr>
                <w:rFonts w:ascii="仿宋_GB2312" w:hAnsi="仿宋_GB2312" w:cs="仿宋_GB2312" w:eastAsia="仿宋_GB2312"/>
                <w:color w:val="0000FF"/>
              </w:rPr>
              <w:t>2</w:t>
            </w:r>
            <w:r>
              <w:rPr>
                <w:rFonts w:ascii="仿宋_GB2312" w:hAnsi="仿宋_GB2312" w:cs="仿宋_GB2312" w:eastAsia="仿宋_GB2312"/>
                <w:color w:val="0000FF"/>
              </w:rPr>
              <w:t>、最终验收：自合同签订之日起至完成全部项目内容，需按照采购人确定的时间完成交付并验收合格，验收合格后，填写验收单。</w:t>
            </w:r>
          </w:p>
          <w:p>
            <w:pPr>
              <w:pStyle w:val="null3"/>
              <w:ind w:firstLine="480"/>
            </w:pPr>
            <w:r>
              <w:rPr>
                <w:rFonts w:ascii="仿宋_GB2312" w:hAnsi="仿宋_GB2312" w:cs="仿宋_GB2312" w:eastAsia="仿宋_GB2312"/>
                <w:color w:val="0000FF"/>
              </w:rPr>
              <w:t>3</w:t>
            </w:r>
            <w:r>
              <w:rPr>
                <w:rFonts w:ascii="仿宋_GB2312" w:hAnsi="仿宋_GB2312" w:cs="仿宋_GB2312" w:eastAsia="仿宋_GB2312"/>
                <w:color w:val="0000FF"/>
              </w:rPr>
              <w:t>、验收和评价方式</w:t>
            </w:r>
          </w:p>
          <w:p>
            <w:pPr>
              <w:pStyle w:val="null3"/>
              <w:ind w:firstLine="480"/>
            </w:pPr>
            <w:r>
              <w:rPr>
                <w:rFonts w:ascii="仿宋_GB2312" w:hAnsi="仿宋_GB2312" w:cs="仿宋_GB2312" w:eastAsia="仿宋_GB2312"/>
                <w:color w:val="0000FF"/>
              </w:rPr>
              <w:t>3.1</w:t>
            </w:r>
            <w:r>
              <w:rPr>
                <w:rFonts w:ascii="仿宋_GB2312" w:hAnsi="仿宋_GB2312" w:cs="仿宋_GB2312" w:eastAsia="仿宋_GB2312"/>
                <w:color w:val="0000FF"/>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ind w:firstLine="480"/>
            </w:pPr>
            <w:r>
              <w:rPr>
                <w:rFonts w:ascii="仿宋_GB2312" w:hAnsi="仿宋_GB2312" w:cs="仿宋_GB2312" w:eastAsia="仿宋_GB2312"/>
                <w:color w:val="0000FF"/>
              </w:rPr>
              <w:t xml:space="preserve">3.2 </w:t>
            </w:r>
            <w:r>
              <w:rPr>
                <w:rFonts w:ascii="仿宋_GB2312" w:hAnsi="仿宋_GB2312" w:cs="仿宋_GB2312" w:eastAsia="仿宋_GB2312"/>
                <w:color w:val="0000FF"/>
              </w:rPr>
              <w:t>、若发现乙方有弄虚作假的，及在项目实施阶段故意或随意夸大服务，本项目合同解除，乙方赔偿甲方相应的损失。</w:t>
            </w:r>
          </w:p>
          <w:p>
            <w:pPr>
              <w:pStyle w:val="null3"/>
              <w:ind w:firstLine="480"/>
            </w:pPr>
            <w:r>
              <w:rPr>
                <w:rFonts w:ascii="仿宋_GB2312" w:hAnsi="仿宋_GB2312" w:cs="仿宋_GB2312" w:eastAsia="仿宋_GB2312"/>
                <w:color w:val="0000FF"/>
              </w:rPr>
              <w:t>3.3</w:t>
            </w:r>
            <w:r>
              <w:rPr>
                <w:rFonts w:ascii="仿宋_GB2312" w:hAnsi="仿宋_GB2312" w:cs="仿宋_GB2312" w:eastAsia="仿宋_GB2312"/>
                <w:color w:val="0000FF"/>
              </w:rPr>
              <w:t>、验收标准：按磋商文件、磋商响应文件等服务指标进行逐项验收，各项指标均应符合验收标准及要求。</w:t>
            </w:r>
          </w:p>
          <w:p>
            <w:pPr>
              <w:pStyle w:val="null3"/>
              <w:ind w:firstLine="480"/>
            </w:pPr>
            <w:r>
              <w:rPr>
                <w:rFonts w:ascii="仿宋_GB2312" w:hAnsi="仿宋_GB2312" w:cs="仿宋_GB2312" w:eastAsia="仿宋_GB2312"/>
                <w:color w:val="0000FF"/>
              </w:rPr>
              <w:t>3.4</w:t>
            </w:r>
            <w:r>
              <w:rPr>
                <w:rFonts w:ascii="仿宋_GB2312" w:hAnsi="仿宋_GB2312" w:cs="仿宋_GB2312" w:eastAsia="仿宋_GB2312"/>
                <w:color w:val="0000FF"/>
              </w:rPr>
              <w:t>、验收合格后，填写验收单，双方盖章、签字生效。</w:t>
            </w:r>
          </w:p>
          <w:p>
            <w:pPr>
              <w:pStyle w:val="null3"/>
              <w:ind w:firstLine="480"/>
            </w:pPr>
            <w:r>
              <w:rPr>
                <w:rFonts w:ascii="仿宋_GB2312" w:hAnsi="仿宋_GB2312" w:cs="仿宋_GB2312" w:eastAsia="仿宋_GB2312"/>
                <w:color w:val="0000FF"/>
              </w:rPr>
              <w:t>3.5</w:t>
            </w:r>
            <w:r>
              <w:rPr>
                <w:rFonts w:ascii="仿宋_GB2312" w:hAnsi="仿宋_GB2312" w:cs="仿宋_GB2312" w:eastAsia="仿宋_GB2312"/>
                <w:color w:val="0000FF"/>
              </w:rPr>
              <w:t>、验收依据</w:t>
            </w:r>
          </w:p>
          <w:p>
            <w:pPr>
              <w:pStyle w:val="null3"/>
              <w:ind w:firstLine="480"/>
            </w:pPr>
            <w:r>
              <w:rPr>
                <w:rFonts w:ascii="仿宋_GB2312" w:hAnsi="仿宋_GB2312" w:cs="仿宋_GB2312" w:eastAsia="仿宋_GB2312"/>
                <w:color w:val="0000FF"/>
              </w:rPr>
              <w:t>3.5.1</w:t>
            </w:r>
            <w:r>
              <w:rPr>
                <w:rFonts w:ascii="仿宋_GB2312" w:hAnsi="仿宋_GB2312" w:cs="仿宋_GB2312" w:eastAsia="仿宋_GB2312"/>
                <w:color w:val="0000FF"/>
              </w:rPr>
              <w:t>、合同文本。</w:t>
            </w:r>
          </w:p>
          <w:p>
            <w:pPr>
              <w:pStyle w:val="null3"/>
              <w:ind w:firstLine="480"/>
            </w:pPr>
            <w:r>
              <w:rPr>
                <w:rFonts w:ascii="仿宋_GB2312" w:hAnsi="仿宋_GB2312" w:cs="仿宋_GB2312" w:eastAsia="仿宋_GB2312"/>
                <w:color w:val="0000FF"/>
              </w:rPr>
              <w:t>3.5.2</w:t>
            </w:r>
            <w:r>
              <w:rPr>
                <w:rFonts w:ascii="仿宋_GB2312" w:hAnsi="仿宋_GB2312" w:cs="仿宋_GB2312" w:eastAsia="仿宋_GB2312"/>
                <w:color w:val="0000FF"/>
              </w:rPr>
              <w:t>、磋商响应文件、磋商文件、澄清函。</w:t>
            </w:r>
          </w:p>
          <w:p>
            <w:pPr>
              <w:pStyle w:val="null3"/>
              <w:ind w:firstLine="480"/>
            </w:pPr>
            <w:r>
              <w:rPr>
                <w:rFonts w:ascii="仿宋_GB2312" w:hAnsi="仿宋_GB2312" w:cs="仿宋_GB2312" w:eastAsia="仿宋_GB2312"/>
                <w:color w:val="0000FF"/>
              </w:rPr>
              <w:t>3.5.3</w:t>
            </w:r>
            <w:r>
              <w:rPr>
                <w:rFonts w:ascii="仿宋_GB2312" w:hAnsi="仿宋_GB2312" w:cs="仿宋_GB2312" w:eastAsia="仿宋_GB2312"/>
                <w:color w:val="0000FF"/>
              </w:rPr>
              <w:t>、国家和行业制定的相应的标准和规范。</w:t>
            </w:r>
          </w:p>
          <w:p>
            <w:pPr>
              <w:pStyle w:val="null3"/>
              <w:ind w:firstLine="480"/>
            </w:pPr>
            <w:r>
              <w:rPr>
                <w:rFonts w:ascii="仿宋_GB2312" w:hAnsi="仿宋_GB2312" w:cs="仿宋_GB2312" w:eastAsia="仿宋_GB2312"/>
                <w:color w:val="0000FF"/>
              </w:rPr>
              <w:t>（五）违约责任</w:t>
            </w:r>
          </w:p>
          <w:p>
            <w:pPr>
              <w:pStyle w:val="null3"/>
              <w:ind w:firstLine="480"/>
            </w:pPr>
            <w:r>
              <w:rPr>
                <w:rFonts w:ascii="仿宋_GB2312" w:hAnsi="仿宋_GB2312" w:cs="仿宋_GB2312" w:eastAsia="仿宋_GB2312"/>
                <w:color w:val="0000FF"/>
              </w:rPr>
              <w:t>1</w:t>
            </w:r>
            <w:r>
              <w:rPr>
                <w:rFonts w:ascii="仿宋_GB2312" w:hAnsi="仿宋_GB2312" w:cs="仿宋_GB2312" w:eastAsia="仿宋_GB2312"/>
                <w:color w:val="0000FF"/>
              </w:rPr>
              <w:t>、按《民法典》中的相关条款执行。</w:t>
            </w:r>
          </w:p>
          <w:p>
            <w:pPr>
              <w:pStyle w:val="null3"/>
              <w:ind w:firstLine="480"/>
            </w:pPr>
            <w:r>
              <w:rPr>
                <w:rFonts w:ascii="仿宋_GB2312" w:hAnsi="仿宋_GB2312" w:cs="仿宋_GB2312" w:eastAsia="仿宋_GB2312"/>
                <w:color w:val="0000FF"/>
              </w:rPr>
              <w:t>2</w:t>
            </w:r>
            <w:r>
              <w:rPr>
                <w:rFonts w:ascii="仿宋_GB2312" w:hAnsi="仿宋_GB2312" w:cs="仿宋_GB2312" w:eastAsia="仿宋_GB2312"/>
                <w:color w:val="0000FF"/>
              </w:rPr>
              <w:t>、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ind w:firstLine="480"/>
            </w:pPr>
            <w:r>
              <w:rPr>
                <w:rFonts w:ascii="仿宋_GB2312" w:hAnsi="仿宋_GB2312" w:cs="仿宋_GB2312" w:eastAsia="仿宋_GB2312"/>
                <w:color w:val="0000FF"/>
              </w:rPr>
              <w:t>3</w:t>
            </w:r>
            <w:r>
              <w:rPr>
                <w:rFonts w:ascii="仿宋_GB2312" w:hAnsi="仿宋_GB2312" w:cs="仿宋_GB2312" w:eastAsia="仿宋_GB2312"/>
                <w:color w:val="0000FF"/>
              </w:rPr>
              <w:t>、如出现其他不可抗力因素造成无法按照原计划提供服务，双方互不追究违约责任。</w:t>
            </w:r>
          </w:p>
          <w:p>
            <w:pPr>
              <w:pStyle w:val="null3"/>
              <w:jc w:val="both"/>
            </w:pPr>
            <w:r>
              <w:rPr>
                <w:rFonts w:ascii="仿宋_GB2312" w:hAnsi="仿宋_GB2312" w:cs="仿宋_GB2312" w:eastAsia="仿宋_GB2312"/>
                <w:sz w:val="21"/>
                <w:color w:val="0000FF"/>
              </w:rPr>
              <w:t xml:space="preserve">          4</w:t>
            </w:r>
            <w:r>
              <w:rPr>
                <w:rFonts w:ascii="仿宋_GB2312" w:hAnsi="仿宋_GB2312" w:cs="仿宋_GB2312" w:eastAsia="仿宋_GB2312"/>
                <w:sz w:val="21"/>
                <w:color w:val="0000FF"/>
              </w:rPr>
              <w:t>、如有异议另行协商。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满足项目要求，供应商根据单位自身及项目实际情况自主配置。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满足项目要求，供应商根据单位自身及项目实际情况自主配置。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 3.1、乙方提供的服务最终验收达不到磋商文件要求和磋商响应文件承诺及国家或行业标准，或在使用中发现甲方不能容忍的缺陷等，将视为验收不合格，乙方应在甲方要求的时间内无条件完善或要求赔付采购人损失。 3.2 、若发现乙方有弄虚作假的，及在项目实施阶段故意或随意夸大服务，本项目合同解除，乙方赔偿甲方相应的损失。 3.3、验收标准：按磋商文件、磋商响应文件等服务指标进行逐项验收，各项指标均应符合验收标准及要求。 3.4、验收合格后，填写验收单，双方盖章、签字生效。 3.5、验收依据 3.5.1、合同文本。 3.5.2、磋商响应文件、磋商文件、澄清函。 3.5.3、国家和行业制定的相应的标准和规范。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合同签订后，供应商向采购方开具等额的增值税普通发票，采购方收到符合要求的发票后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项目验收合格后，供应商向采购方开具等额的增值税普通发票，采购方收到符合要求的发票后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3、如出现其他不可抗力因素造成无法按照原计划提供服务，双方互不追究违约责任。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2023年度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1日至今任意时段的缴纳证明，依法免税或不需要缴纳社会保障资金的投标人须提供相应证明文件，事业单位法人可不提供社会保障资金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1.本项目不接受联合体磋商； 2.单位负责人为同一人或者存在直接控股、管理关系的不同供应商，不得参加同一合同项下的政府采购活动；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供应商提供中小企业或监狱企业或残疾人福利单位的声明函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对本项目的工作内容理解清晰、全面，能清楚描述本次服务目标。分析详尽全面，具体描述合理得当，赋分10分；分析比较全面，具体描述比较合理，赋分8分；分析不充分，具体描述有欠妥当，赋分6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整体活动组织策划方案</w:t>
            </w:r>
          </w:p>
        </w:tc>
        <w:tc>
          <w:tcPr>
            <w:tcW w:type="dxa" w:w="2492"/>
          </w:tcPr>
          <w:p>
            <w:pPr>
              <w:pStyle w:val="null3"/>
            </w:pPr>
            <w:r>
              <w:rPr>
                <w:rFonts w:ascii="仿宋_GB2312" w:hAnsi="仿宋_GB2312" w:cs="仿宋_GB2312" w:eastAsia="仿宋_GB2312"/>
              </w:rPr>
              <w:t>策划方案详实、具体、切实可行、科学合理，针对性强，赋分10分；策划方案较细致、大部分响应内容切实可行、合理，赋分8分；策划方案模糊、目标不明确赋分6分。未提供不得分。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场地租赁、展位搭建、水电、安全保障方案</w:t>
            </w:r>
          </w:p>
        </w:tc>
        <w:tc>
          <w:tcPr>
            <w:tcW w:type="dxa" w:w="2492"/>
          </w:tcPr>
          <w:p>
            <w:pPr>
              <w:pStyle w:val="null3"/>
            </w:pPr>
            <w:r>
              <w:rPr>
                <w:rFonts w:ascii="仿宋_GB2312" w:hAnsi="仿宋_GB2312" w:cs="仿宋_GB2312" w:eastAsia="仿宋_GB2312"/>
              </w:rPr>
              <w:t>保障方案详实、具体、切实可行、科学合理，针对性强，赋分8分；保障方案较细致、大部分响应内容切实可行、合理，赋分6分；保障方案模糊、目标不明确赋分4分。未提供不得分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邀请活动参展商策划组织方案</w:t>
            </w:r>
          </w:p>
        </w:tc>
        <w:tc>
          <w:tcPr>
            <w:tcW w:type="dxa" w:w="2492"/>
          </w:tcPr>
          <w:p>
            <w:pPr>
              <w:pStyle w:val="null3"/>
            </w:pPr>
            <w:r>
              <w:rPr>
                <w:rFonts w:ascii="仿宋_GB2312" w:hAnsi="仿宋_GB2312" w:cs="仿宋_GB2312" w:eastAsia="仿宋_GB2312"/>
              </w:rPr>
              <w:t>策划组织方案详实、具体、切实可行、科学合理，针对性强，赋分8分；策划组织方案较细致、大部分响应内容切实可行、合理，赋分6分；策划组织方案模糊、目标不明确赋分4分。未提供不得分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活动现场组织执行和管理工作计划方案</w:t>
            </w:r>
          </w:p>
        </w:tc>
        <w:tc>
          <w:tcPr>
            <w:tcW w:type="dxa" w:w="2492"/>
          </w:tcPr>
          <w:p>
            <w:pPr>
              <w:pStyle w:val="null3"/>
            </w:pPr>
            <w:r>
              <w:rPr>
                <w:rFonts w:ascii="仿宋_GB2312" w:hAnsi="仿宋_GB2312" w:cs="仿宋_GB2312" w:eastAsia="仿宋_GB2312"/>
              </w:rPr>
              <w:t>计划方案详实、具体、切实可行、科学合理，针对性强，赋分8分；计划方案较细致、大部分响应内容切实可行、合理，赋分6分；计划方案模糊、目标不明确赋分4分。未提供不得分。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音响、物料、氛围营造等服务方案</w:t>
            </w:r>
          </w:p>
        </w:tc>
        <w:tc>
          <w:tcPr>
            <w:tcW w:type="dxa" w:w="2492"/>
          </w:tcPr>
          <w:p>
            <w:pPr>
              <w:pStyle w:val="null3"/>
            </w:pPr>
            <w:r>
              <w:rPr>
                <w:rFonts w:ascii="仿宋_GB2312" w:hAnsi="仿宋_GB2312" w:cs="仿宋_GB2312" w:eastAsia="仿宋_GB2312"/>
              </w:rPr>
              <w:t>服务方案详实、具体、切实可行、科学合理，针对性强，赋分8分；服务方案较细致、大部分响应内容切实可行、合理，赋分6分；服务方案模糊、目标不明确赋分4分。未提供不得分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嘉宾邀请，活动策划组织方案</w:t>
            </w:r>
          </w:p>
        </w:tc>
        <w:tc>
          <w:tcPr>
            <w:tcW w:type="dxa" w:w="2492"/>
          </w:tcPr>
          <w:p>
            <w:pPr>
              <w:pStyle w:val="null3"/>
            </w:pPr>
            <w:r>
              <w:rPr>
                <w:rFonts w:ascii="仿宋_GB2312" w:hAnsi="仿宋_GB2312" w:cs="仿宋_GB2312" w:eastAsia="仿宋_GB2312"/>
              </w:rPr>
              <w:t>组织方案详实、具体、切实可行、科学合理，针对性强，赋分8分；组织方案较细致、大部分响应内容切实可行、合理，赋分6分；组织方案模糊、目标不明确赋分4分。未提供不得分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整体活动媒体宣传、视频制作等服务方案</w:t>
            </w:r>
          </w:p>
        </w:tc>
        <w:tc>
          <w:tcPr>
            <w:tcW w:type="dxa" w:w="2492"/>
          </w:tcPr>
          <w:p>
            <w:pPr>
              <w:pStyle w:val="null3"/>
            </w:pPr>
            <w:r>
              <w:rPr>
                <w:rFonts w:ascii="仿宋_GB2312" w:hAnsi="仿宋_GB2312" w:cs="仿宋_GB2312" w:eastAsia="仿宋_GB2312"/>
              </w:rPr>
              <w:t>服务方案详实、具体、切实可行、科学合理，针对性强，赋分8分；服务方案较细致、大部分响应内容切实可行、合理，赋分6分；服务方案模糊、目标不明确赋分4分。未提供不得分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活动现场保洁、安保服务方案</w:t>
            </w:r>
          </w:p>
        </w:tc>
        <w:tc>
          <w:tcPr>
            <w:tcW w:type="dxa" w:w="2492"/>
          </w:tcPr>
          <w:p>
            <w:pPr>
              <w:pStyle w:val="null3"/>
            </w:pPr>
            <w:r>
              <w:rPr>
                <w:rFonts w:ascii="仿宋_GB2312" w:hAnsi="仿宋_GB2312" w:cs="仿宋_GB2312" w:eastAsia="仿宋_GB2312"/>
              </w:rPr>
              <w:t>服务方案详实、具体、切实可行、科学合理，针对性强，赋分8分；服务方案较细致、大部分响应内容切实可行、合理，赋分6分；服务方案模糊、目标不明确赋分4分。未提供不得分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拟投入项目团队人员分工明确、配置合理，经验丰富，专业性强，满足采购要求得5分；分工较明确、配置较合理、经验较丰富的，基本满足采购要求得3分， 分工不明确、配置一般、经验一般的，不能保证满足采购要求得2分。未提供不得分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应急保障方案详实、具体、切实可行、科学合理，针对性强，赋分4分；服务方案较细致、大部分响应内容切实可行、合理，赋分3分；服务方案模糊、目标不明确赋分2分。未提供不得分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提供2022年1月1日以来类似项目业绩。以合同签订日期为准，并以加盖供应商公章的合同关键页复印件为计分依据，每份合格业绩合同计1分，满分5分。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 2.磋商总报价得分=(磋商基准价／最终磋商总报价)×10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