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版本号：SZT2025-SN-XC-ZC-GC-059120250910003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发光字改造工程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SZT2025-SN-XC-ZC-GC-0591</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发光字改造工程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SZT2025-SN-XC-ZC-GC-0591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发光字改造工程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第一标段：发光字改造：原西安市第四医院更名为西安市人民医院（西安市第四医院），计划对两院区一级标识进行改造。 第二标段：全过程监理服务：本项目为发光字改造工程项目全过程监理服务。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采购包1（发光字改造）：属于专门面向中小企业采购。</w:t>
      </w:r>
    </w:p>
    <w:p>
      <w:pPr>
        <w:pStyle w:val="null3"/>
      </w:pPr>
      <w:r>
        <w:rPr>
          <w:rFonts w:ascii="仿宋_GB2312" w:hAnsi="仿宋_GB2312" w:cs="仿宋_GB2312" w:eastAsia="仿宋_GB2312"/>
        </w:rPr>
        <w:t>采购包2（全过程监理服务）：属于专门面向中小企业采购。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1、法定代表人授权委托：法定代表人授权代表参加磋商的，须出具法定代表人授权书及授权代表身份证（法定代表人直接参加磋商的，须出具法定代表人身份证） 注：供应商需在项目电子化交易系统中按要求上传相应证明文件并进行电子签章。</w:t>
      </w:r>
    </w:p>
    <w:p>
      <w:pPr>
        <w:pStyle w:val="null3"/>
      </w:pPr>
      <w:r>
        <w:rPr>
          <w:rFonts w:ascii="仿宋_GB2312" w:hAnsi="仿宋_GB2312" w:cs="仿宋_GB2312" w:eastAsia="仿宋_GB2312"/>
        </w:rPr>
        <w:t>2、供应商要求：具备建设行政主管部门颁发的建筑工程施工总承包三级及以上或建筑幕墙工程专业承包资质二级及以上或城市及道路照明工程专业承包资质三级及以上或钢结构工程专业承包二级及以上或建筑装修装饰工程专业承包二级及以上资质，并具备合法有效的安全生产许可证。 注：供应商需在项目电子化交易系统中按要求上传相应证明文件并进行电子签章。</w:t>
      </w:r>
    </w:p>
    <w:p>
      <w:pPr>
        <w:pStyle w:val="null3"/>
      </w:pPr>
      <w:r>
        <w:rPr>
          <w:rFonts w:ascii="仿宋_GB2312" w:hAnsi="仿宋_GB2312" w:cs="仿宋_GB2312" w:eastAsia="仿宋_GB2312"/>
        </w:rPr>
        <w:t>3、人员要求1：拟派施工项目负责人须具有建筑工程专业二级及以上注册建造师证书和有效的安全生产考核证书（B证）且无在建工程、无不良记录（提供无在建工程、无不良记录承诺书）； 注：供应商需在项目电子化交易系统中按要求上传相应证明文件并进行电子签章。</w:t>
      </w:r>
    </w:p>
    <w:p>
      <w:pPr>
        <w:pStyle w:val="null3"/>
      </w:pPr>
      <w:r>
        <w:rPr>
          <w:rFonts w:ascii="仿宋_GB2312" w:hAnsi="仿宋_GB2312" w:cs="仿宋_GB2312" w:eastAsia="仿宋_GB2312"/>
        </w:rPr>
        <w:t>4、人员要求2：项目团队成员须持有国家认可的证书：①高空作业证书、②电工证书、③焊工证书。 注：供应商需在项目电子化交易系统中按要求上传相应证明文件并进行电子签章。</w:t>
      </w:r>
    </w:p>
    <w:p>
      <w:pPr>
        <w:pStyle w:val="null3"/>
      </w:pPr>
      <w:r>
        <w:rPr>
          <w:rFonts w:ascii="仿宋_GB2312" w:hAnsi="仿宋_GB2312" w:cs="仿宋_GB2312" w:eastAsia="仿宋_GB2312"/>
        </w:rPr>
        <w:t>5、关于联合体磋商：本项目不接受联合体磋商。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1、法定代表人授权委托：法定代表人授权代表参加磋商的，须出具法定代表人授权书及授权代表身份证（法定代表人直接参加磋商的，须出具法定代表人身份证） 注：供应商需在项目电子化交易系统中按要求上传相应证明文件并进行电子签章。</w:t>
      </w:r>
    </w:p>
    <w:p>
      <w:pPr>
        <w:pStyle w:val="null3"/>
      </w:pPr>
      <w:r>
        <w:rPr>
          <w:rFonts w:ascii="仿宋_GB2312" w:hAnsi="仿宋_GB2312" w:cs="仿宋_GB2312" w:eastAsia="仿宋_GB2312"/>
        </w:rPr>
        <w:t>2、供应商要求：具备工程监理综合资质或房屋建筑工程监理乙级及以上资质。 注：供应商需在项目电子化交易系统中按要求上传相应证明文件并进行电子签章。</w:t>
      </w:r>
    </w:p>
    <w:p>
      <w:pPr>
        <w:pStyle w:val="null3"/>
      </w:pPr>
      <w:r>
        <w:rPr>
          <w:rFonts w:ascii="仿宋_GB2312" w:hAnsi="仿宋_GB2312" w:cs="仿宋_GB2312" w:eastAsia="仿宋_GB2312"/>
        </w:rPr>
        <w:t>3、人员要求：拟派项目总监理工程师具有房屋建筑工程专业国家注册监理工程师资格，且在本单位注册。 注：供应商需在项目电子化交易系统中按要求上传相应证明文件并进行电子签章。</w:t>
      </w:r>
    </w:p>
    <w:p>
      <w:pPr>
        <w:pStyle w:val="null3"/>
      </w:pPr>
      <w:r>
        <w:rPr>
          <w:rFonts w:ascii="仿宋_GB2312" w:hAnsi="仿宋_GB2312" w:cs="仿宋_GB2312" w:eastAsia="仿宋_GB2312"/>
        </w:rPr>
        <w:t>4、关于联合体磋商：本项目不接受联合体磋商。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西安市新城区解放路21号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029-61220013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赵倩、李毓菲、杨艳、李娜、单博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029-88364979-873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采购包1：2,440,000.00元</w:t>
            </w:r>
          </w:p>
          <w:p>
            <w:pPr>
              <w:pStyle w:val="null3"/>
            </w:pPr>
            <w:r>
              <w:rPr>
                <w:rFonts w:ascii="仿宋_GB2312" w:hAnsi="仿宋_GB2312" w:cs="仿宋_GB2312" w:eastAsia="仿宋_GB2312"/>
              </w:rPr>
              <w:t>采购包2：60,000.00元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代理服务费收费标准：第一标段：招标代理服务费的收取参见国家计委颁布的《招标代理服务收费管理暂行办法》（计价格[2002]1980号）和（发改办价格[2003]857号）中工程类收费标准下浮30%收取。 第二标段：招标代理服务费的收取参见国家计委颁布的《招标代理服务收费管理暂行办法》（计价格[2002]1980号）和（发改办价格[2003]857号）中服务类收费标准下浮30%收取。 开户名称：陕西中技招标有限公司 开户行名称：招商银行西安分行营业部 账 号：1299 1681 2810 001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踏勘时间：2025-07-15 10:00:00</w:t>
            </w:r>
          </w:p>
          <w:p>
            <w:pPr>
              <w:pStyle w:val="null3"/>
              <w:ind w:firstLine="975"/>
            </w:pPr>
            <w:r>
              <w:rPr>
                <w:rFonts w:ascii="仿宋_GB2312" w:hAnsi="仿宋_GB2312" w:cs="仿宋_GB2312" w:eastAsia="仿宋_GB2312"/>
              </w:rPr>
              <w:t>踏勘地点：1、大差市院区(门诊一部门口)10:00；2、航天城院区(门诊楼门口)14:00；3、供应商携带法定代表人授权书。</w:t>
            </w:r>
          </w:p>
          <w:p>
            <w:pPr>
              <w:pStyle w:val="null3"/>
              <w:ind w:firstLine="975"/>
            </w:pPr>
            <w:r>
              <w:rPr>
                <w:rFonts w:ascii="仿宋_GB2312" w:hAnsi="仿宋_GB2312" w:cs="仿宋_GB2312" w:eastAsia="仿宋_GB2312"/>
              </w:rPr>
              <w:t>联系人：赵倩</w:t>
            </w:r>
          </w:p>
          <w:p>
            <w:pPr>
              <w:pStyle w:val="null3"/>
              <w:ind w:firstLine="975"/>
            </w:pPr>
            <w:r>
              <w:rPr>
                <w:rFonts w:ascii="仿宋_GB2312" w:hAnsi="仿宋_GB2312" w:cs="仿宋_GB2312" w:eastAsia="仿宋_GB2312"/>
              </w:rPr>
              <w:t>联系电话号码：18192273463</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踏勘时间：2025-07-15 10:00:00</w:t>
            </w:r>
          </w:p>
          <w:p>
            <w:pPr>
              <w:pStyle w:val="null3"/>
              <w:ind w:firstLine="975"/>
            </w:pPr>
            <w:r>
              <w:rPr>
                <w:rFonts w:ascii="仿宋_GB2312" w:hAnsi="仿宋_GB2312" w:cs="仿宋_GB2312" w:eastAsia="仿宋_GB2312"/>
              </w:rPr>
              <w:t>踏勘地点：1、大差市院区(门诊一部门口)10:00；2、航天城院区(门诊楼门口)14:00；3、供应商携带法定代表人授权书。</w:t>
            </w:r>
          </w:p>
          <w:p>
            <w:pPr>
              <w:pStyle w:val="null3"/>
              <w:ind w:firstLine="975"/>
            </w:pPr>
            <w:r>
              <w:rPr>
                <w:rFonts w:ascii="仿宋_GB2312" w:hAnsi="仿宋_GB2312" w:cs="仿宋_GB2312" w:eastAsia="仿宋_GB2312"/>
              </w:rPr>
              <w:t>联系人：赵倩</w:t>
            </w:r>
          </w:p>
          <w:p>
            <w:pPr>
              <w:pStyle w:val="null3"/>
              <w:ind w:firstLine="975"/>
            </w:pPr>
            <w:r>
              <w:rPr>
                <w:rFonts w:ascii="仿宋_GB2312" w:hAnsi="仿宋_GB2312" w:cs="仿宋_GB2312" w:eastAsia="仿宋_GB2312"/>
              </w:rPr>
              <w:t>联系电话号码：18192273463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2,440,000.00</w:t>
      </w:r>
    </w:p>
    <w:p>
      <w:pPr>
        <w:pStyle w:val="null3"/>
      </w:pPr>
      <w:r>
        <w:rPr>
          <w:rFonts w:ascii="仿宋_GB2312" w:hAnsi="仿宋_GB2312" w:cs="仿宋_GB2312" w:eastAsia="仿宋_GB2312"/>
        </w:rPr>
        <w:t>采购包最高限价（元）: 2,440,000.00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发光字改造，1项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2,440,000.00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全过程监理服务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标的名称：发光字改造，1项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第一标段：发光字改造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一、工程内容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 根据设计图纸（图纸已设计完成）及工程量清单对两个院区旧发光字的拆除、模板制安、配电改造、新发光字制安等。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2. 新字安装前将图纸喷印1:1喷绘布在现场进行安装定位。</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二、工程量清单和计价依据</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1. 设计公司设计图纸（图纸与工程量清单不一致时以图纸为准。）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2. 造价公司工程量清单</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三、施工要求</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（1）总体原则：完善配套设施，功能与设施符合规范设计。 项目范围内的施工工艺、技术及材料的选择都应具有先进性，满足现代化医院的使用要求。工艺的安排应具有先进性、高可靠性、实用性、经济性与合理性。全部技术指标，包括材料、包装、运输、安装、调试等各项目技术参数，必须符合国家规范的相关要求。</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1、最终价格依照审计结果进行支付。</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2、协助配合采购人做好改造工程的解决办法、施工方案等工作，不计费用。</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3、严格按照采购人的指令要求进行施工，做好施工前、施工过程和施工后的照片记录，按要求做好验收、工程量签证，提交工程量清单，及时编制并提交工程结算。</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4、承包方应为现场施工人员需自行购买保险，相关用工风险、法律责任等由中标单位自行承担，施工过程要做好工程范围的安全防护措施，发生一切安全事故均由施工单位负责，院方不承担任何责任。</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（2）发光字相关行业规范（包含但不限于以下行业规范） 1. GB 50034-2013《建筑电气设计规范》（以下简称《规范》） 2. CJ/T 188-2004 《城市道路照明技术规范》 3. JC/T 858-2002《高速公路照明技术规定》 4. CJJ 45-2006《建筑节能设计标准》 5. CJ/T 97-2005《道路隧道照明设计规范》 6. GA/T 427-2003《城市公共安全防范技术标准》等 7. 符合国家、省级相关行业规范要求，如果有新的国家、行业标准公布，则按新标准执行。</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（3）废弃物处置 1、普通废弃物（如旧字、金属框架）自行清运并合规处理；如有归类的危险废物（如荧光灯管、电子元件）须交有资质单位处置。</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供应商在投标报价时应明确主材品牌、规格及型号，包含但不限于铝板发光字厚度。</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钢材材质应为国标足尺。</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执行《陕西省建设工程费用规则等计价依据》（2025）</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标的名称：全过程监理服务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第二标段：全过程监理服务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一、技术要求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1、审查承包方各项施工准备工作，在征得委托方同意后下达开工指令。</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2、审查承包方编制的施工组织设计、施工方案及施工进度计划并督促其实施。</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3、审查承包方或委托方提供的材料、设备清单及其所列的规格与数量</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4、督促、检查承包方严格执行合同和严格按照国家有关技术规范、标准、规程以及设计图纸、文件的要求进行施工和安装活动，督促其完善各阶段的工程技术资料。</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5、协助委托方组织设计交底和图纸会审会议。</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6、督促执行施工合同，协调委托方与承包方之间的争议。</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7、检查施工过程的主要部位、环节，进行隐蔽工程的施工验收签证，组织验收各分部分项工程。</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8、审核用于工程的主要设备材料、构件、成品的出厂合格证和试验报告等质量证明，禁止不合格的材料、构件等在工程上使用。</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9、审查承包方编制的工程进度计划，检查、签收承包方填报的工程计划及进度报表，随时提出监理意见，控制工程进度的实施。</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10、对于重大的设计修改和工程洽商，除提出监理意见之外，应征得委托方的同意，由设计单位出具设计变更文件；对不影响结构安全和使用功能的一般设计变更，监理人提出意见，由委托方负责协调设计单位签发。</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11、审核承包方已完成的合格的工程量，协助委托方搞好工程计量及变更工程量 的核增和核减； 监理人应根据工程施工承包合同的付款约定，签发进度款付款凭证，报委托方核定支付，严格进行投资控制。</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12、凡涉及增加和减少工程投资的设计变更、经济签证，监理人提出具体意见后报委托方签认后生效。</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13、监督检查承包方的管理制度、质量保证体系、文明施工及安全生产保证体系。</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14、协助委托方召集设计部门、承包方分析及处理工程质量事故，监督处理方案的实施，并进行质量验收。</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15、根据需要定期组织工程现场协调会，协调有关工程问题，并出具会议纪要。</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16、根据承包方提出的整体工程竣工验收申请报告，负责组织竣工初验，签署由承包方提出的竣工验收报告；协助委托方组织工程竣工验收，并提供工程项目施工阶段质量评估报告；监理工作完成后，监理人应提交一份监理工作总结供委托方存档。</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17、配合工程预、结算，根据工程施工承包合同的具体约定，对工程结算进行审 核与签证，并提出竣工结算审核意见书。</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18、不因工期延期，而调整监理服务费用。</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19、项目监理部应具有专职的安全人员，监理部人员配备应满足两院区同时施工的监理要求，且不少于2人。</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20、监理单位应配备相应的设备仪器。</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21、其他依法应由监理履行的职责。</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二、服务要求</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1、在服务过程中，应按照国家、省、市、行业相关法律、法规及工程监理规定、规范等，应结合工程具体情况按照甲方的指令完成（包括但不限于）标段划分、人、机、材、设备市场调研、造价编辑及审核等正常服务工作，费用已包含在正常服务酬金中。</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三、需要遵守的最新相关法律、法规及规定、规范等：</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1、《中华人民共和国建筑法》</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2、《中华人民共和国民法典》</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3、《陕西省建设工程费用规则等计价依据》（2025）</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见磋商文件3.1技术、服务标准和要求“一、技术、服务标准和要求”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见磋商文件3.1技术、服务标准和要求“一、技术、服务标准和要求”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见磋商文件3.1技术、服务标准和要求“一、技术、服务标准和要求”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一、商务要求： 1、项目预算： 第一标段：发光字改造，预算244万元（含暂列金7.684845万元）； 第二标段：全过程监理服务，预算6万元。 2、合同履行期限： 第一标段：施工工期：两院区同时施工，自采购人书面通知之日起120个日历日内完成全部项目施工并交付采购人验收合格使用，不得延期； 第二标段：本项目交付期跟随发光字改造工程项目整体工程。 3、合同支付约定： 第一标段：（1）建筑安装工程费支付方式：①自项目合同签订后，自合同签订之日起30个日历日内，以合同总价的10%作为预付款（包含安全文明施工措施费）。②具备项目验收条件，承包商申请验收后，一个月内组织验收。经采购人验收合格后30日内，支付至合同总价的50%；进入工程决算审计、财务决算审计阶段，获得有效的工程决算审计、财务决算审计报告后，自接到发票之日起，一个月内无息支付至审定总价的97%。③以验收合格日期算起，质保期满，无质量及技术服务问题，一个月内无息支付审计后审定总价的 3%。（2）银行转账。（3）结算方式：承包方持施工合同、合格的验收单、合格的审计结果、等额合规发票，与采购人结算。承包方延期提供发票或提供的发票不符合采购人要求的，采购人有权拒付合同款项且不承担任何法律责任。因承包方原因导致采购人不能及时付款的，采购人无需承担任何责任。 第二标段：（1）付款方式：全过程监理服务，配合工程启动，自接到发票之日起10个日历日，按全过程监理服务费*40%支付预付款，项目竣工验收合格后，给采购人出具《监理评估报告》和《监理工作总结》，并移交所有监理资料；自接到发票之日起10个日历日，支付剩余款项。（2）支付方式：银行转账。（3）合同总价包括：服务费和其它费用（人工费、交通费、检测费、验收、税费等费用）。（4）服务收费计算，不受市场价格变化等因素的影响。 4、质量保修范围和保修期： 第一标段：质保期十年； 第二标段：详见合同条款。 5、验收交付标准和方法： 第一标段：①自验收之日算起，按《建设工程质量管理条例》第三十二条规定：“施工单位对施工中出现质量问题的建设工程或者竣工验收不合格的建设工程，应当负责返修”，返修期间工期不顺延，由此产生的费用及造成的损失，承包方自行承担。②施工所需物品到达采购人指定地点后，采购人根据合同要求，进行外观验收，确认产地、规格、型号和数量。 ③隐蔽工程在隐蔽前须进行分项验收，承包方留存相关照片及资料。④按照采购人标书和承包方投标文件及承诺中的要求，安装、调试、检测，平稳运行，确认项目完成，承包方进行自检，自检合格后，准备验收文件，并书面通知采购人。⑤采购人确认承包方的自检内容后，组织承包方（必要时请有关专家）进行工程验收。验收合格后，填写验收单（一式六份）作为对项目的最终认可。⑥验收合格，承包方必须向采购人提供决算书及审计资料报送审计；如验收不合格，承包方应负责整改或返修，直至采购人验收合格为至，且工期不顺延，由此产生的费用及造成的损失及违约责任，承包方自行承担。若承包方交付项目验收不合格累计超过3次的，采购人有权选择解除合同，若合同解除，承包方应按照本协议违约责任第2款承担违约责任。若因承包方项目施工验收不合格导致承包方施工交付延期的，承包方仍应按合同违约责任第2款承担违约责任。⑦承包方向采购人提交项目实施过程中的所有资料，以便采购人日后管理和维护。⑧验收依据a采购文件、响应文件、澄清表（函）；b本合同及附件文本；c国家相应的标准、规范；d项目竣工资料、图纸、检验测试报告（包含纸质及电子扫描件）；e其它资料； 第二标段：详见合同条款。 二、其他事项 1、因系统编制限制，在此处进行特别说明：第一标段有为采购项目提供整体设计、规范编制或者项目管理、监理、检测等服务的供应商，是陕西省现代建筑设计研究院有限公司。 2、因系统编制限制，在此处进行特别说明：第一标段供应商应提供已标价的工程量清单。 3、（1）根据西安市财政局《关于促进政府采购公平竞争优化营商环境的通知》（市财函[2021]431号）文中“第16条规定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2）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 4、成交供应商在领取成交通知书时提供3套纸质响应文件（1正2副），纸质版响应文件应与线上电子响应文件保持一致并加盖公章。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1、有效的主体资格证明：具有独立承担民事责任能力的法人、其他组织或自然人，并出具合 法有效的营业执照或事业单位法人证书等国家规定的相关证明，自然人参与的提供其身份证 明。 2、税收缴纳证明：提供2024年6月至今已缴纳至少一个月的依法缴纳税款的相关凭据（时间以税款所属日期为准），凭据应有税务机关或代收机关的公章或业务专用章。依法免税或无须缴纳税款的供应商，应提供相关证明文件。 3、社会保障资金缴存证明：提供2024年6月至今已缴存的至少一个月的社会保障资金缴存单据或社保机构开具的社会保险参保缴费情况证明，依法不需要缴纳社会保障资金的单位应提供相关证明材料。 4、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5、承诺函：提供具有履行合同所必需的设备和专业技术能力的承诺函。 注：供应商需在项目电子化交易系统中上传1-5项相关证明文件并进行电子签章。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2024年度审计报告（成立时间至提交磋商文件截止时间不足一年的可提供成立后任意时段的资产负债表），或提交自2025年1月1日以来银行出具的资信证明，或信用担保机构出具的磋商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参加政府采购活动行为自律承诺书（二）.docx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1、有效的主体资格证明：具有独立承担民事责任能力的法人、其他组织或自然人，并出具合 法有效的营业执照或事业单位法人证书等国家规定的相关证明，自然人参与的提供其身份证 明。 2、税收缴纳证明：提供2024年6月至今已缴纳至少一个月的依法缴纳税款的相关凭据（时间以税款所属日期为准），凭据应有税务机关或代收机关的公章或业务专用章。依法免税或无须缴纳税款的供应商，应提供相关证明文件。 3、社会保障资金缴存证明：提供2024年6月至今已缴存的至少一个月的社会保障资金缴存单据或社保机构开具的社会保险参保缴费情况证明，依法不需要缴纳社会保障资金的单位应提供相关证明材料。 4、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5、承诺函：提供具有履行合同所必需的设备和专业技术能力的承诺函。 注：供应商需在项目电子化交易系统中上传1-5项相关证明文件并进行电子签章。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2024年度审计报告（成立时间至提交磋商文件截止时间不足一年的可提供成立后任意时段的资产负债表），或提交自2025年1月1日以来银行出具的资信证明，或信用担保机构出具的磋商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参加政府采购活动行为自律承诺书（二）.docx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w:t>
            </w:r>
          </w:p>
        </w:tc>
        <w:tc>
          <w:tcPr>
            <w:tcW w:type="dxa" w:w="3322"/>
          </w:tcPr>
          <w:p>
            <w:pPr>
              <w:pStyle w:val="null3"/>
            </w:pPr>
            <w:r>
              <w:rPr>
                <w:rFonts w:ascii="仿宋_GB2312" w:hAnsi="仿宋_GB2312" w:cs="仿宋_GB2312" w:eastAsia="仿宋_GB2312"/>
              </w:rPr>
              <w:t>法定代表人授权代表参加磋商的，须出具法定代表人授权书及授权代表身份证（法定代表人直接参加磋商的，须出具法定代表人身份证）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具备建设行政主管部门颁发的建筑工程施工总承包三级及以上或建筑幕墙工程专业承包资质二级及以上或城市及道路照明工程专业承包资质三级及以上或钢结构工程专业承包二级及以上或建筑装修装饰工程专业承包二级及以上资质，并具备合法有效的安全生产许可证。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人员要求1</w:t>
            </w:r>
          </w:p>
        </w:tc>
        <w:tc>
          <w:tcPr>
            <w:tcW w:type="dxa" w:w="3322"/>
          </w:tcPr>
          <w:p>
            <w:pPr>
              <w:pStyle w:val="null3"/>
            </w:pPr>
            <w:r>
              <w:rPr>
                <w:rFonts w:ascii="仿宋_GB2312" w:hAnsi="仿宋_GB2312" w:cs="仿宋_GB2312" w:eastAsia="仿宋_GB2312"/>
              </w:rPr>
              <w:t>拟派施工项目负责人须具有建筑工程专业二级及以上注册建造师证书和有效的安全生产考核证书（B证）且无在建工程、无不良记录（提供无在建工程、无不良记录承诺书）；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人员要求2</w:t>
            </w:r>
          </w:p>
        </w:tc>
        <w:tc>
          <w:tcPr>
            <w:tcW w:type="dxa" w:w="3322"/>
          </w:tcPr>
          <w:p>
            <w:pPr>
              <w:pStyle w:val="null3"/>
            </w:pPr>
            <w:r>
              <w:rPr>
                <w:rFonts w:ascii="仿宋_GB2312" w:hAnsi="仿宋_GB2312" w:cs="仿宋_GB2312" w:eastAsia="仿宋_GB2312"/>
              </w:rPr>
              <w:t>项目团队成员须持有国家认可的证书：①高空作业证书、②电工证书、③焊工证书。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关于联合体磋商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w:t>
            </w:r>
          </w:p>
        </w:tc>
        <w:tc>
          <w:tcPr>
            <w:tcW w:type="dxa" w:w="3322"/>
          </w:tcPr>
          <w:p>
            <w:pPr>
              <w:pStyle w:val="null3"/>
            </w:pPr>
            <w:r>
              <w:rPr>
                <w:rFonts w:ascii="仿宋_GB2312" w:hAnsi="仿宋_GB2312" w:cs="仿宋_GB2312" w:eastAsia="仿宋_GB2312"/>
              </w:rPr>
              <w:t>法定代表人授权代表参加磋商的，须出具法定代表人授权书及授权代表身份证（法定代表人直接参加磋商的，须出具法定代表人身份证）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具备工程监理综合资质或房屋建筑工程监理乙级及以上资质。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人员要求</w:t>
            </w:r>
          </w:p>
        </w:tc>
        <w:tc>
          <w:tcPr>
            <w:tcW w:type="dxa" w:w="3322"/>
          </w:tcPr>
          <w:p>
            <w:pPr>
              <w:pStyle w:val="null3"/>
            </w:pPr>
            <w:r>
              <w:rPr>
                <w:rFonts w:ascii="仿宋_GB2312" w:hAnsi="仿宋_GB2312" w:cs="仿宋_GB2312" w:eastAsia="仿宋_GB2312"/>
              </w:rPr>
              <w:t>拟派项目总监理工程师具有房屋建筑工程专业国家注册监理工程师资格，且在本单位注册。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关于联合体磋商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有下列情形之一的，应在符合性审查时按照无效响应处理：(1)响应文件未按照采购文件规定要求签署、盖章； (2)响应文件有效期不足或无有效期； (3)报价超过磋商文件中规定的采购包预算金额；(4）磋商文件规定的其他无效情形。</w:t>
            </w:r>
          </w:p>
        </w:tc>
        <w:tc>
          <w:tcPr>
            <w:tcW w:type="dxa" w:w="1661"/>
          </w:tcPr>
          <w:p>
            <w:pPr>
              <w:pStyle w:val="null3"/>
            </w:pPr>
            <w:r>
              <w:rPr>
                <w:rFonts w:ascii="仿宋_GB2312" w:hAnsi="仿宋_GB2312" w:cs="仿宋_GB2312" w:eastAsia="仿宋_GB2312"/>
              </w:rPr>
              <w:t>响应文件封面 已标价工程量清单 报价函 其他资料.docx 磋商报价表.docx 参加政府采购活动行为自律承诺书（一）.docx 陕西省政府采购供货商拒绝政府采购领域商业贿赂承诺书.docx 响应函 商务偏离表.docx 资格证明文件.docx 参加政府采购活动行为自律承诺书（二）.docx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磋商报价表.docx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有下列情形之一的，应在符合性审查时按照无效响应处理：(1)响应文件未按照采购文件规定要求签署、盖章； (2)响应文件有效期不足或无有效期； (3)报价超过磋商文件中规定的采购包预算金额；(4）磋商文件规定的其他无效情形。</w:t>
            </w:r>
          </w:p>
        </w:tc>
        <w:tc>
          <w:tcPr>
            <w:tcW w:type="dxa" w:w="1661"/>
          </w:tcPr>
          <w:p>
            <w:pPr>
              <w:pStyle w:val="null3"/>
            </w:pPr>
            <w:r>
              <w:rPr>
                <w:rFonts w:ascii="仿宋_GB2312" w:hAnsi="仿宋_GB2312" w:cs="仿宋_GB2312" w:eastAsia="仿宋_GB2312"/>
              </w:rPr>
              <w:t>响应文件封面 分项报价表.docx 报价函 标的清单 其他资料.docx 参加政府采购活动行为自律承诺书（一）.docx 陕西省政府采购供货商拒绝政府采购领域商业贿赂承诺书.docx 响应函 商务偏离表.docx 资格证明文件.docx 参加政府采购活动行为自律承诺书（二）.docx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详细评审40.00分</w:t>
            </w:r>
          </w:p>
          <w:p>
            <w:pPr>
              <w:pStyle w:val="null3"/>
            </w:pPr>
            <w:r>
              <w:rPr>
                <w:rFonts w:ascii="仿宋_GB2312" w:hAnsi="仿宋_GB2312" w:cs="仿宋_GB2312" w:eastAsia="仿宋_GB2312"/>
              </w:rPr>
              <w:t>报价得分60.00分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工程质量</w:t>
            </w:r>
          </w:p>
        </w:tc>
        <w:tc>
          <w:tcPr>
            <w:tcW w:type="dxa" w:w="2492"/>
          </w:tcPr>
          <w:p>
            <w:pPr>
              <w:pStyle w:val="null3"/>
            </w:pPr>
            <w:r>
              <w:rPr>
                <w:rFonts w:ascii="仿宋_GB2312" w:hAnsi="仿宋_GB2312" w:cs="仿宋_GB2312" w:eastAsia="仿宋_GB2312"/>
              </w:rPr>
              <w:t>确保工程质量的技术组织措施（1-4分），未提供不得分。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工程质量.docx</w:t>
            </w:r>
          </w:p>
        </w:tc>
      </w:tr>
      <w:tr>
        <w:tc>
          <w:tcPr>
            <w:tcW w:type="dxa" w:w="831"/>
            <w:vMerge/>
          </w:tcPr>
          <w:p/>
        </w:tc>
        <w:tc>
          <w:tcPr>
            <w:tcW w:type="dxa" w:w="1661"/>
          </w:tcPr>
          <w:p>
            <w:pPr>
              <w:pStyle w:val="null3"/>
            </w:pPr>
            <w:r>
              <w:rPr>
                <w:rFonts w:ascii="仿宋_GB2312" w:hAnsi="仿宋_GB2312" w:cs="仿宋_GB2312" w:eastAsia="仿宋_GB2312"/>
              </w:rPr>
              <w:t>安全生产</w:t>
            </w:r>
          </w:p>
        </w:tc>
        <w:tc>
          <w:tcPr>
            <w:tcW w:type="dxa" w:w="2492"/>
          </w:tcPr>
          <w:p>
            <w:pPr>
              <w:pStyle w:val="null3"/>
            </w:pPr>
            <w:r>
              <w:rPr>
                <w:rFonts w:ascii="仿宋_GB2312" w:hAnsi="仿宋_GB2312" w:cs="仿宋_GB2312" w:eastAsia="仿宋_GB2312"/>
              </w:rPr>
              <w:t>确保安全生产的技术组织措施（1-4分），未提供不得分。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安全生产.docx</w:t>
            </w:r>
          </w:p>
        </w:tc>
      </w:tr>
      <w:tr>
        <w:tc>
          <w:tcPr>
            <w:tcW w:type="dxa" w:w="831"/>
            <w:vMerge/>
          </w:tcPr>
          <w:p/>
        </w:tc>
        <w:tc>
          <w:tcPr>
            <w:tcW w:type="dxa" w:w="1661"/>
          </w:tcPr>
          <w:p>
            <w:pPr>
              <w:pStyle w:val="null3"/>
            </w:pPr>
            <w:r>
              <w:rPr>
                <w:rFonts w:ascii="仿宋_GB2312" w:hAnsi="仿宋_GB2312" w:cs="仿宋_GB2312" w:eastAsia="仿宋_GB2312"/>
              </w:rPr>
              <w:t>文明施工</w:t>
            </w:r>
          </w:p>
        </w:tc>
        <w:tc>
          <w:tcPr>
            <w:tcW w:type="dxa" w:w="2492"/>
          </w:tcPr>
          <w:p>
            <w:pPr>
              <w:pStyle w:val="null3"/>
            </w:pPr>
            <w:r>
              <w:rPr>
                <w:rFonts w:ascii="仿宋_GB2312" w:hAnsi="仿宋_GB2312" w:cs="仿宋_GB2312" w:eastAsia="仿宋_GB2312"/>
              </w:rPr>
              <w:t>确保文明施工的技术组织措施、环境保护措施、成品保护措施（1-4分），未提供不得分。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文明施工.docx</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确保工期的技术组织措施（1-3分），未提供不得分。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工期.docx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施工方案及项目经理部组成，根据项目人员组成、专业证书、项目经理同类项目业绩综合赋分（1-4分），未提供不得分。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w:t>
            </w:r>
          </w:p>
        </w:tc>
        <w:tc>
          <w:tcPr>
            <w:tcW w:type="dxa" w:w="2492"/>
          </w:tcPr>
          <w:p>
            <w:pPr>
              <w:pStyle w:val="null3"/>
            </w:pPr>
            <w:r>
              <w:rPr>
                <w:rFonts w:ascii="仿宋_GB2312" w:hAnsi="仿宋_GB2312" w:cs="仿宋_GB2312" w:eastAsia="仿宋_GB2312"/>
              </w:rPr>
              <w:t>施工机械配备和材料投入计划（1-3分），未提供不得分。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施工机械配备和材料投入.docx</w:t>
            </w:r>
          </w:p>
        </w:tc>
      </w:tr>
      <w:tr>
        <w:tc>
          <w:tcPr>
            <w:tcW w:type="dxa" w:w="831"/>
            <w:vMerge/>
          </w:tcPr>
          <w:p/>
        </w:tc>
        <w:tc>
          <w:tcPr>
            <w:tcW w:type="dxa" w:w="1661"/>
          </w:tcPr>
          <w:p>
            <w:pPr>
              <w:pStyle w:val="null3"/>
            </w:pPr>
            <w:r>
              <w:rPr>
                <w:rFonts w:ascii="仿宋_GB2312" w:hAnsi="仿宋_GB2312" w:cs="仿宋_GB2312" w:eastAsia="仿宋_GB2312"/>
              </w:rPr>
              <w:t>劳动力安排</w:t>
            </w:r>
          </w:p>
        </w:tc>
        <w:tc>
          <w:tcPr>
            <w:tcW w:type="dxa" w:w="2492"/>
          </w:tcPr>
          <w:p>
            <w:pPr>
              <w:pStyle w:val="null3"/>
            </w:pPr>
            <w:r>
              <w:rPr>
                <w:rFonts w:ascii="仿宋_GB2312" w:hAnsi="仿宋_GB2312" w:cs="仿宋_GB2312" w:eastAsia="仿宋_GB2312"/>
              </w:rPr>
              <w:t>劳动力安排计划及劳务分工情况表（1-3分），未提供不得分。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劳动力安排.docx</w:t>
            </w:r>
          </w:p>
        </w:tc>
      </w:tr>
      <w:tr>
        <w:tc>
          <w:tcPr>
            <w:tcW w:type="dxa" w:w="831"/>
            <w:vMerge/>
          </w:tcPr>
          <w:p/>
        </w:tc>
        <w:tc>
          <w:tcPr>
            <w:tcW w:type="dxa" w:w="1661"/>
          </w:tcPr>
          <w:p>
            <w:pPr>
              <w:pStyle w:val="null3"/>
            </w:pPr>
            <w:r>
              <w:rPr>
                <w:rFonts w:ascii="仿宋_GB2312" w:hAnsi="仿宋_GB2312" w:cs="仿宋_GB2312" w:eastAsia="仿宋_GB2312"/>
              </w:rPr>
              <w:t>施工进度表</w:t>
            </w:r>
          </w:p>
        </w:tc>
        <w:tc>
          <w:tcPr>
            <w:tcW w:type="dxa" w:w="2492"/>
          </w:tcPr>
          <w:p>
            <w:pPr>
              <w:pStyle w:val="null3"/>
            </w:pPr>
            <w:r>
              <w:rPr>
                <w:rFonts w:ascii="仿宋_GB2312" w:hAnsi="仿宋_GB2312" w:cs="仿宋_GB2312" w:eastAsia="仿宋_GB2312"/>
              </w:rPr>
              <w:t>施工进度表或施工网络图（1-2分），未提供不得分。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施工进度表.docx</w:t>
            </w:r>
          </w:p>
        </w:tc>
      </w:tr>
      <w:tr>
        <w:tc>
          <w:tcPr>
            <w:tcW w:type="dxa" w:w="831"/>
            <w:vMerge/>
          </w:tcPr>
          <w:p/>
        </w:tc>
        <w:tc>
          <w:tcPr>
            <w:tcW w:type="dxa" w:w="1661"/>
          </w:tcPr>
          <w:p>
            <w:pPr>
              <w:pStyle w:val="null3"/>
            </w:pPr>
            <w:r>
              <w:rPr>
                <w:rFonts w:ascii="仿宋_GB2312" w:hAnsi="仿宋_GB2312" w:cs="仿宋_GB2312" w:eastAsia="仿宋_GB2312"/>
              </w:rPr>
              <w:t>垃圾清运</w:t>
            </w:r>
          </w:p>
        </w:tc>
        <w:tc>
          <w:tcPr>
            <w:tcW w:type="dxa" w:w="2492"/>
          </w:tcPr>
          <w:p>
            <w:pPr>
              <w:pStyle w:val="null3"/>
            </w:pPr>
            <w:r>
              <w:rPr>
                <w:rFonts w:ascii="仿宋_GB2312" w:hAnsi="仿宋_GB2312" w:cs="仿宋_GB2312" w:eastAsia="仿宋_GB2312"/>
              </w:rPr>
              <w:t>普通废弃物（如旧字、金属框架）垃圾清运及合规处理方案（1-3分），未提供不得分。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垃圾清运.docx</w:t>
            </w:r>
          </w:p>
        </w:tc>
      </w:tr>
      <w:tr>
        <w:tc>
          <w:tcPr>
            <w:tcW w:type="dxa" w:w="831"/>
            <w:vMerge/>
          </w:tcPr>
          <w:p/>
        </w:tc>
        <w:tc>
          <w:tcPr>
            <w:tcW w:type="dxa" w:w="1661"/>
          </w:tcPr>
          <w:p>
            <w:pPr>
              <w:pStyle w:val="null3"/>
            </w:pPr>
            <w:r>
              <w:rPr>
                <w:rFonts w:ascii="仿宋_GB2312" w:hAnsi="仿宋_GB2312" w:cs="仿宋_GB2312" w:eastAsia="仿宋_GB2312"/>
              </w:rPr>
              <w:t>后续服务保障</w:t>
            </w:r>
          </w:p>
        </w:tc>
        <w:tc>
          <w:tcPr>
            <w:tcW w:type="dxa" w:w="2492"/>
          </w:tcPr>
          <w:p>
            <w:pPr>
              <w:pStyle w:val="null3"/>
            </w:pPr>
            <w:r>
              <w:rPr>
                <w:rFonts w:ascii="仿宋_GB2312" w:hAnsi="仿宋_GB2312" w:cs="仿宋_GB2312" w:eastAsia="仿宋_GB2312"/>
              </w:rPr>
              <w:t>后续服务保障承诺（1-2），未提供不得分。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后续服务保障.docx</w:t>
            </w:r>
          </w:p>
        </w:tc>
      </w:tr>
      <w:tr>
        <w:tc>
          <w:tcPr>
            <w:tcW w:type="dxa" w:w="831"/>
            <w:vMerge/>
          </w:tcPr>
          <w:p/>
        </w:tc>
        <w:tc>
          <w:tcPr>
            <w:tcW w:type="dxa" w:w="1661"/>
          </w:tcPr>
          <w:p>
            <w:pPr>
              <w:pStyle w:val="null3"/>
            </w:pPr>
            <w:r>
              <w:rPr>
                <w:rFonts w:ascii="仿宋_GB2312" w:hAnsi="仿宋_GB2312" w:cs="仿宋_GB2312" w:eastAsia="仿宋_GB2312"/>
              </w:rPr>
              <w:t>项目发光字工艺、生产、运输及安装重点、难点和针对性措施</w:t>
            </w:r>
          </w:p>
        </w:tc>
        <w:tc>
          <w:tcPr>
            <w:tcW w:type="dxa" w:w="2492"/>
          </w:tcPr>
          <w:p>
            <w:pPr>
              <w:pStyle w:val="null3"/>
            </w:pPr>
            <w:r>
              <w:rPr>
                <w:rFonts w:ascii="仿宋_GB2312" w:hAnsi="仿宋_GB2312" w:cs="仿宋_GB2312" w:eastAsia="仿宋_GB2312"/>
              </w:rPr>
              <w:t>项目发光字工艺、生产、运输及安装重点、难点和针对性措施（1-3），未提供不得分。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项目发光字工艺、生产、运输及安装重点、难点和针对性措施.docx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提供2022年6月1日起至今同类工程业绩，每个有效业绩得1分，满分5分。（时间以合同签订日期为准，提供合同复印件加盖公章）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满足磋商文件要求且最终响应报价最低的报价为评审基准价，其价格分为满分60分。 磋商报价得分=（评审基准价/磋商报价）*价格分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监理工作范围、目标</w:t>
            </w:r>
          </w:p>
        </w:tc>
        <w:tc>
          <w:tcPr>
            <w:tcW w:type="dxa" w:w="2492"/>
          </w:tcPr>
          <w:p>
            <w:pPr>
              <w:pStyle w:val="null3"/>
            </w:pPr>
            <w:r>
              <w:rPr>
                <w:rFonts w:ascii="仿宋_GB2312" w:hAnsi="仿宋_GB2312" w:cs="仿宋_GB2312" w:eastAsia="仿宋_GB2312"/>
              </w:rPr>
              <w:t>由磋商小组进行赋分，监理工作范围、内容、目标及监理依据准确全面、工程特点分析全面得6分；监理工作范围、内容、目标及监理依据准确较全面、工程特点分析较全面得3分；监理工作范围、内容、目标及监理依据准确不全面、工程特点分析不全面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监理工作范围、目标.docx</w:t>
            </w:r>
          </w:p>
        </w:tc>
      </w:tr>
      <w:tr>
        <w:tc>
          <w:tcPr>
            <w:tcW w:type="dxa" w:w="831"/>
            <w:vMerge/>
          </w:tcPr>
          <w:p/>
        </w:tc>
        <w:tc>
          <w:tcPr>
            <w:tcW w:type="dxa" w:w="1661"/>
          </w:tcPr>
          <w:p>
            <w:pPr>
              <w:pStyle w:val="null3"/>
            </w:pPr>
            <w:r>
              <w:rPr>
                <w:rFonts w:ascii="仿宋_GB2312" w:hAnsi="仿宋_GB2312" w:cs="仿宋_GB2312" w:eastAsia="仿宋_GB2312"/>
              </w:rPr>
              <w:t>监理工作制度、程序</w:t>
            </w:r>
          </w:p>
        </w:tc>
        <w:tc>
          <w:tcPr>
            <w:tcW w:type="dxa" w:w="2492"/>
          </w:tcPr>
          <w:p>
            <w:pPr>
              <w:pStyle w:val="null3"/>
            </w:pPr>
            <w:r>
              <w:rPr>
                <w:rFonts w:ascii="仿宋_GB2312" w:hAnsi="仿宋_GB2312" w:cs="仿宋_GB2312" w:eastAsia="仿宋_GB2312"/>
              </w:rPr>
              <w:t>由磋商小组进行赋分，制度符合监理规范要求，程序明确工作内容、行为主体等得6分；制度符合监理规范要求，程序基本明确工作内容、行为主体等得3分；制度符合监理规范要求，程序基不够明确工作内容、行为主体等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监理工作制度、程序.docx</w:t>
            </w:r>
          </w:p>
        </w:tc>
      </w:tr>
      <w:tr>
        <w:tc>
          <w:tcPr>
            <w:tcW w:type="dxa" w:w="831"/>
            <w:vMerge/>
          </w:tcPr>
          <w:p/>
        </w:tc>
        <w:tc>
          <w:tcPr>
            <w:tcW w:type="dxa" w:w="1661"/>
          </w:tcPr>
          <w:p>
            <w:pPr>
              <w:pStyle w:val="null3"/>
            </w:pPr>
            <w:r>
              <w:rPr>
                <w:rFonts w:ascii="仿宋_GB2312" w:hAnsi="仿宋_GB2312" w:cs="仿宋_GB2312" w:eastAsia="仿宋_GB2312"/>
              </w:rPr>
              <w:t>监理机构的组织形式、人员岗位职责</w:t>
            </w:r>
          </w:p>
        </w:tc>
        <w:tc>
          <w:tcPr>
            <w:tcW w:type="dxa" w:w="2492"/>
          </w:tcPr>
          <w:p>
            <w:pPr>
              <w:pStyle w:val="null3"/>
            </w:pPr>
            <w:r>
              <w:rPr>
                <w:rFonts w:ascii="仿宋_GB2312" w:hAnsi="仿宋_GB2312" w:cs="仿宋_GB2312" w:eastAsia="仿宋_GB2312"/>
              </w:rPr>
              <w:t>由磋商小组进行赋分，人员齐备、专业配套、职责分工明确、相关岗位证书齐全，得6分；人员较为齐备、专业配套一般、职责分工较明确、相关岗位证书较为齐全，得3分；人员较为齐备、专业配套较差、职责分工不明确、相关岗位证书不齐全，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监理机构的组织形式、人员岗位职责.docx</w:t>
            </w:r>
          </w:p>
        </w:tc>
      </w:tr>
      <w:tr>
        <w:tc>
          <w:tcPr>
            <w:tcW w:type="dxa" w:w="831"/>
            <w:vMerge/>
          </w:tcPr>
          <w:p/>
        </w:tc>
        <w:tc>
          <w:tcPr>
            <w:tcW w:type="dxa" w:w="1661"/>
          </w:tcPr>
          <w:p>
            <w:pPr>
              <w:pStyle w:val="null3"/>
            </w:pPr>
            <w:r>
              <w:rPr>
                <w:rFonts w:ascii="仿宋_GB2312" w:hAnsi="仿宋_GB2312" w:cs="仿宋_GB2312" w:eastAsia="仿宋_GB2312"/>
              </w:rPr>
              <w:t>进度控制管理措施</w:t>
            </w:r>
          </w:p>
        </w:tc>
        <w:tc>
          <w:tcPr>
            <w:tcW w:type="dxa" w:w="2492"/>
          </w:tcPr>
          <w:p>
            <w:pPr>
              <w:pStyle w:val="null3"/>
            </w:pPr>
            <w:r>
              <w:rPr>
                <w:rFonts w:ascii="仿宋_GB2312" w:hAnsi="仿宋_GB2312" w:cs="仿宋_GB2312" w:eastAsia="仿宋_GB2312"/>
              </w:rPr>
              <w:t>由磋商小组进行赋分，进度控制管理措施合理、可行、计划制定科学、过程监控有效性高、偏差调整及时得6分；进度控制管理措施基本合理、可行、计划制定较科学、过程监控有效性较高、偏差调整较及时得3分；进度控制管理措施不够合理、可行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进度控制管理措施.docx</w:t>
            </w:r>
          </w:p>
        </w:tc>
      </w:tr>
      <w:tr>
        <w:tc>
          <w:tcPr>
            <w:tcW w:type="dxa" w:w="831"/>
            <w:vMerge/>
          </w:tcPr>
          <w:p/>
        </w:tc>
        <w:tc>
          <w:tcPr>
            <w:tcW w:type="dxa" w:w="1661"/>
          </w:tcPr>
          <w:p>
            <w:pPr>
              <w:pStyle w:val="null3"/>
            </w:pPr>
            <w:r>
              <w:rPr>
                <w:rFonts w:ascii="仿宋_GB2312" w:hAnsi="仿宋_GB2312" w:cs="仿宋_GB2312" w:eastAsia="仿宋_GB2312"/>
              </w:rPr>
              <w:t>投资控制管理措施</w:t>
            </w:r>
          </w:p>
        </w:tc>
        <w:tc>
          <w:tcPr>
            <w:tcW w:type="dxa" w:w="2492"/>
          </w:tcPr>
          <w:p>
            <w:pPr>
              <w:pStyle w:val="null3"/>
            </w:pPr>
            <w:r>
              <w:rPr>
                <w:rFonts w:ascii="仿宋_GB2312" w:hAnsi="仿宋_GB2312" w:cs="仿宋_GB2312" w:eastAsia="仿宋_GB2312"/>
              </w:rPr>
              <w:t>由磋商小组进行赋分，投资控制管理措施合理、可行、过程控制精准性高得6分，投资控制管理措施基本合理、可行、过程控制精准性较高得3分，投资控制管理措施不够合理、可行、过程控制精准性差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投资控制管理措施.docx</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由磋商小组进行赋分，质量控制管理措施合理、可行、过程控制有效、检测验收严谨得6分，质量控制管理措施基本合理、可行、过程控制较有效、检测验收较严谨得3分，质量控制管理措施不够合理、可行、过程控制无效、检测验收不严谨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质量控制管理措施.docx</w:t>
            </w:r>
          </w:p>
        </w:tc>
      </w:tr>
      <w:tr>
        <w:tc>
          <w:tcPr>
            <w:tcW w:type="dxa" w:w="831"/>
            <w:vMerge/>
          </w:tcPr>
          <w:p/>
        </w:tc>
        <w:tc>
          <w:tcPr>
            <w:tcW w:type="dxa" w:w="1661"/>
          </w:tcPr>
          <w:p>
            <w:pPr>
              <w:pStyle w:val="null3"/>
            </w:pPr>
            <w:r>
              <w:rPr>
                <w:rFonts w:ascii="仿宋_GB2312" w:hAnsi="仿宋_GB2312" w:cs="仿宋_GB2312" w:eastAsia="仿宋_GB2312"/>
              </w:rPr>
              <w:t>安全文明施工监督措施</w:t>
            </w:r>
          </w:p>
        </w:tc>
        <w:tc>
          <w:tcPr>
            <w:tcW w:type="dxa" w:w="2492"/>
          </w:tcPr>
          <w:p>
            <w:pPr>
              <w:pStyle w:val="null3"/>
            </w:pPr>
            <w:r>
              <w:rPr>
                <w:rFonts w:ascii="仿宋_GB2312" w:hAnsi="仿宋_GB2312" w:cs="仿宋_GB2312" w:eastAsia="仿宋_GB2312"/>
              </w:rPr>
              <w:t>由磋商小组进行赋分，全文明施工监督措施合理、可行、制度责任全面、过程监督得6分，全文明施工监督措施基本合理、可行、制度责任较全面、过程监督得3分，全文明施工监督措施不够合理、可行、制度责任不全面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安全文明施工监督措施.docx</w:t>
            </w:r>
          </w:p>
        </w:tc>
      </w:tr>
      <w:tr>
        <w:tc>
          <w:tcPr>
            <w:tcW w:type="dxa" w:w="831"/>
            <w:vMerge/>
          </w:tcPr>
          <w:p/>
        </w:tc>
        <w:tc>
          <w:tcPr>
            <w:tcW w:type="dxa" w:w="1661"/>
          </w:tcPr>
          <w:p>
            <w:pPr>
              <w:pStyle w:val="null3"/>
            </w:pPr>
            <w:r>
              <w:rPr>
                <w:rFonts w:ascii="仿宋_GB2312" w:hAnsi="仿宋_GB2312" w:cs="仿宋_GB2312" w:eastAsia="仿宋_GB2312"/>
              </w:rPr>
              <w:t>本工程难点部位的监理措施，重点部位的控制方法</w:t>
            </w:r>
          </w:p>
        </w:tc>
        <w:tc>
          <w:tcPr>
            <w:tcW w:type="dxa" w:w="2492"/>
          </w:tcPr>
          <w:p>
            <w:pPr>
              <w:pStyle w:val="null3"/>
            </w:pPr>
            <w:r>
              <w:rPr>
                <w:rFonts w:ascii="仿宋_GB2312" w:hAnsi="仿宋_GB2312" w:cs="仿宋_GB2312" w:eastAsia="仿宋_GB2312"/>
              </w:rPr>
              <w:t>由磋商小组进行赋分，本工程难点部位的监理措施，重点部位的控制方法合理、可行、有针对性、可实施得6分，本工程难点部位的监理措施，重点部位的控制方法基本合理、可行、有针对性得3分，本工程难点部位的监理措施，重点部位的控制方法不够合理、可行、套用其他项目内容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本工程难点部位的监理措施，重点部位的控制方法.docx</w:t>
            </w:r>
          </w:p>
        </w:tc>
      </w:tr>
      <w:tr>
        <w:tc>
          <w:tcPr>
            <w:tcW w:type="dxa" w:w="831"/>
            <w:vMerge/>
          </w:tcPr>
          <w:p/>
        </w:tc>
        <w:tc>
          <w:tcPr>
            <w:tcW w:type="dxa" w:w="1661"/>
          </w:tcPr>
          <w:p>
            <w:pPr>
              <w:pStyle w:val="null3"/>
            </w:pPr>
            <w:r>
              <w:rPr>
                <w:rFonts w:ascii="仿宋_GB2312" w:hAnsi="仿宋_GB2312" w:cs="仿宋_GB2312" w:eastAsia="仿宋_GB2312"/>
              </w:rPr>
              <w:t>合同及信息方面协调管理措施</w:t>
            </w:r>
          </w:p>
        </w:tc>
        <w:tc>
          <w:tcPr>
            <w:tcW w:type="dxa" w:w="2492"/>
          </w:tcPr>
          <w:p>
            <w:pPr>
              <w:pStyle w:val="null3"/>
            </w:pPr>
            <w:r>
              <w:rPr>
                <w:rFonts w:ascii="仿宋_GB2312" w:hAnsi="仿宋_GB2312" w:cs="仿宋_GB2312" w:eastAsia="仿宋_GB2312"/>
              </w:rPr>
              <w:t>由磋商小组进行赋分，合同及信息方面协调管理措施合理、可行、合同全周期管理效率高、信息传递与共享快得6分，合同及信息方面协调管理措施基本合理、可行、合同全周期管理效率较高、信息传递与共享较快得3分，合同及信息方面协调管理措施不够合理、可行、合同全周期管理效率低、信息传递与共享慢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合同及信息方面协调管理措施.docx</w:t>
            </w:r>
          </w:p>
        </w:tc>
      </w:tr>
      <w:tr>
        <w:tc>
          <w:tcPr>
            <w:tcW w:type="dxa" w:w="831"/>
            <w:vMerge/>
          </w:tcPr>
          <w:p/>
        </w:tc>
        <w:tc>
          <w:tcPr>
            <w:tcW w:type="dxa" w:w="1661"/>
          </w:tcPr>
          <w:p>
            <w:pPr>
              <w:pStyle w:val="null3"/>
            </w:pPr>
            <w:r>
              <w:rPr>
                <w:rFonts w:ascii="仿宋_GB2312" w:hAnsi="仿宋_GB2312" w:cs="仿宋_GB2312" w:eastAsia="仿宋_GB2312"/>
              </w:rPr>
              <w:t>保修阶段的服务管理措施</w:t>
            </w:r>
          </w:p>
        </w:tc>
        <w:tc>
          <w:tcPr>
            <w:tcW w:type="dxa" w:w="2492"/>
          </w:tcPr>
          <w:p>
            <w:pPr>
              <w:pStyle w:val="null3"/>
            </w:pPr>
            <w:r>
              <w:rPr>
                <w:rFonts w:ascii="仿宋_GB2312" w:hAnsi="仿宋_GB2312" w:cs="仿宋_GB2312" w:eastAsia="仿宋_GB2312"/>
              </w:rPr>
              <w:t>由磋商小组进行赋分，保修阶段的服务管理措施合理、可行、响应及时、维修时效质量高得6分，保修阶段的服务管理措施基本合理、可行、响应较及时、维修时效质量较高得3分，保修阶段的服务管理措施不够合理、可行、响应不及时、维修时效质量低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保修阶段的服务管理措施.docx</w:t>
            </w:r>
          </w:p>
        </w:tc>
      </w:tr>
      <w:tr>
        <w:tc>
          <w:tcPr>
            <w:tcW w:type="dxa" w:w="831"/>
            <w:vMerge/>
          </w:tcPr>
          <w:p/>
        </w:tc>
        <w:tc>
          <w:tcPr>
            <w:tcW w:type="dxa" w:w="1661"/>
          </w:tcPr>
          <w:p>
            <w:pPr>
              <w:pStyle w:val="null3"/>
            </w:pPr>
            <w:r>
              <w:rPr>
                <w:rFonts w:ascii="仿宋_GB2312" w:hAnsi="仿宋_GB2312" w:cs="仿宋_GB2312" w:eastAsia="仿宋_GB2312"/>
              </w:rPr>
              <w:t>监理工作设施</w:t>
            </w:r>
          </w:p>
        </w:tc>
        <w:tc>
          <w:tcPr>
            <w:tcW w:type="dxa" w:w="2492"/>
          </w:tcPr>
          <w:p>
            <w:pPr>
              <w:pStyle w:val="null3"/>
            </w:pPr>
            <w:r>
              <w:rPr>
                <w:rFonts w:ascii="仿宋_GB2312" w:hAnsi="仿宋_GB2312" w:cs="仿宋_GB2312" w:eastAsia="仿宋_GB2312"/>
              </w:rPr>
              <w:t>由磋商小组进行赋分，监理工作设施得完善、齐备、设施配备充足、性能达标得5分，监理工作设施得基本完善、齐备、设施配备具备、性能达标得3分，监理工作设施得不够完善、齐备、设施配备少、性能不达标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监理工作设施.docx</w:t>
            </w:r>
          </w:p>
        </w:tc>
      </w:tr>
      <w:tr>
        <w:tc>
          <w:tcPr>
            <w:tcW w:type="dxa" w:w="831"/>
            <w:vMerge/>
          </w:tcPr>
          <w:p/>
        </w:tc>
        <w:tc>
          <w:tcPr>
            <w:tcW w:type="dxa" w:w="1661"/>
          </w:tcPr>
          <w:p>
            <w:pPr>
              <w:pStyle w:val="null3"/>
            </w:pPr>
            <w:r>
              <w:rPr>
                <w:rFonts w:ascii="仿宋_GB2312" w:hAnsi="仿宋_GB2312" w:cs="仿宋_GB2312" w:eastAsia="仿宋_GB2312"/>
              </w:rPr>
              <w:t>主要试验检测设备配备</w:t>
            </w:r>
          </w:p>
        </w:tc>
        <w:tc>
          <w:tcPr>
            <w:tcW w:type="dxa" w:w="2492"/>
          </w:tcPr>
          <w:p>
            <w:pPr>
              <w:pStyle w:val="null3"/>
            </w:pPr>
            <w:r>
              <w:rPr>
                <w:rFonts w:ascii="仿宋_GB2312" w:hAnsi="仿宋_GB2312" w:cs="仿宋_GB2312" w:eastAsia="仿宋_GB2312"/>
              </w:rPr>
              <w:t>由磋商小组进行赋分，主要试验检测设备配备有详细计划，设备数量、选型配置、进场数量、时间安排合理得5分，主要试验检测设备配备有计划安排，设备数量、选型配置、进场数量、时间安排合理性一般得3分，主要试验检测设备配备没有计划安排，没有明确的设备数量、选型配置、进场数量、时间安排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主要试验检测设备配备.docx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提供2022年6月1日至响应截止时间（以合同签订时间为准）类似项目业绩，每提供一个业绩得2分，满分10分。 评审依据：以加盖公章的业绩合同复印件为准，合同至少需包含合同首页、标的页、合同关键页、签章页。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满足磋商文件要求且最终响应报价最低的报价为评审基准价，其价格分为满分20分。 磋商报价得分=（评审基准价/磋商报价）*价格分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详见附件：参加政府采购活动行为自律承诺书（一）.docx</w:t>
      </w:r>
    </w:p>
    <w:p>
      <w:pPr>
        <w:pStyle w:val="null3"/>
        <w:ind w:firstLine="960"/>
      </w:pPr>
      <w:r>
        <w:rPr>
          <w:rFonts w:ascii="仿宋_GB2312" w:hAnsi="仿宋_GB2312" w:cs="仿宋_GB2312" w:eastAsia="仿宋_GB2312"/>
        </w:rPr>
        <w:t>详见附件：参加政府采购活动行为自律承诺书（二）.docx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详见附件：安全生产.docx</w:t>
      </w:r>
    </w:p>
    <w:p>
      <w:pPr>
        <w:pStyle w:val="null3"/>
        <w:ind w:firstLine="960"/>
      </w:pPr>
      <w:r>
        <w:rPr>
          <w:rFonts w:ascii="仿宋_GB2312" w:hAnsi="仿宋_GB2312" w:cs="仿宋_GB2312" w:eastAsia="仿宋_GB2312"/>
        </w:rPr>
        <w:t>详见附件：工程质量.docx</w:t>
      </w:r>
    </w:p>
    <w:p>
      <w:pPr>
        <w:pStyle w:val="null3"/>
        <w:ind w:firstLine="960"/>
      </w:pPr>
      <w:r>
        <w:rPr>
          <w:rFonts w:ascii="仿宋_GB2312" w:hAnsi="仿宋_GB2312" w:cs="仿宋_GB2312" w:eastAsia="仿宋_GB2312"/>
        </w:rPr>
        <w:t>详见附件：工期.docx</w:t>
      </w:r>
    </w:p>
    <w:p>
      <w:pPr>
        <w:pStyle w:val="null3"/>
        <w:ind w:firstLine="960"/>
      </w:pPr>
      <w:r>
        <w:rPr>
          <w:rFonts w:ascii="仿宋_GB2312" w:hAnsi="仿宋_GB2312" w:cs="仿宋_GB2312" w:eastAsia="仿宋_GB2312"/>
        </w:rPr>
        <w:t>详见附件：垃圾清运.docx</w:t>
      </w:r>
    </w:p>
    <w:p>
      <w:pPr>
        <w:pStyle w:val="null3"/>
        <w:ind w:firstLine="960"/>
      </w:pPr>
      <w:r>
        <w:rPr>
          <w:rFonts w:ascii="仿宋_GB2312" w:hAnsi="仿宋_GB2312" w:cs="仿宋_GB2312" w:eastAsia="仿宋_GB2312"/>
        </w:rPr>
        <w:t>详见附件：劳动力安排.docx</w:t>
      </w:r>
    </w:p>
    <w:p>
      <w:pPr>
        <w:pStyle w:val="null3"/>
        <w:ind w:firstLine="960"/>
      </w:pPr>
      <w:r>
        <w:rPr>
          <w:rFonts w:ascii="仿宋_GB2312" w:hAnsi="仿宋_GB2312" w:cs="仿宋_GB2312" w:eastAsia="仿宋_GB2312"/>
        </w:rPr>
        <w:t>详见附件：施工机械配备和材料投入.docx</w:t>
      </w:r>
    </w:p>
    <w:p>
      <w:pPr>
        <w:pStyle w:val="null3"/>
        <w:ind w:firstLine="960"/>
      </w:pPr>
      <w:r>
        <w:rPr>
          <w:rFonts w:ascii="仿宋_GB2312" w:hAnsi="仿宋_GB2312" w:cs="仿宋_GB2312" w:eastAsia="仿宋_GB2312"/>
        </w:rPr>
        <w:t>详见附件：文明施工.docx</w:t>
      </w:r>
    </w:p>
    <w:p>
      <w:pPr>
        <w:pStyle w:val="null3"/>
        <w:ind w:firstLine="960"/>
      </w:pPr>
      <w:r>
        <w:rPr>
          <w:rFonts w:ascii="仿宋_GB2312" w:hAnsi="仿宋_GB2312" w:cs="仿宋_GB2312" w:eastAsia="仿宋_GB2312"/>
        </w:rPr>
        <w:t>详见附件：施工进度表.docx</w:t>
      </w:r>
    </w:p>
    <w:p>
      <w:pPr>
        <w:pStyle w:val="null3"/>
        <w:ind w:firstLine="960"/>
      </w:pPr>
      <w:r>
        <w:rPr>
          <w:rFonts w:ascii="仿宋_GB2312" w:hAnsi="仿宋_GB2312" w:cs="仿宋_GB2312" w:eastAsia="仿宋_GB2312"/>
        </w:rPr>
        <w:t>详见附件：项目发光字工艺、生产、运输及安装重点、难点和针对性措施.docx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详见附件：后续服务保障.docx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详见附件：参加政府采购活动行为自律承诺书（一）.docx</w:t>
      </w:r>
    </w:p>
    <w:p>
      <w:pPr>
        <w:pStyle w:val="null3"/>
        <w:ind w:firstLine="960"/>
      </w:pPr>
      <w:r>
        <w:rPr>
          <w:rFonts w:ascii="仿宋_GB2312" w:hAnsi="仿宋_GB2312" w:cs="仿宋_GB2312" w:eastAsia="仿宋_GB2312"/>
        </w:rPr>
        <w:t>详见附件：参加政府采购活动行为自律承诺书（二）.docx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详见附件：安全文明施工监督措施.docx</w:t>
      </w:r>
    </w:p>
    <w:p>
      <w:pPr>
        <w:pStyle w:val="null3"/>
        <w:ind w:firstLine="960"/>
      </w:pPr>
      <w:r>
        <w:rPr>
          <w:rFonts w:ascii="仿宋_GB2312" w:hAnsi="仿宋_GB2312" w:cs="仿宋_GB2312" w:eastAsia="仿宋_GB2312"/>
        </w:rPr>
        <w:t>详见附件：保修阶段的服务管理措施.docx</w:t>
      </w:r>
    </w:p>
    <w:p>
      <w:pPr>
        <w:pStyle w:val="null3"/>
        <w:ind w:firstLine="960"/>
      </w:pPr>
      <w:r>
        <w:rPr>
          <w:rFonts w:ascii="仿宋_GB2312" w:hAnsi="仿宋_GB2312" w:cs="仿宋_GB2312" w:eastAsia="仿宋_GB2312"/>
        </w:rPr>
        <w:t>详见附件：本工程难点部位的监理措施，重点部位的控制方法.docx</w:t>
      </w:r>
    </w:p>
    <w:p>
      <w:pPr>
        <w:pStyle w:val="null3"/>
        <w:ind w:firstLine="960"/>
      </w:pPr>
      <w:r>
        <w:rPr>
          <w:rFonts w:ascii="仿宋_GB2312" w:hAnsi="仿宋_GB2312" w:cs="仿宋_GB2312" w:eastAsia="仿宋_GB2312"/>
        </w:rPr>
        <w:t>详见附件：合同及信息方面协调管理措施.docx</w:t>
      </w:r>
    </w:p>
    <w:p>
      <w:pPr>
        <w:pStyle w:val="null3"/>
        <w:ind w:firstLine="960"/>
      </w:pPr>
      <w:r>
        <w:rPr>
          <w:rFonts w:ascii="仿宋_GB2312" w:hAnsi="仿宋_GB2312" w:cs="仿宋_GB2312" w:eastAsia="仿宋_GB2312"/>
        </w:rPr>
        <w:t>详见附件：监理工作范围、目标.docx</w:t>
      </w:r>
    </w:p>
    <w:p>
      <w:pPr>
        <w:pStyle w:val="null3"/>
        <w:ind w:firstLine="960"/>
      </w:pPr>
      <w:r>
        <w:rPr>
          <w:rFonts w:ascii="仿宋_GB2312" w:hAnsi="仿宋_GB2312" w:cs="仿宋_GB2312" w:eastAsia="仿宋_GB2312"/>
        </w:rPr>
        <w:t>详见附件：监理工作设施.docx</w:t>
      </w:r>
    </w:p>
    <w:p>
      <w:pPr>
        <w:pStyle w:val="null3"/>
        <w:ind w:firstLine="960"/>
      </w:pPr>
      <w:r>
        <w:rPr>
          <w:rFonts w:ascii="仿宋_GB2312" w:hAnsi="仿宋_GB2312" w:cs="仿宋_GB2312" w:eastAsia="仿宋_GB2312"/>
        </w:rPr>
        <w:t>详见附件：监理工作制度、程序.docx</w:t>
      </w:r>
    </w:p>
    <w:p>
      <w:pPr>
        <w:pStyle w:val="null3"/>
        <w:ind w:firstLine="960"/>
      </w:pPr>
      <w:r>
        <w:rPr>
          <w:rFonts w:ascii="仿宋_GB2312" w:hAnsi="仿宋_GB2312" w:cs="仿宋_GB2312" w:eastAsia="仿宋_GB2312"/>
        </w:rPr>
        <w:t>详见附件：进度控制管理措施.docx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详见附件：质量控制管理措施.docx</w:t>
      </w:r>
    </w:p>
    <w:p>
      <w:pPr>
        <w:pStyle w:val="null3"/>
        <w:ind w:firstLine="960"/>
      </w:pPr>
      <w:r>
        <w:rPr>
          <w:rFonts w:ascii="仿宋_GB2312" w:hAnsi="仿宋_GB2312" w:cs="仿宋_GB2312" w:eastAsia="仿宋_GB2312"/>
        </w:rPr>
        <w:t>详见附件：主要试验检测设备配备.docx</w:t>
      </w:r>
    </w:p>
    <w:p>
      <w:pPr>
        <w:pStyle w:val="null3"/>
        <w:ind w:firstLine="960"/>
      </w:pPr>
      <w:r>
        <w:rPr>
          <w:rFonts w:ascii="仿宋_GB2312" w:hAnsi="仿宋_GB2312" w:cs="仿宋_GB2312" w:eastAsia="仿宋_GB2312"/>
        </w:rPr>
        <w:t>详见附件：监理机构的组织形式、人员岗位职责.docx</w:t>
      </w:r>
    </w:p>
    <w:p>
      <w:pPr>
        <w:pStyle w:val="null3"/>
        <w:ind w:firstLine="960"/>
      </w:pPr>
      <w:r>
        <w:rPr>
          <w:rFonts w:ascii="仿宋_GB2312" w:hAnsi="仿宋_GB2312" w:cs="仿宋_GB2312" w:eastAsia="仿宋_GB2312"/>
        </w:rPr>
        <w:t>详见附件：投资控制管理措施.docx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