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E3B5D">
      <w:pPr>
        <w:pStyle w:val="4"/>
        <w:spacing w:before="0" w:beforeAutospacing="0" w:after="0" w:afterAutospacing="0" w:line="360" w:lineRule="auto"/>
        <w:ind w:firstLine="480"/>
        <w:jc w:val="center"/>
        <w:rPr>
          <w:rFonts w:hint="eastAsia" w:ascii="仿宋" w:hAnsi="仿宋" w:eastAsia="仿宋" w:cs="仿宋_GB2312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  <w:lang w:val="en-US" w:eastAsia="zh-CN"/>
        </w:rPr>
        <w:t>分项报价表</w:t>
      </w:r>
    </w:p>
    <w:p w14:paraId="70F77A57">
      <w:pPr>
        <w:pStyle w:val="4"/>
        <w:spacing w:before="0" w:beforeAutospacing="0" w:after="0" w:afterAutospacing="0" w:line="360" w:lineRule="auto"/>
        <w:ind w:firstLine="480"/>
        <w:jc w:val="center"/>
        <w:rPr>
          <w:rFonts w:hint="eastAsia" w:ascii="仿宋" w:hAnsi="仿宋" w:eastAsia="仿宋"/>
          <w:szCs w:val="24"/>
          <w:highlight w:val="none"/>
          <w:lang w:eastAsia="zh-CN"/>
        </w:rPr>
      </w:pPr>
      <w:r>
        <w:rPr>
          <w:rFonts w:hint="eastAsia" w:ascii="仿宋" w:hAnsi="仿宋" w:eastAsia="仿宋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/>
          <w:szCs w:val="24"/>
          <w:highlight w:val="none"/>
          <w:lang w:val="en-US" w:eastAsia="zh-CN"/>
        </w:rPr>
        <w:t>自行编制</w:t>
      </w:r>
      <w:r>
        <w:rPr>
          <w:rFonts w:hint="eastAsia" w:ascii="仿宋" w:hAnsi="仿宋" w:eastAsia="仿宋"/>
          <w:szCs w:val="24"/>
          <w:highlight w:val="none"/>
          <w:lang w:eastAsia="zh-CN"/>
        </w:rPr>
        <w:t>）</w:t>
      </w:r>
    </w:p>
    <w:p w14:paraId="7523260E"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</w:p>
    <w:p w14:paraId="532D6197"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</w:p>
    <w:p w14:paraId="7BA81DEC">
      <w:pPr>
        <w:pStyle w:val="4"/>
        <w:spacing w:before="0" w:beforeAutospacing="0" w:after="0" w:afterAutospacing="0" w:line="360" w:lineRule="auto"/>
        <w:rPr>
          <w:rFonts w:hint="eastAsia" w:ascii="仿宋" w:hAnsi="仿宋" w:eastAsia="仿宋"/>
          <w:szCs w:val="24"/>
          <w:highlight w:val="none"/>
        </w:rPr>
      </w:pPr>
    </w:p>
    <w:p w14:paraId="2EE3CCFD">
      <w:pPr>
        <w:pStyle w:val="4"/>
        <w:spacing w:before="0" w:beforeAutospacing="0" w:after="0" w:afterAutospacing="0" w:line="360" w:lineRule="auto"/>
        <w:rPr>
          <w:rFonts w:hint="eastAsia" w:ascii="仿宋" w:hAnsi="仿宋" w:eastAsia="仿宋"/>
          <w:szCs w:val="24"/>
          <w:highlight w:val="none"/>
        </w:rPr>
      </w:pPr>
    </w:p>
    <w:p w14:paraId="6F7E9A40">
      <w:pPr>
        <w:pStyle w:val="4"/>
        <w:spacing w:before="0" w:beforeAutospacing="0" w:after="0" w:afterAutospacing="0" w:line="360" w:lineRule="auto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>注：</w:t>
      </w:r>
      <w:r>
        <w:rPr>
          <w:rFonts w:hint="eastAsia" w:ascii="仿宋" w:hAnsi="仿宋" w:eastAsia="仿宋"/>
          <w:szCs w:val="24"/>
          <w:highlight w:val="none"/>
          <w:lang w:val="en-US" w:eastAsia="zh-CN"/>
        </w:rPr>
        <w:t>分项报价表自行编制，但</w:t>
      </w:r>
      <w:bookmarkStart w:id="0" w:name="_GoBack"/>
      <w:bookmarkEnd w:id="0"/>
      <w:r>
        <w:rPr>
          <w:rFonts w:hint="eastAsia" w:ascii="仿宋" w:hAnsi="仿宋" w:eastAsia="仿宋"/>
          <w:szCs w:val="24"/>
          <w:highlight w:val="none"/>
          <w:lang w:val="en-US" w:eastAsia="zh-CN"/>
        </w:rPr>
        <w:t>分项报价表中的合计金额应与报价函中总报价一致</w:t>
      </w:r>
      <w:r>
        <w:rPr>
          <w:rFonts w:hint="eastAsia" w:ascii="仿宋" w:hAnsi="仿宋" w:eastAsia="仿宋"/>
          <w:szCs w:val="24"/>
          <w:highlight w:val="none"/>
        </w:rPr>
        <w:t>。</w:t>
      </w:r>
    </w:p>
    <w:p w14:paraId="7FD7FF06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0B3C5545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031A4EBE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2432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030BA3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ED90520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9BEB0E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0336C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C163EA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BE59273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16299E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002D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57AB0F"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5FC1E52"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AEBA5C"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271FE5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9B004CA"/>
    <w:rsid w:val="0FBC30F4"/>
    <w:rsid w:val="171B588E"/>
    <w:rsid w:val="20535B17"/>
    <w:rsid w:val="246A52D5"/>
    <w:rsid w:val="429746A0"/>
    <w:rsid w:val="43997235"/>
    <w:rsid w:val="5669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212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陕西中技招标有限公司</cp:lastModifiedBy>
  <dcterms:modified xsi:type="dcterms:W3CDTF">2025-06-27T06:48:53Z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