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版本号：ZX2025-06-33.20250624001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2025年毕业生公寓粉刷项目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ZX2025-06-33.</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2025年毕业生公寓粉刷项目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ZX2025-06-33.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2025年毕业生公寓粉刷项目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①2025年毕业生公寓粉刷，宿舍墙顶面局部铲除、翻新、面层喷漆，公共区域墙顶面局部铲除、翻新、面层喷漆，宿舍门、卫生间门更换翻新，暖气片、支架管道等附属构件翻新刷漆等工作内容，划分为三个包，具体如下。 2025年毕业生公寓粉刷一标段：东铭一号北、东铭一号南、东铭二号、东铭三号、东铭四号、东铭五号（铲除墙皮新作乳胶漆墙面）东铭六号； 2025年毕业生公寓粉刷二标段：东铭七号、西铭一号、西铭二号、西铭四号、西铭五号、东铭五号（只喷面层2遍乳胶漆无基层腻子粉刷）； 2025年毕业生公寓粉刷三标段-其他部分、公共区域：（东铭一号北、东铭一号南、东铭二号、东铭三号、东铭四号、东铭五号、东铭七号、东铭六号、西铭一号、西铭二号、西铭四号、西铭五号、西铭六号））。具体详见磋商文件第三章。 ②本项目兼投不兼中，供应商可投多个包但最多只能中一个包。评审按照“采购包1、采购包2、采购包3”顺序进行评审，如供应商已经被推荐为前述包第一成交候选人，可参与后续其他采购包评审，但不再被推荐为成交候选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采购包1（2025年毕业生公寓粉刷一标段）：属于专门面向中小企业采购。</w:t>
      </w:r>
    </w:p>
    <w:p>
      <w:pPr>
        <w:pStyle w:val="null3"/>
      </w:pPr>
      <w:r>
        <w:rPr>
          <w:rFonts w:ascii="仿宋_GB2312" w:hAnsi="仿宋_GB2312" w:cs="仿宋_GB2312" w:eastAsia="仿宋_GB2312"/>
        </w:rPr>
        <w:t>采购包2（2025年毕业生公寓粉刷二标段）：属于专门面向中小企业采购。</w:t>
      </w:r>
    </w:p>
    <w:p>
      <w:pPr>
        <w:pStyle w:val="null3"/>
      </w:pPr>
      <w:r>
        <w:rPr>
          <w:rFonts w:ascii="仿宋_GB2312" w:hAnsi="仿宋_GB2312" w:cs="仿宋_GB2312" w:eastAsia="仿宋_GB2312"/>
        </w:rPr>
        <w:t>采购包3（2025年毕业生公寓粉刷三标段-其他部分、公共区域）：属于专门面向中小企业采购。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2、施工资质：供应商须具备建筑装修装饰工程专业承包二级以上（含二级）资质，同时具备有效的安全生产许可证。</w:t>
      </w:r>
    </w:p>
    <w:p>
      <w:pPr>
        <w:pStyle w:val="null3"/>
      </w:pPr>
      <w:r>
        <w:rPr>
          <w:rFonts w:ascii="仿宋_GB2312" w:hAnsi="仿宋_GB2312" w:cs="仿宋_GB2312" w:eastAsia="仿宋_GB2312"/>
        </w:rPr>
        <w:t>3、拟派项目负责人资质和专业要求：拟派项目经理具有建筑工程专业二级以上（含二级）注册建造师执业资格，并具有合法有效的安全生产考核合格证（建安B证），须在本单位注册，且无其他在建工程（提供无在建工程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2、施工资质：供应商须具备建筑装修装饰工程专业承包二级以上（含二级）资质，同时具备有效的安全生产许可证。</w:t>
      </w:r>
    </w:p>
    <w:p>
      <w:pPr>
        <w:pStyle w:val="null3"/>
      </w:pPr>
      <w:r>
        <w:rPr>
          <w:rFonts w:ascii="仿宋_GB2312" w:hAnsi="仿宋_GB2312" w:cs="仿宋_GB2312" w:eastAsia="仿宋_GB2312"/>
        </w:rPr>
        <w:t>3、拟派项目负责人资质和专业要求：拟派项目经理具有建筑工程专业二级以上（含二级）注册建造师执业资格，并具有合法有效的安全生产考核合格证（建安B证），须在本单位注册，且无其他在建工程（提供无在建工程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2、施工资质：供应商须具备建筑装修装饰工程专业承包二级以上（含二级）资质，同时具备有效的安全生产许可证。</w:t>
      </w:r>
    </w:p>
    <w:p>
      <w:pPr>
        <w:pStyle w:val="null3"/>
      </w:pPr>
      <w:r>
        <w:rPr>
          <w:rFonts w:ascii="仿宋_GB2312" w:hAnsi="仿宋_GB2312" w:cs="仿宋_GB2312" w:eastAsia="仿宋_GB2312"/>
        </w:rPr>
        <w:t>3、拟派项目负责人资质和专业要求：拟派项目经理具有建筑工程专业二级以上（含二级）注册建造师执业资格，并具有合法有效的安全生产考核合格证（建安B证），须在本单位注册，且无其他在建工程（提供无在建工程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029-88258528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张爽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029-88110800转8030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采购包1：362,352.26元</w:t>
            </w:r>
          </w:p>
          <w:p>
            <w:pPr>
              <w:pStyle w:val="null3"/>
            </w:pPr>
            <w:r>
              <w:rPr>
                <w:rFonts w:ascii="仿宋_GB2312" w:hAnsi="仿宋_GB2312" w:cs="仿宋_GB2312" w:eastAsia="仿宋_GB2312"/>
              </w:rPr>
              <w:t>采购包2：342,454.20元</w:t>
            </w:r>
          </w:p>
          <w:p>
            <w:pPr>
              <w:pStyle w:val="null3"/>
            </w:pPr>
            <w:r>
              <w:rPr>
                <w:rFonts w:ascii="仿宋_GB2312" w:hAnsi="仿宋_GB2312" w:cs="仿宋_GB2312" w:eastAsia="仿宋_GB2312"/>
              </w:rPr>
              <w:t>采购包3：245,184.99元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说明：最后一笔工程款支付前，承包人将结算款的3%作为履约保障金交至发包人执行账户留存。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说明：最后一笔工程款支付前，承包人将结算款的3%作为履约保障金交至发包人执行账户留存。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说明：最后一笔工程款支付前，承包人将结算款的3%作为履约保障金交至发包人执行账户留存。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踏勘时间：2025-07-02 09:30:00</w:t>
            </w:r>
          </w:p>
          <w:p>
            <w:pPr>
              <w:pStyle w:val="null3"/>
              <w:ind w:firstLine="975"/>
            </w:pPr>
            <w:r>
              <w:rPr>
                <w:rFonts w:ascii="仿宋_GB2312" w:hAnsi="仿宋_GB2312" w:cs="仿宋_GB2312" w:eastAsia="仿宋_GB2312"/>
              </w:rPr>
              <w:t>踏勘地点：西安文理学院南门（雁塔区太白南路168号）（过时不候）</w:t>
            </w:r>
          </w:p>
          <w:p>
            <w:pPr>
              <w:pStyle w:val="null3"/>
              <w:ind w:firstLine="975"/>
            </w:pPr>
            <w:r>
              <w:rPr>
                <w:rFonts w:ascii="仿宋_GB2312" w:hAnsi="仿宋_GB2312" w:cs="仿宋_GB2312" w:eastAsia="仿宋_GB2312"/>
              </w:rPr>
              <w:t>联系人：王老师</w:t>
            </w:r>
          </w:p>
          <w:p>
            <w:pPr>
              <w:pStyle w:val="null3"/>
              <w:ind w:firstLine="975"/>
            </w:pPr>
            <w:r>
              <w:rPr>
                <w:rFonts w:ascii="仿宋_GB2312" w:hAnsi="仿宋_GB2312" w:cs="仿宋_GB2312" w:eastAsia="仿宋_GB2312"/>
              </w:rPr>
              <w:t>联系电话号码：13630215809</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踏勘时间：2025-07-02 09:30:00</w:t>
            </w:r>
          </w:p>
          <w:p>
            <w:pPr>
              <w:pStyle w:val="null3"/>
              <w:ind w:firstLine="975"/>
            </w:pPr>
            <w:r>
              <w:rPr>
                <w:rFonts w:ascii="仿宋_GB2312" w:hAnsi="仿宋_GB2312" w:cs="仿宋_GB2312" w:eastAsia="仿宋_GB2312"/>
              </w:rPr>
              <w:t>踏勘地点：西安文理学院南门（雁塔区太白南路168号）（过时不候）</w:t>
            </w:r>
          </w:p>
          <w:p>
            <w:pPr>
              <w:pStyle w:val="null3"/>
              <w:ind w:firstLine="975"/>
            </w:pPr>
            <w:r>
              <w:rPr>
                <w:rFonts w:ascii="仿宋_GB2312" w:hAnsi="仿宋_GB2312" w:cs="仿宋_GB2312" w:eastAsia="仿宋_GB2312"/>
              </w:rPr>
              <w:t>联系人：王老师</w:t>
            </w:r>
          </w:p>
          <w:p>
            <w:pPr>
              <w:pStyle w:val="null3"/>
              <w:ind w:firstLine="975"/>
            </w:pPr>
            <w:r>
              <w:rPr>
                <w:rFonts w:ascii="仿宋_GB2312" w:hAnsi="仿宋_GB2312" w:cs="仿宋_GB2312" w:eastAsia="仿宋_GB2312"/>
              </w:rPr>
              <w:t>联系电话号码：13630215809</w:t>
            </w:r>
          </w:p>
          <w:p>
            <w:pPr>
              <w:pStyle w:val="null3"/>
            </w:pPr>
            <w:r>
              <w:rPr>
                <w:rFonts w:ascii="仿宋_GB2312" w:hAnsi="仿宋_GB2312" w:cs="仿宋_GB2312" w:eastAsia="仿宋_GB2312"/>
              </w:rPr>
              <w:t>采购包3：组织现场踏勘：是</w:t>
            </w:r>
          </w:p>
          <w:p>
            <w:pPr>
              <w:pStyle w:val="null3"/>
              <w:ind w:firstLine="975"/>
            </w:pPr>
            <w:r>
              <w:rPr>
                <w:rFonts w:ascii="仿宋_GB2312" w:hAnsi="仿宋_GB2312" w:cs="仿宋_GB2312" w:eastAsia="仿宋_GB2312"/>
              </w:rPr>
              <w:t>踏勘时间：2025-07-02 09:30:00</w:t>
            </w:r>
          </w:p>
          <w:p>
            <w:pPr>
              <w:pStyle w:val="null3"/>
              <w:ind w:firstLine="975"/>
            </w:pPr>
            <w:r>
              <w:rPr>
                <w:rFonts w:ascii="仿宋_GB2312" w:hAnsi="仿宋_GB2312" w:cs="仿宋_GB2312" w:eastAsia="仿宋_GB2312"/>
              </w:rPr>
              <w:t>踏勘地点：西安文理学院南门（雁塔区太白南路168号）（过时不候）</w:t>
            </w:r>
          </w:p>
          <w:p>
            <w:pPr>
              <w:pStyle w:val="null3"/>
              <w:ind w:firstLine="975"/>
            </w:pPr>
            <w:r>
              <w:rPr>
                <w:rFonts w:ascii="仿宋_GB2312" w:hAnsi="仿宋_GB2312" w:cs="仿宋_GB2312" w:eastAsia="仿宋_GB2312"/>
              </w:rPr>
              <w:t>联系人：王老师</w:t>
            </w:r>
          </w:p>
          <w:p>
            <w:pPr>
              <w:pStyle w:val="null3"/>
              <w:ind w:firstLine="975"/>
            </w:pPr>
            <w:r>
              <w:rPr>
                <w:rFonts w:ascii="仿宋_GB2312" w:hAnsi="仿宋_GB2312" w:cs="仿宋_GB2312" w:eastAsia="仿宋_GB2312"/>
              </w:rPr>
              <w:t>联系电话号码：13630215809</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西安文理学院（本级）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采购包3：项目包干价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①根据磋商文件、响应文件及合同约定执行 ；②符合国家有关技术规范要求和安全、环保、节能等强制性标准。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①根据磋商文件、响应文件及合同约定执行 ；②符合国家有关技术规范要求和安全、环保、节能等强制性标准。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①根据磋商文件、响应文件及合同约定执行 ；②符合国家有关技术规范要求和安全、环保、节能等强制性标准。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 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362,352.26</w:t>
      </w:r>
    </w:p>
    <w:p>
      <w:pPr>
        <w:pStyle w:val="null3"/>
      </w:pPr>
      <w:r>
        <w:rPr>
          <w:rFonts w:ascii="仿宋_GB2312" w:hAnsi="仿宋_GB2312" w:cs="仿宋_GB2312" w:eastAsia="仿宋_GB2312"/>
        </w:rPr>
        <w:t>采购包最高限价（元）: 362,352.26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2025年毕业生公寓粉刷一标段</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362,352.26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342,454.20</w:t>
      </w:r>
    </w:p>
    <w:p>
      <w:pPr>
        <w:pStyle w:val="null3"/>
      </w:pPr>
      <w:r>
        <w:rPr>
          <w:rFonts w:ascii="仿宋_GB2312" w:hAnsi="仿宋_GB2312" w:cs="仿宋_GB2312" w:eastAsia="仿宋_GB2312"/>
        </w:rPr>
        <w:t>采购包最高限价（元）: 342,454.20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2025年毕业生公寓粉刷二标段</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342,454.20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245,184.99</w:t>
      </w:r>
    </w:p>
    <w:p>
      <w:pPr>
        <w:pStyle w:val="null3"/>
      </w:pPr>
      <w:r>
        <w:rPr>
          <w:rFonts w:ascii="仿宋_GB2312" w:hAnsi="仿宋_GB2312" w:cs="仿宋_GB2312" w:eastAsia="仿宋_GB2312"/>
        </w:rPr>
        <w:t>采购包最高限价（元）: 245,184.99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2025年毕业生公寓粉刷三标段-其他部分、公共区域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245,184.99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标的名称：2025年毕业生公寓粉刷一标段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工程量清单详见附件。</w:t>
            </w:r>
          </w:p>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 xml:space="preserve">  2025年毕业生公寓粉刷，宿舍墙顶面局部铲除、翻新、面层喷漆，公共区域墙顶面局部铲除、翻新、面层喷漆，宿舍门、卫生间门更换翻新，暖气片、支架管道等附属构件翻新刷漆等工作内容；</w:t>
            </w:r>
          </w:p>
          <w:p>
            <w:pPr>
              <w:pStyle w:val="null3"/>
            </w:pPr>
            <w:r>
              <w:rPr>
                <w:rFonts w:ascii="仿宋_GB2312" w:hAnsi="仿宋_GB2312" w:cs="仿宋_GB2312" w:eastAsia="仿宋_GB2312"/>
              </w:rPr>
              <w:t>二、编制说明</w:t>
            </w:r>
          </w:p>
          <w:p>
            <w:pPr>
              <w:pStyle w:val="null3"/>
            </w:pPr>
            <w:r>
              <w:rPr>
                <w:rFonts w:ascii="仿宋_GB2312" w:hAnsi="仿宋_GB2312" w:cs="仿宋_GB2312" w:eastAsia="仿宋_GB2312"/>
              </w:rPr>
              <w:t>1、工程量清单所列工程量数量是预计数量，仅作为投标的共同基础，不作为最终结算和支付的依据。实际支付应按实际完成的工程量，由供应商按技术规范规定的计量方法，以监理工程师和业主认可的尺寸、断面进行计量；</w:t>
            </w:r>
          </w:p>
          <w:p>
            <w:pPr>
              <w:pStyle w:val="null3"/>
            </w:pPr>
            <w:r>
              <w:rPr>
                <w:rFonts w:ascii="仿宋_GB2312" w:hAnsi="仿宋_GB2312" w:cs="仿宋_GB2312" w:eastAsia="仿宋_GB2312"/>
              </w:rPr>
              <w:t>2、本清单除上述内容，没有列的项目视为已包含在其他清单项目中，供应商在得到采购文件后，应仔细阅读采购文件、现场勘察、清单，发现问题及时提出，没有提出视为已分摊在本工程的有关清单的单价或总价，如无变更或洽商，不再另行增加项目；</w:t>
            </w:r>
          </w:p>
          <w:p>
            <w:pPr>
              <w:pStyle w:val="null3"/>
            </w:pPr>
            <w:r>
              <w:rPr>
                <w:rFonts w:ascii="仿宋_GB2312" w:hAnsi="仿宋_GB2312" w:cs="仿宋_GB2312" w:eastAsia="仿宋_GB2312"/>
              </w:rPr>
              <w:t>3、供应商在报价时，应依据本工程方案、现行有关规范、 规程，结合招标文件、有关合同条款以及市场价格情况等进行自主报价；</w:t>
            </w:r>
          </w:p>
          <w:p>
            <w:pPr>
              <w:pStyle w:val="null3"/>
            </w:pPr>
            <w:r>
              <w:rPr>
                <w:rFonts w:ascii="仿宋_GB2312" w:hAnsi="仿宋_GB2312" w:cs="仿宋_GB2312" w:eastAsia="仿宋_GB2312"/>
              </w:rPr>
              <w:t>4、供应商在投标报价时，应充分考虑本工程自进场开始施工至竣工验收合格并移交建设单位期间，为保证工程施工和管护所发生的各项费用，包括移交前的成品保护、家具搬移、管护,水电暖等设备设施的保护，费用由承包人承担，损坏按学校规定赔偿，施工结束后做到工完场清的标准；</w:t>
            </w:r>
          </w:p>
          <w:p>
            <w:pPr>
              <w:pStyle w:val="null3"/>
            </w:pPr>
            <w:r>
              <w:rPr>
                <w:rFonts w:ascii="仿宋_GB2312" w:hAnsi="仿宋_GB2312" w:cs="仿宋_GB2312" w:eastAsia="仿宋_GB2312"/>
              </w:rPr>
              <w:t xml:space="preserve">5、工程量清单报价表中任何内容不得随意增加、删除或涂改；  </w:t>
            </w:r>
          </w:p>
          <w:p>
            <w:pPr>
              <w:pStyle w:val="null3"/>
            </w:pPr>
            <w:r>
              <w:rPr>
                <w:rFonts w:ascii="仿宋_GB2312" w:hAnsi="仿宋_GB2312" w:cs="仿宋_GB2312" w:eastAsia="仿宋_GB2312"/>
              </w:rPr>
              <w:t>三、有关问题说明</w:t>
            </w:r>
          </w:p>
          <w:p>
            <w:pPr>
              <w:pStyle w:val="null3"/>
            </w:pPr>
            <w:r>
              <w:rPr>
                <w:rFonts w:ascii="仿宋_GB2312" w:hAnsi="仿宋_GB2312" w:cs="仿宋_GB2312" w:eastAsia="仿宋_GB2312"/>
              </w:rPr>
              <w:t xml:space="preserve">1、本工程所用乳胶漆品牌参考立邦乳胶漆、多乐士、三棵树等同等同档次或更优品牌。  </w:t>
            </w:r>
          </w:p>
          <w:p>
            <w:pPr>
              <w:pStyle w:val="null3"/>
            </w:pPr>
            <w:r>
              <w:rPr>
                <w:rFonts w:ascii="仿宋_GB2312" w:hAnsi="仿宋_GB2312" w:cs="仿宋_GB2312" w:eastAsia="仿宋_GB2312"/>
              </w:rPr>
              <w:t>2、油漆品牌参考宝塔山、森塔、双虎等同档次或更优品牌。</w:t>
            </w:r>
          </w:p>
          <w:p>
            <w:pPr>
              <w:pStyle w:val="null3"/>
            </w:pPr>
            <w:r>
              <w:rPr>
                <w:rFonts w:ascii="仿宋_GB2312" w:hAnsi="仿宋_GB2312" w:cs="仿宋_GB2312" w:eastAsia="仿宋_GB2312"/>
              </w:rPr>
              <w:t>3、工程量为暂估量，结算时据实结算。</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标的名称：2025年毕业生公寓粉刷二标段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工程量清单详见附件。</w:t>
            </w:r>
          </w:p>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 xml:space="preserve">  2025年毕业生公寓粉刷，宿舍墙顶面局部铲除、翻新、面层喷漆，公共区域墙顶面局部铲除、翻新、面层喷漆，宿舍门、卫生间门更换翻新，暖气片、支架管道等附属构件翻新刷漆等工作内容；</w:t>
            </w:r>
          </w:p>
          <w:p>
            <w:pPr>
              <w:pStyle w:val="null3"/>
            </w:pPr>
            <w:r>
              <w:rPr>
                <w:rFonts w:ascii="仿宋_GB2312" w:hAnsi="仿宋_GB2312" w:cs="仿宋_GB2312" w:eastAsia="仿宋_GB2312"/>
              </w:rPr>
              <w:t>二、编制说明</w:t>
            </w:r>
          </w:p>
          <w:p>
            <w:pPr>
              <w:pStyle w:val="null3"/>
            </w:pPr>
            <w:r>
              <w:rPr>
                <w:rFonts w:ascii="仿宋_GB2312" w:hAnsi="仿宋_GB2312" w:cs="仿宋_GB2312" w:eastAsia="仿宋_GB2312"/>
              </w:rPr>
              <w:t>1、工程量清单所列工程量数量是预计数量，仅作为投标的共同基础，不作为最终结算和支付的依据。实际支付应按实际完成的工程量，由供应商按技术规范规定的计量方法，以监理工程师和业主认可的尺寸、断面进行计量；</w:t>
            </w:r>
          </w:p>
          <w:p>
            <w:pPr>
              <w:pStyle w:val="null3"/>
            </w:pPr>
            <w:r>
              <w:rPr>
                <w:rFonts w:ascii="仿宋_GB2312" w:hAnsi="仿宋_GB2312" w:cs="仿宋_GB2312" w:eastAsia="仿宋_GB2312"/>
              </w:rPr>
              <w:t>2、本清单除上述内容，没有列的项目视为已包含在其他清单项目中，供应商在得到采购文件后，应仔细阅读采购文件、现场勘察、清单，发现问题及时提出，没有提出视为已分摊在本工程的有关清单的单价或总价，如无变更或洽商，不再另行增加项目；</w:t>
            </w:r>
          </w:p>
          <w:p>
            <w:pPr>
              <w:pStyle w:val="null3"/>
            </w:pPr>
            <w:r>
              <w:rPr>
                <w:rFonts w:ascii="仿宋_GB2312" w:hAnsi="仿宋_GB2312" w:cs="仿宋_GB2312" w:eastAsia="仿宋_GB2312"/>
              </w:rPr>
              <w:t>3、供应商在报价时，应依据本工程方案、现行有关规范、 规程，结合招标文件、有关合同条款以及市场价格情况等进行自主报价；</w:t>
            </w:r>
          </w:p>
          <w:p>
            <w:pPr>
              <w:pStyle w:val="null3"/>
            </w:pPr>
            <w:r>
              <w:rPr>
                <w:rFonts w:ascii="仿宋_GB2312" w:hAnsi="仿宋_GB2312" w:cs="仿宋_GB2312" w:eastAsia="仿宋_GB2312"/>
              </w:rPr>
              <w:t>4、供应商在投标报价时，应充分考虑本工程自进场开始施工至竣工验收合格并移交建设单位期间，为保证工程施工和管护所发生的各项费用，包括移交前的成品保护、家具搬移、管护,水电暖等设备设施的保护，费用由承包人承担，损坏按学校规定赔偿，施工结束后做到工完场清的标准；</w:t>
            </w:r>
          </w:p>
          <w:p>
            <w:pPr>
              <w:pStyle w:val="null3"/>
            </w:pPr>
            <w:r>
              <w:rPr>
                <w:rFonts w:ascii="仿宋_GB2312" w:hAnsi="仿宋_GB2312" w:cs="仿宋_GB2312" w:eastAsia="仿宋_GB2312"/>
              </w:rPr>
              <w:t xml:space="preserve">5、工程量清单报价表中任何内容不得随意增加、删除或涂改；  </w:t>
            </w:r>
          </w:p>
          <w:p>
            <w:pPr>
              <w:pStyle w:val="null3"/>
            </w:pPr>
            <w:r>
              <w:rPr>
                <w:rFonts w:ascii="仿宋_GB2312" w:hAnsi="仿宋_GB2312" w:cs="仿宋_GB2312" w:eastAsia="仿宋_GB2312"/>
              </w:rPr>
              <w:t>三、有关问题说明</w:t>
            </w:r>
          </w:p>
          <w:p>
            <w:pPr>
              <w:pStyle w:val="null3"/>
            </w:pPr>
            <w:r>
              <w:rPr>
                <w:rFonts w:ascii="仿宋_GB2312" w:hAnsi="仿宋_GB2312" w:cs="仿宋_GB2312" w:eastAsia="仿宋_GB2312"/>
              </w:rPr>
              <w:t xml:space="preserve">1、本工程所用乳胶漆品牌参考立邦乳胶漆、多乐士、三棵树等同等同档次或更优品牌。  </w:t>
            </w:r>
          </w:p>
          <w:p>
            <w:pPr>
              <w:pStyle w:val="null3"/>
            </w:pPr>
            <w:r>
              <w:rPr>
                <w:rFonts w:ascii="仿宋_GB2312" w:hAnsi="仿宋_GB2312" w:cs="仿宋_GB2312" w:eastAsia="仿宋_GB2312"/>
              </w:rPr>
              <w:t>2、油漆品牌参考宝塔山、森塔、双虎等同档次或更优品牌。</w:t>
            </w:r>
          </w:p>
          <w:p>
            <w:pPr>
              <w:pStyle w:val="null3"/>
            </w:pPr>
            <w:r>
              <w:rPr>
                <w:rFonts w:ascii="仿宋_GB2312" w:hAnsi="仿宋_GB2312" w:cs="仿宋_GB2312" w:eastAsia="仿宋_GB2312"/>
              </w:rPr>
              <w:t>3、工程量为暂估量，结算时据实结算。</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标的名称：2025年毕业生公寓粉刷三标段-其他部分、公共区域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工程量清单详见附件。</w:t>
            </w:r>
          </w:p>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 xml:space="preserve">  2025年毕业生公寓粉刷，宿舍墙顶面局部铲除、翻新、面层喷漆，公共区域墙顶面局部铲除、翻新、面层喷漆，宿舍门、卫生间门更换翻新，暖气片、支架管道等附属构件翻新刷漆等工作内容；</w:t>
            </w:r>
          </w:p>
          <w:p>
            <w:pPr>
              <w:pStyle w:val="null3"/>
            </w:pPr>
            <w:r>
              <w:rPr>
                <w:rFonts w:ascii="仿宋_GB2312" w:hAnsi="仿宋_GB2312" w:cs="仿宋_GB2312" w:eastAsia="仿宋_GB2312"/>
              </w:rPr>
              <w:t>二、编制说明</w:t>
            </w:r>
          </w:p>
          <w:p>
            <w:pPr>
              <w:pStyle w:val="null3"/>
            </w:pPr>
            <w:r>
              <w:rPr>
                <w:rFonts w:ascii="仿宋_GB2312" w:hAnsi="仿宋_GB2312" w:cs="仿宋_GB2312" w:eastAsia="仿宋_GB2312"/>
              </w:rPr>
              <w:t>1、工程量清单所列工程量数量是预计数量，仅作为投标的共同基础，不作为最终结算和支付的依据。实际支付应按实际完成的工程量，由供应商按技术规范规定的计量方法，以监理工程师和业主认可的尺寸、断面进行计量；</w:t>
            </w:r>
          </w:p>
          <w:p>
            <w:pPr>
              <w:pStyle w:val="null3"/>
            </w:pPr>
            <w:r>
              <w:rPr>
                <w:rFonts w:ascii="仿宋_GB2312" w:hAnsi="仿宋_GB2312" w:cs="仿宋_GB2312" w:eastAsia="仿宋_GB2312"/>
              </w:rPr>
              <w:t>2、本清单除上述内容，没有列的项目视为已包含在其他清单项目中，供应商在得到采购文件后，应仔细阅读采购文件、现场勘察、清单，发现问题及时提出，没有提出视为已分摊在本工程的有关清单的单价或总价，如无变更或洽商，不再另行增加项目；</w:t>
            </w:r>
          </w:p>
          <w:p>
            <w:pPr>
              <w:pStyle w:val="null3"/>
            </w:pPr>
            <w:r>
              <w:rPr>
                <w:rFonts w:ascii="仿宋_GB2312" w:hAnsi="仿宋_GB2312" w:cs="仿宋_GB2312" w:eastAsia="仿宋_GB2312"/>
              </w:rPr>
              <w:t>3、供应商在报价时，应依据本工程方案、现行有关规范、 规程，结合招标文件、有关合同条款以及市场价格情况等进行自主报价；</w:t>
            </w:r>
          </w:p>
          <w:p>
            <w:pPr>
              <w:pStyle w:val="null3"/>
            </w:pPr>
            <w:r>
              <w:rPr>
                <w:rFonts w:ascii="仿宋_GB2312" w:hAnsi="仿宋_GB2312" w:cs="仿宋_GB2312" w:eastAsia="仿宋_GB2312"/>
              </w:rPr>
              <w:t>4、供应商在投标报价时，应充分考虑本工程自进场开始施工至竣工验收合格并移交建设单位期间，为保证工程施工和管护所发生的各项费用，包括移交前的成品保护、家具搬移、管护,水电暖等设备设施的保护，费用由承包人承担，损坏按学校规定赔偿，施工结束后做到工完场清的标准；</w:t>
            </w:r>
          </w:p>
          <w:p>
            <w:pPr>
              <w:pStyle w:val="null3"/>
            </w:pPr>
            <w:r>
              <w:rPr>
                <w:rFonts w:ascii="仿宋_GB2312" w:hAnsi="仿宋_GB2312" w:cs="仿宋_GB2312" w:eastAsia="仿宋_GB2312"/>
              </w:rPr>
              <w:t xml:space="preserve">5、工程量清单报价表中任何内容不得随意增加、删除或涂改；  </w:t>
            </w:r>
          </w:p>
          <w:p>
            <w:pPr>
              <w:pStyle w:val="null3"/>
            </w:pPr>
            <w:r>
              <w:rPr>
                <w:rFonts w:ascii="仿宋_GB2312" w:hAnsi="仿宋_GB2312" w:cs="仿宋_GB2312" w:eastAsia="仿宋_GB2312"/>
              </w:rPr>
              <w:t>三、有关问题说明</w:t>
            </w:r>
          </w:p>
          <w:p>
            <w:pPr>
              <w:pStyle w:val="null3"/>
            </w:pPr>
            <w:r>
              <w:rPr>
                <w:rFonts w:ascii="仿宋_GB2312" w:hAnsi="仿宋_GB2312" w:cs="仿宋_GB2312" w:eastAsia="仿宋_GB2312"/>
              </w:rPr>
              <w:t xml:space="preserve">1、本工程所用乳胶漆品牌参考立邦乳胶漆、多乐士、三棵树等同等同档次或更优品牌。  </w:t>
            </w:r>
          </w:p>
          <w:p>
            <w:pPr>
              <w:pStyle w:val="null3"/>
            </w:pPr>
            <w:r>
              <w:rPr>
                <w:rFonts w:ascii="仿宋_GB2312" w:hAnsi="仿宋_GB2312" w:cs="仿宋_GB2312" w:eastAsia="仿宋_GB2312"/>
              </w:rPr>
              <w:t>2、油漆品牌参考宝塔山、森塔、双虎等同档次或更优品牌。</w:t>
            </w:r>
          </w:p>
          <w:p>
            <w:pPr>
              <w:pStyle w:val="null3"/>
            </w:pPr>
            <w:r>
              <w:rPr>
                <w:rFonts w:ascii="仿宋_GB2312" w:hAnsi="仿宋_GB2312" w:cs="仿宋_GB2312" w:eastAsia="仿宋_GB2312"/>
              </w:rPr>
              <w:t>3、工程量为暂估量，结算时据实结算。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质量标准执行国家、陕西省、西安市现行工程质量验评标准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质量标准执行国家、陕西省、西安市现行工程质量验评标准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质量标准执行国家、陕西省、西安市现行工程质量验评标准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采购包1、2、3： 1.工期要求：自进场之日起20日历日内。 2.施工地点：西安文理学院指定地点。 3.质保期：项目质保2年。 4.工程质量：合格。 5.采购资金的支付方式及时间：①预付款：合同签订后，采购人支付合同总价款的40%作为项目预付款；②根据项目实际施工进度，经采购人及监理单位审核后，支付至合同总价的60%；③施工完成后，待相关部门验收合格，达到付款条件起30日内，支付至合同总金额的80%；④结算审计后，付款至结算总价的100%；（注：最后一笔工程款支付前，承包人将结算款的3%作为履约保障金交至采购人执行账户留存。）</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清单报价编制要求：（1）供应商应充分考虑磋商文件的各项要求和本工程的实际情况，根据自身实力，充分考虑材料价格、人工费、物价上涨等市场变化的风险，自主报价，风险自担。（2）不可竞争的规费、税金、安全文明施工费按计价规则的规定计取，营改增按陕建发调整陕西省建设工程计价依据的通知执行，磋商报价中包含所有费用。（3）本工程材料采购需采购人进行认质。 3.3.2本项目各包工程量清单详见附件。 3.3.3清单所列工程量是预计数量，实际结算按实际完成的工程量进行结算。 3.3.4实行综合单价包干。综合单价在合同执行期间内，综合单价不作任何调整。待完工时，以竣工工程量及监理单位、甲方确认的现场确认工程量为依据，以实际工程量进行结算。 如最终成交价低于第一次报价，则结算综合单价＝响应文件一次清单综合单价×（1- 最终投标下浮率），最终投标下浮率＝(1-最终报价/第一次报价) ×100% 。3.3.5本项目兼投不兼中，供应商可投多个包但最多只能中一个包。评审按照“采购包1、采购包2、采购包3”顺序进行评审，如供应商已经被推荐为前述包第一成交候选人，可参与后续其他采购包评审，但不再被推荐为成交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③提供自2024年6月1日以来至少一个月已缴纳的社会保障资金的证明（社会保障资金缴存单据或社保机构开具的社会保险参保缴费情况证明等）；依法不需要缴纳社会保障资金的投标人应提供相关文件证明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响应函 2供应商资格证明文件.docx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 ：法人提供会计师事务所出具的有效的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响应函 2供应商资格证明文件.docx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③提供自2024年6月1日以来至少一个月已缴纳的社会保障资金的证明（社会保障资金缴存单据或社保机构开具的社会保险参保缴费情况证明等）；依法不需要缴纳社会保障资金的投标人应提供相关文件证明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响应函 2供应商资格证明文件.docx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 ：法人提供会计师事务所出具的有效的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响应函 2供应商资格证明文件.docx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③提供自2024年6月1日以来至少一个月已缴纳的社会保障资金的证明（社会保障资金缴存单据或社保机构开具的社会保险参保缴费情况证明等）；依法不需要缴纳社会保障资金的投标人应提供相关文件证明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响应函 2供应商资格证明文件.docx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 ：法人提供会计师事务所出具的有效的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响应函 2供应商资格证明文件.docx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供应商须具备建筑装修装饰工程专业承包二级以上（含二级）资质，同时具备有效的安全生产许可证。</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拟派项目经理具有建筑工程专业二级以上（含二级）注册建造师执业资格，并具有合法有效的安全生产考核合格证（建安B证），须在本单位注册，且无其他在建工程（提供无在建工程承诺书）。</w:t>
            </w:r>
          </w:p>
        </w:tc>
        <w:tc>
          <w:tcPr>
            <w:tcW w:type="dxa" w:w="1661"/>
          </w:tcPr>
          <w:p>
            <w:pPr>
              <w:pStyle w:val="null3"/>
            </w:pPr>
            <w:r>
              <w:rPr>
                <w:rFonts w:ascii="仿宋_GB2312" w:hAnsi="仿宋_GB2312" w:cs="仿宋_GB2312" w:eastAsia="仿宋_GB2312"/>
              </w:rPr>
              <w:t>2供应商资格证明文件.docx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供应商须具备建筑装修装饰工程专业承包二级以上（含二级）资质，同时具备有效的安全生产许可证。</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拟派项目经理具有建筑工程专业二级以上（含二级）注册建造师执业资格，并具有合法有效的安全生产考核合格证（建安B证），须在本单位注册，且无其他在建工程（提供无在建工程承诺书）。</w:t>
            </w:r>
          </w:p>
        </w:tc>
        <w:tc>
          <w:tcPr>
            <w:tcW w:type="dxa" w:w="1661"/>
          </w:tcPr>
          <w:p>
            <w:pPr>
              <w:pStyle w:val="null3"/>
            </w:pPr>
            <w:r>
              <w:rPr>
                <w:rFonts w:ascii="仿宋_GB2312" w:hAnsi="仿宋_GB2312" w:cs="仿宋_GB2312" w:eastAsia="仿宋_GB2312"/>
              </w:rPr>
              <w:t>2供应商资格证明文件.docx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供应商须具备建筑装修装饰工程专业承包二级以上（含二级）资质，同时具备有效的安全生产许可证。</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拟派项目经理具有建筑工程专业二级以上（含二级）注册建造师执业资格，并具有合法有效的安全生产考核合格证（建安B证），须在本单位注册，且无其他在建工程（提供无在建工程承诺书）。</w:t>
            </w:r>
          </w:p>
        </w:tc>
        <w:tc>
          <w:tcPr>
            <w:tcW w:type="dxa" w:w="1661"/>
          </w:tcPr>
          <w:p>
            <w:pPr>
              <w:pStyle w:val="null3"/>
            </w:pPr>
            <w:r>
              <w:rPr>
                <w:rFonts w:ascii="仿宋_GB2312" w:hAnsi="仿宋_GB2312" w:cs="仿宋_GB2312" w:eastAsia="仿宋_GB2312"/>
              </w:rPr>
              <w:t>2供应商资格证明文件.docx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实质性商务条款</w:t>
            </w:r>
          </w:p>
        </w:tc>
        <w:tc>
          <w:tcPr>
            <w:tcW w:type="dxa" w:w="3322"/>
          </w:tcPr>
          <w:p>
            <w:pPr>
              <w:pStyle w:val="null3"/>
            </w:pPr>
            <w:r>
              <w:rPr>
                <w:rFonts w:ascii="仿宋_GB2312" w:hAnsi="仿宋_GB2312" w:cs="仿宋_GB2312" w:eastAsia="仿宋_GB2312"/>
              </w:rPr>
              <w:t>满足本磋商文件中第三章“三、针对本项目的其他技术服务要求”条款内容的</w:t>
            </w:r>
          </w:p>
        </w:tc>
        <w:tc>
          <w:tcPr>
            <w:tcW w:type="dxa" w:w="1661"/>
          </w:tcPr>
          <w:p>
            <w:pPr>
              <w:pStyle w:val="null3"/>
            </w:pPr>
            <w:r>
              <w:rPr>
                <w:rFonts w:ascii="仿宋_GB2312" w:hAnsi="仿宋_GB2312" w:cs="仿宋_GB2312" w:eastAsia="仿宋_GB2312"/>
              </w:rPr>
              <w:t>4商务部分偏离表.docx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3承诺书.docx 1工程量清单分项报价表.docx 强制优先采购产品承诺函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实质性商务条款</w:t>
            </w:r>
          </w:p>
        </w:tc>
        <w:tc>
          <w:tcPr>
            <w:tcW w:type="dxa" w:w="3322"/>
          </w:tcPr>
          <w:p>
            <w:pPr>
              <w:pStyle w:val="null3"/>
            </w:pPr>
            <w:r>
              <w:rPr>
                <w:rFonts w:ascii="仿宋_GB2312" w:hAnsi="仿宋_GB2312" w:cs="仿宋_GB2312" w:eastAsia="仿宋_GB2312"/>
              </w:rPr>
              <w:t>满足本磋商文件中第三章“三、针对本项目的其他技术服务要求”条款内容的</w:t>
            </w:r>
          </w:p>
        </w:tc>
        <w:tc>
          <w:tcPr>
            <w:tcW w:type="dxa" w:w="1661"/>
          </w:tcPr>
          <w:p>
            <w:pPr>
              <w:pStyle w:val="null3"/>
            </w:pPr>
            <w:r>
              <w:rPr>
                <w:rFonts w:ascii="仿宋_GB2312" w:hAnsi="仿宋_GB2312" w:cs="仿宋_GB2312" w:eastAsia="仿宋_GB2312"/>
              </w:rPr>
              <w:t>4商务部分偏离表.docx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3承诺书.docx 1工程量清单分项报价表.docx 强制优先采购产品承诺函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实质性商务条款</w:t>
            </w:r>
          </w:p>
        </w:tc>
        <w:tc>
          <w:tcPr>
            <w:tcW w:type="dxa" w:w="3322"/>
          </w:tcPr>
          <w:p>
            <w:pPr>
              <w:pStyle w:val="null3"/>
            </w:pPr>
            <w:r>
              <w:rPr>
                <w:rFonts w:ascii="仿宋_GB2312" w:hAnsi="仿宋_GB2312" w:cs="仿宋_GB2312" w:eastAsia="仿宋_GB2312"/>
              </w:rPr>
              <w:t>满足本磋商文件中第三章“三、针对本项目的其他技术服务要求”条款内容的</w:t>
            </w:r>
          </w:p>
        </w:tc>
        <w:tc>
          <w:tcPr>
            <w:tcW w:type="dxa" w:w="1661"/>
          </w:tcPr>
          <w:p>
            <w:pPr>
              <w:pStyle w:val="null3"/>
            </w:pPr>
            <w:r>
              <w:rPr>
                <w:rFonts w:ascii="仿宋_GB2312" w:hAnsi="仿宋_GB2312" w:cs="仿宋_GB2312" w:eastAsia="仿宋_GB2312"/>
              </w:rPr>
              <w:t>4商务部分偏离表.docx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3承诺书.docx 1工程量清单分项报价表.docx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供应商提供针对本项目的施工方案，包括①施工前检查准备、②明确施工流程、③劳动力配置计划等方面。施工方案应符合采购项目特点及要求，描述详尽且有利于项目实施。 满足项目实际要求，无瑕疵：10分；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针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5施工方案.docx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供应商针对本项目工期要求及施工特点，提供针对本项目的施工进度计划，包括①工程各阶段进度施工计划、②进度控制保证措施。计划制定应充分考虑本项目工期紧的因素，各阶段进度控制措施描述详尽合理。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6施工进度计划.docx</w:t>
            </w:r>
          </w:p>
        </w:tc>
      </w:tr>
      <w:tr>
        <w:tc>
          <w:tcPr>
            <w:tcW w:type="dxa" w:w="831"/>
            <w:vMerge/>
          </w:tcPr>
          <w:p/>
        </w:tc>
        <w:tc>
          <w:tcPr>
            <w:tcW w:type="dxa" w:w="1661"/>
          </w:tcPr>
          <w:p>
            <w:pPr>
              <w:pStyle w:val="null3"/>
            </w:pPr>
            <w:r>
              <w:rPr>
                <w:rFonts w:ascii="仿宋_GB2312" w:hAnsi="仿宋_GB2312" w:cs="仿宋_GB2312" w:eastAsia="仿宋_GB2312"/>
              </w:rPr>
              <w:t>质量技术组织措施</w:t>
            </w:r>
          </w:p>
        </w:tc>
        <w:tc>
          <w:tcPr>
            <w:tcW w:type="dxa" w:w="2492"/>
          </w:tcPr>
          <w:p>
            <w:pPr>
              <w:pStyle w:val="null3"/>
            </w:pPr>
            <w:r>
              <w:rPr>
                <w:rFonts w:ascii="仿宋_GB2312" w:hAnsi="仿宋_GB2312" w:cs="仿宋_GB2312" w:eastAsia="仿宋_GB2312"/>
              </w:rPr>
              <w:t>供应商提供针对本项目的质量技术组织措施，包括①质量目标、②技术保障措施、③质量全过程检查制度。措施应符合采购项目特点及要求，贴合本项目特征。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7质量技术组织措施.docx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供应商提供针对本项目应急预案，包括但不限于赶工应急处理方案、阴雨天腻子不易干燥等问题。根据应急预案考虑是否完善，有无对应的应对措施进行评审。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8应急预案.docx</w:t>
            </w:r>
          </w:p>
        </w:tc>
      </w:tr>
      <w:tr>
        <w:tc>
          <w:tcPr>
            <w:tcW w:type="dxa" w:w="831"/>
            <w:vMerge/>
          </w:tcPr>
          <w:p/>
        </w:tc>
        <w:tc>
          <w:tcPr>
            <w:tcW w:type="dxa" w:w="1661"/>
          </w:tcPr>
          <w:p>
            <w:pPr>
              <w:pStyle w:val="null3"/>
            </w:pPr>
            <w:r>
              <w:rPr>
                <w:rFonts w:ascii="仿宋_GB2312" w:hAnsi="仿宋_GB2312" w:cs="仿宋_GB2312" w:eastAsia="仿宋_GB2312"/>
              </w:rPr>
              <w:t>周边设施及成品保护措施</w:t>
            </w:r>
          </w:p>
        </w:tc>
        <w:tc>
          <w:tcPr>
            <w:tcW w:type="dxa" w:w="2492"/>
          </w:tcPr>
          <w:p>
            <w:pPr>
              <w:pStyle w:val="null3"/>
            </w:pPr>
            <w:r>
              <w:rPr>
                <w:rFonts w:ascii="仿宋_GB2312" w:hAnsi="仿宋_GB2312" w:cs="仿宋_GB2312" w:eastAsia="仿宋_GB2312"/>
              </w:rPr>
              <w:t>供应商提供针对本项目施工过程中，针对周边设施和成品的保护措施。 满足项目实际要求，无瑕疵：6分；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9周边设施及成品保护措施.docx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供应商结合工程环境、特点，提供针对本项目的安全文明施工措施，包括①施工过程中安全保护措施②文明施工控制措施③工程产生垃圾处理方案等。 满足项目实际要求，无瑕疵：6分；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10安全文明施工措施.docx</w:t>
            </w:r>
          </w:p>
        </w:tc>
      </w:tr>
      <w:tr>
        <w:tc>
          <w:tcPr>
            <w:tcW w:type="dxa" w:w="831"/>
            <w:vMerge/>
          </w:tcPr>
          <w:p/>
        </w:tc>
        <w:tc>
          <w:tcPr>
            <w:tcW w:type="dxa" w:w="1661"/>
          </w:tcPr>
          <w:p>
            <w:pPr>
              <w:pStyle w:val="null3"/>
            </w:pPr>
            <w:r>
              <w:rPr>
                <w:rFonts w:ascii="仿宋_GB2312" w:hAnsi="仿宋_GB2312" w:cs="仿宋_GB2312" w:eastAsia="仿宋_GB2312"/>
              </w:rPr>
              <w:t>涂料选择</w:t>
            </w:r>
          </w:p>
        </w:tc>
        <w:tc>
          <w:tcPr>
            <w:tcW w:type="dxa" w:w="2492"/>
          </w:tcPr>
          <w:p>
            <w:pPr>
              <w:pStyle w:val="null3"/>
            </w:pPr>
            <w:r>
              <w:rPr>
                <w:rFonts w:ascii="仿宋_GB2312" w:hAnsi="仿宋_GB2312" w:cs="仿宋_GB2312" w:eastAsia="仿宋_GB2312"/>
              </w:rPr>
              <w:t>供应商须明确针对本项目施工选用涂料的品牌，并提供涂料检测报告或技术资料等，根据涂料品质是否安全，是否符合国家相关标准，能否满足采购人需求进行评审。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11涂料选择.docx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供应商提供所用涂料的来源渠道证明文件，包括但不限于供货协议或原厂授权等，提供齐全计3分，否则不计分。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12来源渠道.docx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提供供应商2022年1月1日至今类似项目合同，每提供1份得1分，最高得5分。（以合同签订日期为准）。 备注：响应文件中提供合同和验收报告扫描件并加盖公章，否则不予认定。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供应商提供针对本项目的项目组织机构，并明确项目人员构成情况（岗位设置、专业种类及能力、相关专业技术职称）。项目组织机构应设置合理、人员构成明确、技术专业，能够保障项目顺利实施。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14项目组织机构.docx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供应商针对本项目施工工程有详细具体的完工后的售后服务方案，包括但不限于①售后服务内容、②售后服务响应时间、③售后服务措施。方案制定应完整全面、详细具体。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15售后服务方案.docx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供应商磋商产品中每有一项为环境标志产品经国家认证的得1分，最多得1分。（以经国家确定的认证机构出具的、处于有效期内的环境标志产品认证证书为准。）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供应商提供针对本项目的施工方案，包括①施工前检查准备、②明确施工流程、③劳动力配置计划等方面。施工方案应符合采购项目特点及要求，描述详尽且有利于项目实施。 满足项目实际要求，无瑕疵：10分；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针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5施工方案.docx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供应商针对本项目工期要求及施工特点，提供针对本项目的施工进度计划，包括①工程各阶段进度施工计划、②进度控制保证措施。计划制定应充分考虑本项目工期紧的因素，各阶段进度控制措施描述详尽合理。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6施工进度计划.docx</w:t>
            </w:r>
          </w:p>
        </w:tc>
      </w:tr>
      <w:tr>
        <w:tc>
          <w:tcPr>
            <w:tcW w:type="dxa" w:w="831"/>
            <w:vMerge/>
          </w:tcPr>
          <w:p/>
        </w:tc>
        <w:tc>
          <w:tcPr>
            <w:tcW w:type="dxa" w:w="1661"/>
          </w:tcPr>
          <w:p>
            <w:pPr>
              <w:pStyle w:val="null3"/>
            </w:pPr>
            <w:r>
              <w:rPr>
                <w:rFonts w:ascii="仿宋_GB2312" w:hAnsi="仿宋_GB2312" w:cs="仿宋_GB2312" w:eastAsia="仿宋_GB2312"/>
              </w:rPr>
              <w:t>质量技术组织措施</w:t>
            </w:r>
          </w:p>
        </w:tc>
        <w:tc>
          <w:tcPr>
            <w:tcW w:type="dxa" w:w="2492"/>
          </w:tcPr>
          <w:p>
            <w:pPr>
              <w:pStyle w:val="null3"/>
            </w:pPr>
            <w:r>
              <w:rPr>
                <w:rFonts w:ascii="仿宋_GB2312" w:hAnsi="仿宋_GB2312" w:cs="仿宋_GB2312" w:eastAsia="仿宋_GB2312"/>
              </w:rPr>
              <w:t>供应商提供针对本项目的质量技术组织措施，包括①质量目标、②技术保障措施、③质量全过程检查制度。措施应符合采购项目特点及要求，贴合本项目特征。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7质量技术组织措施.docx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供应商提供针对本项目应急预案，包括但不限于赶工应急处理方案、阴雨天腻子不易干燥等问题。根据应急预案考虑是否完善，有无对应的应对措施进行评审。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8应急预案.docx</w:t>
            </w:r>
          </w:p>
        </w:tc>
      </w:tr>
      <w:tr>
        <w:tc>
          <w:tcPr>
            <w:tcW w:type="dxa" w:w="831"/>
            <w:vMerge/>
          </w:tcPr>
          <w:p/>
        </w:tc>
        <w:tc>
          <w:tcPr>
            <w:tcW w:type="dxa" w:w="1661"/>
          </w:tcPr>
          <w:p>
            <w:pPr>
              <w:pStyle w:val="null3"/>
            </w:pPr>
            <w:r>
              <w:rPr>
                <w:rFonts w:ascii="仿宋_GB2312" w:hAnsi="仿宋_GB2312" w:cs="仿宋_GB2312" w:eastAsia="仿宋_GB2312"/>
              </w:rPr>
              <w:t>周边设施及成品保护措施</w:t>
            </w:r>
          </w:p>
        </w:tc>
        <w:tc>
          <w:tcPr>
            <w:tcW w:type="dxa" w:w="2492"/>
          </w:tcPr>
          <w:p>
            <w:pPr>
              <w:pStyle w:val="null3"/>
            </w:pPr>
            <w:r>
              <w:rPr>
                <w:rFonts w:ascii="仿宋_GB2312" w:hAnsi="仿宋_GB2312" w:cs="仿宋_GB2312" w:eastAsia="仿宋_GB2312"/>
              </w:rPr>
              <w:t>供应商提供针对本项目施工过程中，针对周边设施和成品的保护措施。 满足项目实际要求，无瑕疵：6分；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9周边设施及成品保护措施.docx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供应商结合工程环境、特点，提供针对本项目的安全文明施工措施，包括①施工过程中安全保护措施②文明施工控制措施③工程产生垃圾处理方案等。 满足项目实际要求，无瑕疵：6分；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10安全文明施工措施.docx</w:t>
            </w:r>
          </w:p>
        </w:tc>
      </w:tr>
      <w:tr>
        <w:tc>
          <w:tcPr>
            <w:tcW w:type="dxa" w:w="831"/>
            <w:vMerge/>
          </w:tcPr>
          <w:p/>
        </w:tc>
        <w:tc>
          <w:tcPr>
            <w:tcW w:type="dxa" w:w="1661"/>
          </w:tcPr>
          <w:p>
            <w:pPr>
              <w:pStyle w:val="null3"/>
            </w:pPr>
            <w:r>
              <w:rPr>
                <w:rFonts w:ascii="仿宋_GB2312" w:hAnsi="仿宋_GB2312" w:cs="仿宋_GB2312" w:eastAsia="仿宋_GB2312"/>
              </w:rPr>
              <w:t>涂料选择</w:t>
            </w:r>
          </w:p>
        </w:tc>
        <w:tc>
          <w:tcPr>
            <w:tcW w:type="dxa" w:w="2492"/>
          </w:tcPr>
          <w:p>
            <w:pPr>
              <w:pStyle w:val="null3"/>
            </w:pPr>
            <w:r>
              <w:rPr>
                <w:rFonts w:ascii="仿宋_GB2312" w:hAnsi="仿宋_GB2312" w:cs="仿宋_GB2312" w:eastAsia="仿宋_GB2312"/>
              </w:rPr>
              <w:t>供应商须明确针对本项目施工选用涂料的品牌，并提供涂料检测报告或技术资料等，根据涂料品质是否安全，是否符合国家相关标准，能否满足采购人需求进行评审。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11涂料选择.docx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供应商提供所用涂料的来源渠道证明文件，包括但不限于供货协议或原厂授权等，提供齐全计3分，否则不计分。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12来源渠道.docx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提供供应商2022年1月1日至今类似项目合同，每提供1份得1分，最高得5分。（以合同签订日期为准）。 备注：响应文件中提供合同和验收报告扫描件并加盖公章，否则不予认定。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供应商提供针对本项目的项目组织机构，并明确项目人员构成情况（岗位设置、专业种类及能力、相关专业技术职称）。项目组织机构应设置合理、人员构成明确、技术专业，能够保障项目顺利实施。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14项目组织机构.docx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供应商针对本项目施工工程有详细具体的完工后的售后服务方案，包括但不限于①售后服务内容、②售后服务响应时间、③售后服务措施。方案制定应完整全面、详细具体。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15售后服务方案.docx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供应商磋商产品中每有一项为环境标志产品经国家认证的得1分，最多得1分。（以经国家确定的认证机构出具的、处于有效期内的环境标志产品认证证书为准。）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供应商提供针对本项目的施工方案，包括①施工前检查准备、②明确施工流程、③劳动力配置计划等方面。施工方案应符合采购项目特点及要求，描述详尽且有利于项目实施。 满足项目实际要求，无瑕疵：10分；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针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5施工方案.docx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供应商针对本项目工期要求及施工特点，提供针对本项目的施工进度计划，包括①工程各阶段进度施工计划、②进度控制保证措施。计划制定应充分考虑本项目工期紧的因素，各阶段进度控制措施描述详尽合理。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6施工进度计划.docx</w:t>
            </w:r>
          </w:p>
          <w:p>
            <w:pPr>
              <w:pStyle w:val="null3"/>
            </w:pPr>
            <w:r>
              <w:rPr>
                <w:rFonts w:ascii="仿宋_GB2312" w:hAnsi="仿宋_GB2312" w:cs="仿宋_GB2312" w:eastAsia="仿宋_GB2312"/>
              </w:rPr>
              <w:t>7质量技术组织措施.docx</w:t>
            </w:r>
          </w:p>
        </w:tc>
      </w:tr>
      <w:tr>
        <w:tc>
          <w:tcPr>
            <w:tcW w:type="dxa" w:w="831"/>
            <w:vMerge/>
          </w:tcPr>
          <w:p/>
        </w:tc>
        <w:tc>
          <w:tcPr>
            <w:tcW w:type="dxa" w:w="1661"/>
          </w:tcPr>
          <w:p>
            <w:pPr>
              <w:pStyle w:val="null3"/>
            </w:pPr>
            <w:r>
              <w:rPr>
                <w:rFonts w:ascii="仿宋_GB2312" w:hAnsi="仿宋_GB2312" w:cs="仿宋_GB2312" w:eastAsia="仿宋_GB2312"/>
              </w:rPr>
              <w:t>质量技术组织措施</w:t>
            </w:r>
          </w:p>
        </w:tc>
        <w:tc>
          <w:tcPr>
            <w:tcW w:type="dxa" w:w="2492"/>
          </w:tcPr>
          <w:p>
            <w:pPr>
              <w:pStyle w:val="null3"/>
            </w:pPr>
            <w:r>
              <w:rPr>
                <w:rFonts w:ascii="仿宋_GB2312" w:hAnsi="仿宋_GB2312" w:cs="仿宋_GB2312" w:eastAsia="仿宋_GB2312"/>
              </w:rPr>
              <w:t>供应商提供针对本项目的质量技术组织措施，包括①质量目标、②技术保障措施、③质量全过程检查制度。措施应符合采购项目特点及要求，贴合本项目特征。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7质量技术组织措施.docx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供应商提供针对本项目应急预案，包括但不限于赶工应急处理方案、阴雨天腻子不易干燥等问题。根据应急预案考虑是否完善，有无对应的应对措施进行评审。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8应急预案.docx</w:t>
            </w:r>
          </w:p>
        </w:tc>
      </w:tr>
      <w:tr>
        <w:tc>
          <w:tcPr>
            <w:tcW w:type="dxa" w:w="831"/>
            <w:vMerge/>
          </w:tcPr>
          <w:p/>
        </w:tc>
        <w:tc>
          <w:tcPr>
            <w:tcW w:type="dxa" w:w="1661"/>
          </w:tcPr>
          <w:p>
            <w:pPr>
              <w:pStyle w:val="null3"/>
            </w:pPr>
            <w:r>
              <w:rPr>
                <w:rFonts w:ascii="仿宋_GB2312" w:hAnsi="仿宋_GB2312" w:cs="仿宋_GB2312" w:eastAsia="仿宋_GB2312"/>
              </w:rPr>
              <w:t>周边设施及成品保护措施</w:t>
            </w:r>
          </w:p>
        </w:tc>
        <w:tc>
          <w:tcPr>
            <w:tcW w:type="dxa" w:w="2492"/>
          </w:tcPr>
          <w:p>
            <w:pPr>
              <w:pStyle w:val="null3"/>
            </w:pPr>
            <w:r>
              <w:rPr>
                <w:rFonts w:ascii="仿宋_GB2312" w:hAnsi="仿宋_GB2312" w:cs="仿宋_GB2312" w:eastAsia="仿宋_GB2312"/>
              </w:rPr>
              <w:t>供应商提供针对本项目施工过程中，针对周边设施和成品的保护措施。 满足项目实际要求，无瑕疵：6分；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9周边设施及成品保护措施.docx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供应商结合工程环境、特点，提供针对本项目的安全文明施工措施，包括①施工过程中安全保护措施②文明施工控制措施③工程产生垃圾处理方案等。 满足项目实际要求，无瑕疵：6分；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10安全文明施工措施.docx</w:t>
            </w:r>
          </w:p>
        </w:tc>
      </w:tr>
      <w:tr>
        <w:tc>
          <w:tcPr>
            <w:tcW w:type="dxa" w:w="831"/>
            <w:vMerge/>
          </w:tcPr>
          <w:p/>
        </w:tc>
        <w:tc>
          <w:tcPr>
            <w:tcW w:type="dxa" w:w="1661"/>
          </w:tcPr>
          <w:p>
            <w:pPr>
              <w:pStyle w:val="null3"/>
            </w:pPr>
            <w:r>
              <w:rPr>
                <w:rFonts w:ascii="仿宋_GB2312" w:hAnsi="仿宋_GB2312" w:cs="仿宋_GB2312" w:eastAsia="仿宋_GB2312"/>
              </w:rPr>
              <w:t>涂料选择</w:t>
            </w:r>
          </w:p>
        </w:tc>
        <w:tc>
          <w:tcPr>
            <w:tcW w:type="dxa" w:w="2492"/>
          </w:tcPr>
          <w:p>
            <w:pPr>
              <w:pStyle w:val="null3"/>
            </w:pPr>
            <w:r>
              <w:rPr>
                <w:rFonts w:ascii="仿宋_GB2312" w:hAnsi="仿宋_GB2312" w:cs="仿宋_GB2312" w:eastAsia="仿宋_GB2312"/>
              </w:rPr>
              <w:t>供应商须明确针对本项目施工选用涂料的品牌，并提供涂料检测报告或技术资料等，根据涂料品质是否安全，是否符合国家相关标准，能否满足采购人需求进行评审。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11涂料选择.docx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供应商提供所用涂料的来源渠道证明文件，包括但不限于供货协议或原厂授权等，提供齐全计3分，否则不计分。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12来源渠道.docx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提供供应商2022年1月1日至今类似项目合同，每提供1份得1分，最高得5分。（以合同签订日期为准）。 备注：响应文件中提供合同和验收报告扫描件并加盖公章，否则不予认定。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供应商提供针对本项目的项目组织机构，并明确项目人员构成情况（岗位设置、专业种类及能力、相关专业技术职称）。项目组织机构应设置合理、人员构成明确、技术专业，能够保障项目顺利实施。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14项目组织机构.docx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供应商针对本项目施工工程有详细具体的完工后的售后服务方案，包括但不限于①售后服务内容、②售后服务响应时间、③售后服务措施。方案制定应完整全面、详细具体。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15售后服务方案.docx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供应商磋商产品中每有一项为环境标志产品经国家认证的得0.5分，最多得1分。（以经国家确定的认证机构出具的、处于有效期内的环境标志产品认证证书为准。）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详见附件：1工程量清单分项报价表.docx</w:t>
      </w:r>
    </w:p>
    <w:p>
      <w:pPr>
        <w:pStyle w:val="null3"/>
        <w:ind w:firstLine="960"/>
      </w:pPr>
      <w:r>
        <w:rPr>
          <w:rFonts w:ascii="仿宋_GB2312" w:hAnsi="仿宋_GB2312" w:cs="仿宋_GB2312" w:eastAsia="仿宋_GB2312"/>
        </w:rPr>
        <w:t>详见附件：2供应商资格证明文件.docx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详见附件：4商务部分偏离表.docx</w:t>
      </w:r>
    </w:p>
    <w:p>
      <w:pPr>
        <w:pStyle w:val="null3"/>
        <w:ind w:firstLine="960"/>
      </w:pPr>
      <w:r>
        <w:rPr>
          <w:rFonts w:ascii="仿宋_GB2312" w:hAnsi="仿宋_GB2312" w:cs="仿宋_GB2312" w:eastAsia="仿宋_GB2312"/>
        </w:rPr>
        <w:t>详见附件：5施工方案.docx</w:t>
      </w:r>
    </w:p>
    <w:p>
      <w:pPr>
        <w:pStyle w:val="null3"/>
        <w:ind w:firstLine="960"/>
      </w:pPr>
      <w:r>
        <w:rPr>
          <w:rFonts w:ascii="仿宋_GB2312" w:hAnsi="仿宋_GB2312" w:cs="仿宋_GB2312" w:eastAsia="仿宋_GB2312"/>
        </w:rPr>
        <w:t>详见附件：6施工进度计划.docx</w:t>
      </w:r>
    </w:p>
    <w:p>
      <w:pPr>
        <w:pStyle w:val="null3"/>
        <w:ind w:firstLine="960"/>
      </w:pPr>
      <w:r>
        <w:rPr>
          <w:rFonts w:ascii="仿宋_GB2312" w:hAnsi="仿宋_GB2312" w:cs="仿宋_GB2312" w:eastAsia="仿宋_GB2312"/>
        </w:rPr>
        <w:t>详见附件：7质量技术组织措施.docx</w:t>
      </w:r>
    </w:p>
    <w:p>
      <w:pPr>
        <w:pStyle w:val="null3"/>
        <w:ind w:firstLine="960"/>
      </w:pPr>
      <w:r>
        <w:rPr>
          <w:rFonts w:ascii="仿宋_GB2312" w:hAnsi="仿宋_GB2312" w:cs="仿宋_GB2312" w:eastAsia="仿宋_GB2312"/>
        </w:rPr>
        <w:t>详见附件：8应急预案.docx</w:t>
      </w:r>
    </w:p>
    <w:p>
      <w:pPr>
        <w:pStyle w:val="null3"/>
        <w:ind w:firstLine="960"/>
      </w:pPr>
      <w:r>
        <w:rPr>
          <w:rFonts w:ascii="仿宋_GB2312" w:hAnsi="仿宋_GB2312" w:cs="仿宋_GB2312" w:eastAsia="仿宋_GB2312"/>
        </w:rPr>
        <w:t>详见附件：9周边设施及成品保护措施.docx</w:t>
      </w:r>
    </w:p>
    <w:p>
      <w:pPr>
        <w:pStyle w:val="null3"/>
        <w:ind w:firstLine="960"/>
      </w:pPr>
      <w:r>
        <w:rPr>
          <w:rFonts w:ascii="仿宋_GB2312" w:hAnsi="仿宋_GB2312" w:cs="仿宋_GB2312" w:eastAsia="仿宋_GB2312"/>
        </w:rPr>
        <w:t>详见附件：10安全文明施工措施.docx</w:t>
      </w:r>
    </w:p>
    <w:p>
      <w:pPr>
        <w:pStyle w:val="null3"/>
        <w:ind w:firstLine="960"/>
      </w:pPr>
      <w:r>
        <w:rPr>
          <w:rFonts w:ascii="仿宋_GB2312" w:hAnsi="仿宋_GB2312" w:cs="仿宋_GB2312" w:eastAsia="仿宋_GB2312"/>
        </w:rPr>
        <w:t>详见附件：11涂料选择.docx</w:t>
      </w:r>
    </w:p>
    <w:p>
      <w:pPr>
        <w:pStyle w:val="null3"/>
        <w:ind w:firstLine="960"/>
      </w:pPr>
      <w:r>
        <w:rPr>
          <w:rFonts w:ascii="仿宋_GB2312" w:hAnsi="仿宋_GB2312" w:cs="仿宋_GB2312" w:eastAsia="仿宋_GB2312"/>
        </w:rPr>
        <w:t>详见附件：12来源渠道.docx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详见附件：14项目组织机构.docx</w:t>
      </w:r>
    </w:p>
    <w:p>
      <w:pPr>
        <w:pStyle w:val="null3"/>
        <w:ind w:firstLine="960"/>
      </w:pPr>
      <w:r>
        <w:rPr>
          <w:rFonts w:ascii="仿宋_GB2312" w:hAnsi="仿宋_GB2312" w:cs="仿宋_GB2312" w:eastAsia="仿宋_GB2312"/>
        </w:rPr>
        <w:t>详见附件：15售后服务方案.docx</w:t>
      </w:r>
    </w:p>
    <w:p>
      <w:pPr>
        <w:pStyle w:val="null3"/>
        <w:ind w:firstLine="960"/>
      </w:pPr>
      <w:r>
        <w:rPr>
          <w:rFonts w:ascii="仿宋_GB2312" w:hAnsi="仿宋_GB2312" w:cs="仿宋_GB2312" w:eastAsia="仿宋_GB2312"/>
        </w:rPr>
        <w:t>详见附件：16环保.docx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详见附件：1工程量清单分项报价表.docx</w:t>
      </w:r>
    </w:p>
    <w:p>
      <w:pPr>
        <w:pStyle w:val="null3"/>
        <w:ind w:firstLine="960"/>
      </w:pPr>
      <w:r>
        <w:rPr>
          <w:rFonts w:ascii="仿宋_GB2312" w:hAnsi="仿宋_GB2312" w:cs="仿宋_GB2312" w:eastAsia="仿宋_GB2312"/>
        </w:rPr>
        <w:t>详见附件：2供应商资格证明文件.docx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详见附件：4商务部分偏离表.docx</w:t>
      </w:r>
    </w:p>
    <w:p>
      <w:pPr>
        <w:pStyle w:val="null3"/>
        <w:ind w:firstLine="960"/>
      </w:pPr>
      <w:r>
        <w:rPr>
          <w:rFonts w:ascii="仿宋_GB2312" w:hAnsi="仿宋_GB2312" w:cs="仿宋_GB2312" w:eastAsia="仿宋_GB2312"/>
        </w:rPr>
        <w:t>详见附件：5施工方案.docx</w:t>
      </w:r>
    </w:p>
    <w:p>
      <w:pPr>
        <w:pStyle w:val="null3"/>
        <w:ind w:firstLine="960"/>
      </w:pPr>
      <w:r>
        <w:rPr>
          <w:rFonts w:ascii="仿宋_GB2312" w:hAnsi="仿宋_GB2312" w:cs="仿宋_GB2312" w:eastAsia="仿宋_GB2312"/>
        </w:rPr>
        <w:t>详见附件：6施工进度计划.docx</w:t>
      </w:r>
    </w:p>
    <w:p>
      <w:pPr>
        <w:pStyle w:val="null3"/>
        <w:ind w:firstLine="960"/>
      </w:pPr>
      <w:r>
        <w:rPr>
          <w:rFonts w:ascii="仿宋_GB2312" w:hAnsi="仿宋_GB2312" w:cs="仿宋_GB2312" w:eastAsia="仿宋_GB2312"/>
        </w:rPr>
        <w:t>详见附件：7质量技术组织措施.docx</w:t>
      </w:r>
    </w:p>
    <w:p>
      <w:pPr>
        <w:pStyle w:val="null3"/>
        <w:ind w:firstLine="960"/>
      </w:pPr>
      <w:r>
        <w:rPr>
          <w:rFonts w:ascii="仿宋_GB2312" w:hAnsi="仿宋_GB2312" w:cs="仿宋_GB2312" w:eastAsia="仿宋_GB2312"/>
        </w:rPr>
        <w:t>详见附件：8应急预案.docx</w:t>
      </w:r>
    </w:p>
    <w:p>
      <w:pPr>
        <w:pStyle w:val="null3"/>
        <w:ind w:firstLine="960"/>
      </w:pPr>
      <w:r>
        <w:rPr>
          <w:rFonts w:ascii="仿宋_GB2312" w:hAnsi="仿宋_GB2312" w:cs="仿宋_GB2312" w:eastAsia="仿宋_GB2312"/>
        </w:rPr>
        <w:t>详见附件：9周边设施及成品保护措施.docx</w:t>
      </w:r>
    </w:p>
    <w:p>
      <w:pPr>
        <w:pStyle w:val="null3"/>
        <w:ind w:firstLine="960"/>
      </w:pPr>
      <w:r>
        <w:rPr>
          <w:rFonts w:ascii="仿宋_GB2312" w:hAnsi="仿宋_GB2312" w:cs="仿宋_GB2312" w:eastAsia="仿宋_GB2312"/>
        </w:rPr>
        <w:t>详见附件：10安全文明施工措施.docx</w:t>
      </w:r>
    </w:p>
    <w:p>
      <w:pPr>
        <w:pStyle w:val="null3"/>
        <w:ind w:firstLine="960"/>
      </w:pPr>
      <w:r>
        <w:rPr>
          <w:rFonts w:ascii="仿宋_GB2312" w:hAnsi="仿宋_GB2312" w:cs="仿宋_GB2312" w:eastAsia="仿宋_GB2312"/>
        </w:rPr>
        <w:t>详见附件：11涂料选择.docx</w:t>
      </w:r>
    </w:p>
    <w:p>
      <w:pPr>
        <w:pStyle w:val="null3"/>
        <w:ind w:firstLine="960"/>
      </w:pPr>
      <w:r>
        <w:rPr>
          <w:rFonts w:ascii="仿宋_GB2312" w:hAnsi="仿宋_GB2312" w:cs="仿宋_GB2312" w:eastAsia="仿宋_GB2312"/>
        </w:rPr>
        <w:t>详见附件：12来源渠道.docx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详见附件：14项目组织机构.docx</w:t>
      </w:r>
    </w:p>
    <w:p>
      <w:pPr>
        <w:pStyle w:val="null3"/>
        <w:ind w:firstLine="960"/>
      </w:pPr>
      <w:r>
        <w:rPr>
          <w:rFonts w:ascii="仿宋_GB2312" w:hAnsi="仿宋_GB2312" w:cs="仿宋_GB2312" w:eastAsia="仿宋_GB2312"/>
        </w:rPr>
        <w:t>详见附件：15售后服务方案.docx</w:t>
      </w:r>
    </w:p>
    <w:p>
      <w:pPr>
        <w:pStyle w:val="null3"/>
        <w:ind w:firstLine="960"/>
      </w:pPr>
      <w:r>
        <w:rPr>
          <w:rFonts w:ascii="仿宋_GB2312" w:hAnsi="仿宋_GB2312" w:cs="仿宋_GB2312" w:eastAsia="仿宋_GB2312"/>
        </w:rPr>
        <w:t>详见附件：16环保.docx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详见附件：5施工方案.docx</w:t>
      </w:r>
    </w:p>
    <w:p>
      <w:pPr>
        <w:pStyle w:val="null3"/>
        <w:ind w:firstLine="960"/>
      </w:pPr>
      <w:r>
        <w:rPr>
          <w:rFonts w:ascii="仿宋_GB2312" w:hAnsi="仿宋_GB2312" w:cs="仿宋_GB2312" w:eastAsia="仿宋_GB2312"/>
        </w:rPr>
        <w:t>详见附件：1工程量清单分项报价表.docx</w:t>
      </w:r>
    </w:p>
    <w:p>
      <w:pPr>
        <w:pStyle w:val="null3"/>
        <w:ind w:firstLine="960"/>
      </w:pPr>
      <w:r>
        <w:rPr>
          <w:rFonts w:ascii="仿宋_GB2312" w:hAnsi="仿宋_GB2312" w:cs="仿宋_GB2312" w:eastAsia="仿宋_GB2312"/>
        </w:rPr>
        <w:t>详见附件：2供应商资格证明文件.docx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详见附件：4商务部分偏离表.docx</w:t>
      </w:r>
    </w:p>
    <w:p>
      <w:pPr>
        <w:pStyle w:val="null3"/>
        <w:ind w:firstLine="960"/>
      </w:pPr>
      <w:r>
        <w:rPr>
          <w:rFonts w:ascii="仿宋_GB2312" w:hAnsi="仿宋_GB2312" w:cs="仿宋_GB2312" w:eastAsia="仿宋_GB2312"/>
        </w:rPr>
        <w:t>详见附件：6施工进度计划.docx</w:t>
      </w:r>
    </w:p>
    <w:p>
      <w:pPr>
        <w:pStyle w:val="null3"/>
        <w:ind w:firstLine="960"/>
      </w:pPr>
      <w:r>
        <w:rPr>
          <w:rFonts w:ascii="仿宋_GB2312" w:hAnsi="仿宋_GB2312" w:cs="仿宋_GB2312" w:eastAsia="仿宋_GB2312"/>
        </w:rPr>
        <w:t>详见附件：7质量技术组织措施.docx</w:t>
      </w:r>
    </w:p>
    <w:p>
      <w:pPr>
        <w:pStyle w:val="null3"/>
        <w:ind w:firstLine="960"/>
      </w:pPr>
      <w:r>
        <w:rPr>
          <w:rFonts w:ascii="仿宋_GB2312" w:hAnsi="仿宋_GB2312" w:cs="仿宋_GB2312" w:eastAsia="仿宋_GB2312"/>
        </w:rPr>
        <w:t>详见附件：8应急预案.docx</w:t>
      </w:r>
    </w:p>
    <w:p>
      <w:pPr>
        <w:pStyle w:val="null3"/>
        <w:ind w:firstLine="960"/>
      </w:pPr>
      <w:r>
        <w:rPr>
          <w:rFonts w:ascii="仿宋_GB2312" w:hAnsi="仿宋_GB2312" w:cs="仿宋_GB2312" w:eastAsia="仿宋_GB2312"/>
        </w:rPr>
        <w:t>详见附件：9周边设施及成品保护措施.docx</w:t>
      </w:r>
    </w:p>
    <w:p>
      <w:pPr>
        <w:pStyle w:val="null3"/>
        <w:ind w:firstLine="960"/>
      </w:pPr>
      <w:r>
        <w:rPr>
          <w:rFonts w:ascii="仿宋_GB2312" w:hAnsi="仿宋_GB2312" w:cs="仿宋_GB2312" w:eastAsia="仿宋_GB2312"/>
        </w:rPr>
        <w:t>详见附件：10安全文明施工措施.docx</w:t>
      </w:r>
    </w:p>
    <w:p>
      <w:pPr>
        <w:pStyle w:val="null3"/>
        <w:ind w:firstLine="960"/>
      </w:pPr>
      <w:r>
        <w:rPr>
          <w:rFonts w:ascii="仿宋_GB2312" w:hAnsi="仿宋_GB2312" w:cs="仿宋_GB2312" w:eastAsia="仿宋_GB2312"/>
        </w:rPr>
        <w:t>详见附件：11涂料选择.docx</w:t>
      </w:r>
    </w:p>
    <w:p>
      <w:pPr>
        <w:pStyle w:val="null3"/>
        <w:ind w:firstLine="960"/>
      </w:pPr>
      <w:r>
        <w:rPr>
          <w:rFonts w:ascii="仿宋_GB2312" w:hAnsi="仿宋_GB2312" w:cs="仿宋_GB2312" w:eastAsia="仿宋_GB2312"/>
        </w:rPr>
        <w:t>详见附件：12来源渠道.docx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详见附件：14项目组织机构.docx</w:t>
      </w:r>
    </w:p>
    <w:p>
      <w:pPr>
        <w:pStyle w:val="null3"/>
        <w:ind w:firstLine="960"/>
      </w:pPr>
      <w:r>
        <w:rPr>
          <w:rFonts w:ascii="仿宋_GB2312" w:hAnsi="仿宋_GB2312" w:cs="仿宋_GB2312" w:eastAsia="仿宋_GB2312"/>
        </w:rPr>
        <w:t>详见附件：15售后服务方案.docx</w:t>
      </w:r>
    </w:p>
    <w:p>
      <w:pPr>
        <w:pStyle w:val="null3"/>
        <w:ind w:firstLine="960"/>
      </w:pPr>
      <w:r>
        <w:rPr>
          <w:rFonts w:ascii="仿宋_GB2312" w:hAnsi="仿宋_GB2312" w:cs="仿宋_GB2312" w:eastAsia="仿宋_GB2312"/>
        </w:rPr>
        <w:t>详见附件：16环保.docx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