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版本号：慧科ZX-CF01162BF20250626001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2025年度人才数据应用及服务运维项目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慧科ZX-CF01162BF</w:t>
      </w:r>
      <w:r>
        <w:br/>
      </w:r>
      <w:r>
        <w:br/>
      </w:r>
      <w:r>
        <w:br/>
      </w:r>
    </w:p>
    <w:p>
      <w:pPr>
        <w:pStyle w:val="null3"/>
        <w:jc w:val="center"/>
        <w:outlineLvl w:val="2"/>
      </w:pPr>
      <w:r>
        <w:rPr>
          <w:rFonts w:ascii="仿宋_GB2312" w:hAnsi="仿宋_GB2312" w:cs="仿宋_GB2312" w:eastAsia="仿宋_GB2312"/>
          <w:sz w:val="28"/>
          <w:b/>
        </w:rPr>
        <w:t>西安市人力资源和社会保障局信息中心</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西安市人力资源和社会保障局信息中心</w:t>
      </w:r>
      <w:r>
        <w:rPr>
          <w:rFonts w:ascii="仿宋_GB2312" w:hAnsi="仿宋_GB2312" w:cs="仿宋_GB2312" w:eastAsia="仿宋_GB2312"/>
        </w:rPr>
        <w:t>委托，拟对</w:t>
      </w:r>
      <w:r>
        <w:rPr>
          <w:rFonts w:ascii="仿宋_GB2312" w:hAnsi="仿宋_GB2312" w:cs="仿宋_GB2312" w:eastAsia="仿宋_GB2312"/>
        </w:rPr>
        <w:t>2025年度人才数据应用及服务运维项目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慧科ZX-CF01162BF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2025年度人才数据应用及服务运维项目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为实现西安人事人才业务系统的稳定运行和快速响应，本项目提供年度软件维护服务，确保系统安全高效运转。提供全市人事人才相关业务信息系统应用软件的年度维护服务、需求开发等服务。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2、关联关系承诺：单位负责人为同一人或者存在直接控股、管理关系的不同供应商，不得参加同一合同项下的政府采购活动；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3、法定代表人授权委托书：法定代表人参加磋商的，须提供本人身份证复印件（附在响应文件中）；法定代表人授权他人参加磋商的，须提供法定代表人授权委托书。 法定代表人授权委托书须附委托代理人为本单位人员的有效第三方证明材料。</w:t>
      </w:r>
    </w:p>
    <w:p>
      <w:pPr>
        <w:pStyle w:val="null3"/>
      </w:pPr>
      <w:r>
        <w:rPr>
          <w:rFonts w:ascii="仿宋_GB2312" w:hAnsi="仿宋_GB2312" w:cs="仿宋_GB2312" w:eastAsia="仿宋_GB2312"/>
        </w:rPr>
        <w:t>4、本项目不接受联合体磋商：本项目不接受联合体磋商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西安市人力资源和社会保障局信息中心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陕西省西安市雁塔区建工路28A号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029-82282994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陕西省西安市高新区锦业一路56号研祥城市广场C座3楼C-306号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李小刚、达涛涛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029-89384142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依据成交金额向采购代理机构交纳招标代理服务费，投标人可将此费用考虑在投标总报价中，采购人不再单独支付。招标代理服务收费参照原国家计委计价格〔2002〕1980号文和国家发改委发改办价格〔2003〕857号文的标准下浮10%计算。 2、成交单位在领取成交通知书时向代理机构支付代理服务费。 3、缴纳账户如下： 开户名称：陕西慧科工程管理咨询有限公司 开户银行：交通银行股份有限公司西安光华路支行 账 号：611301135013001841428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西安市人力资源和社会保障局信息中心</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西安市人力资源和社会保障局信息中心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西安市人力资源和社会保障局信息中心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联系人：李小刚、达涛涛</w:t>
      </w:r>
    </w:p>
    <w:p>
      <w:pPr>
        <w:pStyle w:val="null3"/>
      </w:pPr>
      <w:r>
        <w:rPr>
          <w:rFonts w:ascii="仿宋_GB2312" w:hAnsi="仿宋_GB2312" w:cs="仿宋_GB2312" w:eastAsia="仿宋_GB2312"/>
        </w:rPr>
        <w:t>联系电话：029-89384142</w:t>
      </w:r>
    </w:p>
    <w:p>
      <w:pPr>
        <w:pStyle w:val="null3"/>
      </w:pPr>
      <w:r>
        <w:rPr>
          <w:rFonts w:ascii="仿宋_GB2312" w:hAnsi="仿宋_GB2312" w:cs="仿宋_GB2312" w:eastAsia="仿宋_GB2312"/>
        </w:rPr>
        <w:t>地址：陕西省西安市高新区锦业一路西安研祥城市广场C座3楼C－306号</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为实现西安人事人才业务系统的稳定运行和快速响应，本项目提供年度软件维护服务，确保系统安全高效运转。提供全市人事人才相关业务信息系统应用软件的年度维护服务、需求开发等服务。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人才数据应用及服务运维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标的名称：人才数据应用及服务运维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l</w:t>
            </w:r>
            <w:r>
              <w:rPr>
                <w:rFonts w:ascii="仿宋_GB2312" w:hAnsi="仿宋_GB2312" w:cs="仿宋_GB2312" w:eastAsia="仿宋_GB2312"/>
                <w:sz w:val="20"/>
                <w:b/>
              </w:rPr>
              <w:t>项目概况</w:t>
            </w:r>
          </w:p>
          <w:p>
            <w:pPr>
              <w:pStyle w:val="null3"/>
            </w:pPr>
            <w:r>
              <w:rPr>
                <w:rFonts w:ascii="仿宋_GB2312" w:hAnsi="仿宋_GB2312" w:cs="仿宋_GB2312" w:eastAsia="仿宋_GB2312"/>
                <w:sz w:val="20"/>
              </w:rPr>
              <w:t>为实现西安人事人才业务系统的稳定运行和快速响应，本项目提供年度软件维护服务，确保系统安全高效运转。提供全市人事人才相关业务信息系统应用软件的年度维护服务、需求开发等服务。</w:t>
            </w:r>
          </w:p>
          <w:p>
            <w:pPr>
              <w:pStyle w:val="null3"/>
              <w:jc w:val="both"/>
            </w:pPr>
            <w:r>
              <w:rPr>
                <w:rFonts w:ascii="仿宋_GB2312" w:hAnsi="仿宋_GB2312" w:cs="仿宋_GB2312" w:eastAsia="仿宋_GB2312"/>
                <w:sz w:val="20"/>
              </w:rPr>
              <w:t>l</w:t>
            </w:r>
            <w:r>
              <w:rPr>
                <w:rFonts w:ascii="仿宋_GB2312" w:hAnsi="仿宋_GB2312" w:cs="仿宋_GB2312" w:eastAsia="仿宋_GB2312"/>
                <w:sz w:val="20"/>
                <w:b/>
              </w:rPr>
              <w:t>技术要求</w:t>
            </w:r>
          </w:p>
          <w:p>
            <w:pPr>
              <w:pStyle w:val="null3"/>
            </w:pPr>
            <w:r>
              <w:rPr>
                <w:rFonts w:ascii="仿宋_GB2312" w:hAnsi="仿宋_GB2312" w:cs="仿宋_GB2312" w:eastAsia="仿宋_GB2312"/>
                <w:sz w:val="20"/>
              </w:rPr>
              <w:t>提供数据维护、应用系统程序性日常维护、政策咨询及业务经办咨询服务、应用系统业务培训、应用系统性能调优、新增需求维护、数据库平台及应用中间件协助维护、安全排查及整改等系统维护</w:t>
            </w:r>
            <w:r>
              <w:rPr>
                <w:rFonts w:ascii="仿宋_GB2312" w:hAnsi="仿宋_GB2312" w:cs="仿宋_GB2312" w:eastAsia="仿宋_GB2312"/>
                <w:sz w:val="20"/>
              </w:rPr>
              <w:t>。</w:t>
            </w:r>
          </w:p>
          <w:p>
            <w:pPr>
              <w:pStyle w:val="null3"/>
            </w:pPr>
            <w:r>
              <w:rPr>
                <w:rFonts w:ascii="仿宋_GB2312" w:hAnsi="仿宋_GB2312" w:cs="仿宋_GB2312" w:eastAsia="仿宋_GB2312"/>
                <w:sz w:val="20"/>
              </w:rPr>
              <w:t>一</w:t>
            </w:r>
            <w:r>
              <w:rPr>
                <w:rFonts w:ascii="仿宋_GB2312" w:hAnsi="仿宋_GB2312" w:cs="仿宋_GB2312" w:eastAsia="仿宋_GB2312"/>
                <w:sz w:val="20"/>
              </w:rPr>
              <w:t>.招标要求</w:t>
            </w:r>
          </w:p>
          <w:p>
            <w:pPr>
              <w:pStyle w:val="null3"/>
            </w:pPr>
            <w:r>
              <w:rPr>
                <w:rFonts w:ascii="仿宋_GB2312" w:hAnsi="仿宋_GB2312" w:cs="仿宋_GB2312" w:eastAsia="仿宋_GB2312"/>
                <w:sz w:val="20"/>
              </w:rPr>
              <w:t>1、项目名称：2025年度人才数据应用及服务运维项目</w:t>
            </w:r>
          </w:p>
          <w:p>
            <w:pPr>
              <w:pStyle w:val="null3"/>
            </w:pPr>
            <w:r>
              <w:rPr>
                <w:rFonts w:ascii="仿宋_GB2312" w:hAnsi="仿宋_GB2312" w:cs="仿宋_GB2312" w:eastAsia="仿宋_GB2312"/>
                <w:sz w:val="20"/>
              </w:rPr>
              <w:t>2、</w:t>
            </w:r>
            <w:r>
              <w:rPr>
                <w:rFonts w:ascii="仿宋_GB2312" w:hAnsi="仿宋_GB2312" w:cs="仿宋_GB2312" w:eastAsia="仿宋_GB2312"/>
                <w:sz w:val="20"/>
                <w:b/>
              </w:rPr>
              <w:t>项目完工期：自合同签订之日起生效，运维期</w:t>
            </w:r>
            <w:r>
              <w:rPr>
                <w:rFonts w:ascii="仿宋_GB2312" w:hAnsi="仿宋_GB2312" w:cs="仿宋_GB2312" w:eastAsia="仿宋_GB2312"/>
                <w:sz w:val="20"/>
                <w:b/>
              </w:rPr>
              <w:t>1年</w:t>
            </w:r>
          </w:p>
          <w:p>
            <w:pPr>
              <w:pStyle w:val="null3"/>
            </w:pPr>
            <w:r>
              <w:rPr>
                <w:rFonts w:ascii="仿宋_GB2312" w:hAnsi="仿宋_GB2312" w:cs="仿宋_GB2312" w:eastAsia="仿宋_GB2312"/>
                <w:sz w:val="20"/>
              </w:rPr>
              <w:t>3、</w:t>
            </w:r>
            <w:r>
              <w:rPr>
                <w:rFonts w:ascii="仿宋_GB2312" w:hAnsi="仿宋_GB2312" w:cs="仿宋_GB2312" w:eastAsia="仿宋_GB2312"/>
                <w:sz w:val="20"/>
                <w:b/>
              </w:rPr>
              <w:t>项目实施地点：西安市内采购方指定地点</w:t>
            </w:r>
          </w:p>
          <w:p>
            <w:pPr>
              <w:pStyle w:val="null3"/>
            </w:pPr>
            <w:r>
              <w:rPr>
                <w:rFonts w:ascii="仿宋_GB2312" w:hAnsi="仿宋_GB2312" w:cs="仿宋_GB2312" w:eastAsia="仿宋_GB2312"/>
                <w:sz w:val="20"/>
              </w:rPr>
              <w:t>4、</w:t>
            </w:r>
            <w:r>
              <w:rPr>
                <w:rFonts w:ascii="仿宋_GB2312" w:hAnsi="仿宋_GB2312" w:cs="仿宋_GB2312" w:eastAsia="仿宋_GB2312"/>
                <w:sz w:val="20"/>
                <w:b/>
              </w:rPr>
              <w:t>项目实施方式：现场服务</w:t>
            </w:r>
          </w:p>
          <w:p>
            <w:pPr>
              <w:pStyle w:val="null3"/>
            </w:pPr>
            <w:r>
              <w:rPr>
                <w:rFonts w:ascii="仿宋_GB2312" w:hAnsi="仿宋_GB2312" w:cs="仿宋_GB2312" w:eastAsia="仿宋_GB2312"/>
                <w:sz w:val="20"/>
              </w:rPr>
              <w:t>二．技术参数</w:t>
            </w:r>
          </w:p>
          <w:p>
            <w:pPr>
              <w:pStyle w:val="null3"/>
            </w:pPr>
            <w:r>
              <w:rPr>
                <w:rFonts w:ascii="仿宋_GB2312" w:hAnsi="仿宋_GB2312" w:cs="仿宋_GB2312" w:eastAsia="仿宋_GB2312"/>
                <w:sz w:val="20"/>
              </w:rPr>
              <w:t>1.项目概况和建设目标</w:t>
            </w:r>
          </w:p>
          <w:p>
            <w:pPr>
              <w:pStyle w:val="null3"/>
            </w:pPr>
            <w:r>
              <w:rPr>
                <w:rFonts w:ascii="仿宋_GB2312" w:hAnsi="仿宋_GB2312" w:cs="仿宋_GB2312" w:eastAsia="仿宋_GB2312"/>
                <w:sz w:val="20"/>
              </w:rPr>
              <w:t>本项目主要提供人事人才业务等信息系统应用软件的年度维护服务。通过应用软件系统服务商的质量运营管理及维护服务，保证西安人社相关的业务系统的稳定、安全、不间断运行，保证系统对业务需求的快速有效响应。</w:t>
            </w:r>
          </w:p>
          <w:p>
            <w:pPr>
              <w:pStyle w:val="null3"/>
            </w:pPr>
            <w:r>
              <w:rPr>
                <w:rFonts w:ascii="仿宋_GB2312" w:hAnsi="仿宋_GB2312" w:cs="仿宋_GB2312" w:eastAsia="仿宋_GB2312"/>
                <w:sz w:val="20"/>
              </w:rPr>
              <w:t>2.服务内容</w:t>
            </w:r>
          </w:p>
          <w:p>
            <w:pPr>
              <w:pStyle w:val="null3"/>
            </w:pPr>
            <w:r>
              <w:rPr>
                <w:rFonts w:ascii="仿宋_GB2312" w:hAnsi="仿宋_GB2312" w:cs="仿宋_GB2312" w:eastAsia="仿宋_GB2312"/>
                <w:sz w:val="20"/>
              </w:rPr>
              <w:t>包括数据维护、应用系统程序性日常维护、政策咨询及业务经办咨询服务、应用系统业务培训、应用系统性能调优、新增需求维护内容、数据库平台及应用中间件协助维护内容。具体维护内容如下：</w:t>
            </w:r>
          </w:p>
          <w:p>
            <w:pPr>
              <w:pStyle w:val="null3"/>
            </w:pPr>
            <w:r>
              <w:rPr>
                <w:rFonts w:ascii="仿宋_GB2312" w:hAnsi="仿宋_GB2312" w:cs="仿宋_GB2312" w:eastAsia="仿宋_GB2312"/>
                <w:sz w:val="20"/>
              </w:rPr>
              <w:t>1.西安市DE类人才认定。维护人才认定、申报审核、信息管理等业务，完善功能模块，全面优化人才认定管理全流程，通过对人才认定过程中产生的各类数据进行深度挖掘和分析，生成多维度的统计报表，为相关部门提供决策依据。</w:t>
            </w:r>
          </w:p>
          <w:p>
            <w:pPr>
              <w:pStyle w:val="null3"/>
            </w:pPr>
            <w:r>
              <w:rPr>
                <w:rFonts w:ascii="仿宋_GB2312" w:hAnsi="仿宋_GB2312" w:cs="仿宋_GB2312" w:eastAsia="仿宋_GB2312"/>
                <w:sz w:val="20"/>
              </w:rPr>
              <w:t>2.人才相关业务的社保卡应用。融合社银平台，推进实现社保卡与银行系统深度融合，保障社保待遇安全、高效发放；简化生育津贴申领流程，借助智能审核与精准发放，维护职工权益；推动人社业务微信端 “指尖可办”，扩大政策宣传，助力人社服务数字化转型。</w:t>
            </w:r>
          </w:p>
          <w:p>
            <w:pPr>
              <w:pStyle w:val="null3"/>
            </w:pPr>
            <w:r>
              <w:rPr>
                <w:rFonts w:ascii="仿宋_GB2312" w:hAnsi="仿宋_GB2312" w:cs="仿宋_GB2312" w:eastAsia="仿宋_GB2312"/>
                <w:sz w:val="20"/>
              </w:rPr>
              <w:t>3.西安市人力资源服务机构管理平台。维护人力资源服务机构管理和监督管理两大功能，实现机构全生命周期管理。在管理功能上，实现机构信息登记、变更、备案等业务线上化，简化流程；监督管理功能则通过建立动态监管机制，实时监测机构经营行为，规范市场秩序，及时发现并处理违规行为，保障求职者与用人单位权益。</w:t>
            </w:r>
          </w:p>
          <w:p>
            <w:pPr>
              <w:pStyle w:val="null3"/>
            </w:pPr>
            <w:r>
              <w:rPr>
                <w:rFonts w:ascii="仿宋_GB2312" w:hAnsi="仿宋_GB2312" w:cs="仿宋_GB2312" w:eastAsia="仿宋_GB2312"/>
                <w:sz w:val="20"/>
              </w:rPr>
              <w:t>4.企事业单位职工退休综合管理服务。分别在退休申请、待遇核算、审核审批、档案管理四个环节，维护职工退休信息在线申报、材料提交，保证数据准确采集与稳定传输；维护审核节点权限设置与数据流转逻辑，定期维护校验退休待遇计算规则，确保养老金核算准确，适配政策变化及时更新；维护退休职工电子档案的存储、调用、更新，保障档案数据安全完整；维护退休人员信息库，确保数据实时更新，支持统计分析功能稳定运行，保障企事业单位职工退休业务全流程高效运转。</w:t>
            </w:r>
          </w:p>
          <w:p>
            <w:pPr>
              <w:pStyle w:val="null3"/>
            </w:pPr>
            <w:r>
              <w:rPr>
                <w:rFonts w:ascii="仿宋_GB2312" w:hAnsi="仿宋_GB2312" w:cs="仿宋_GB2312" w:eastAsia="仿宋_GB2312"/>
                <w:sz w:val="20"/>
              </w:rPr>
              <w:t>5.西安青年人才驿站：精准对接企业与人才需求，通过岗位智能匹配、就业指导等服务，提升青年人才就业质量与企业招聘效率；拓展个人、企业税收减免服务板块，简化政策申报流程，推动税收优惠政策落地，减轻个人与企业负担。维护住宿申请、城市资讯等功能。</w:t>
            </w:r>
          </w:p>
          <w:p>
            <w:pPr>
              <w:pStyle w:val="null3"/>
            </w:pPr>
            <w:r>
              <w:rPr>
                <w:rFonts w:ascii="仿宋_GB2312" w:hAnsi="仿宋_GB2312" w:cs="仿宋_GB2312" w:eastAsia="仿宋_GB2312"/>
                <w:sz w:val="20"/>
              </w:rPr>
              <w:t>6.云招聘服务（公共招聘网平台）：维护线上招聘求职平台，实现岗位与人才精准匹配；求职招聘服务管理上规范业务流程，强化数据监管与服务质量把控，保障双方权益；求职招聘服务拓展业务延伸服务链条，整合职业培训、政策咨询等资源，为求职者与企业提供一站式综合服务，助力就业供需精准对接。</w:t>
            </w:r>
          </w:p>
          <w:p>
            <w:pPr>
              <w:pStyle w:val="null3"/>
            </w:pPr>
            <w:r>
              <w:rPr>
                <w:rFonts w:ascii="仿宋_GB2312" w:hAnsi="仿宋_GB2312" w:cs="仿宋_GB2312" w:eastAsia="仿宋_GB2312"/>
                <w:sz w:val="20"/>
              </w:rPr>
              <w:t>7.社保卡机构发放管理。维护社保卡申领、PSAM卡申领、发放、机构管理等功能，强化数据共享，整合人社及多领域数据资源，维护拓展社保卡在政务、民生、金融等领域的 “一卡通” 应用场景，增强应用支撑能力。</w:t>
            </w:r>
          </w:p>
          <w:p>
            <w:pPr>
              <w:pStyle w:val="null3"/>
            </w:pPr>
            <w:r>
              <w:rPr>
                <w:rFonts w:ascii="仿宋_GB2312" w:hAnsi="仿宋_GB2312" w:cs="仿宋_GB2312" w:eastAsia="仿宋_GB2312"/>
                <w:sz w:val="20"/>
              </w:rPr>
              <w:t>8.西安市劳动仲裁信息管理平台：维护劳动仲裁线上案件受理、调解、仲裁到结案、案件信息管理等功能模块，提供案件进度实时查询等服务，增强仲裁工作的公开性与可追溯性，提升群众对劳动仲裁服务的满意度。</w:t>
            </w:r>
          </w:p>
          <w:p>
            <w:pPr>
              <w:pStyle w:val="null3"/>
            </w:pPr>
            <w:r>
              <w:rPr>
                <w:rFonts w:ascii="仿宋_GB2312" w:hAnsi="仿宋_GB2312" w:cs="仿宋_GB2312" w:eastAsia="仿宋_GB2312"/>
                <w:sz w:val="20"/>
              </w:rPr>
              <w:t>9.西安市人社公共就业各类就业补贴申领。维护就业补贴申领、社保相关补贴、智能化办理、简化补贴申领流程、提升补贴发放效率，精准识别符合条件的企业与个人，省级统筹后仍需保留的社保相关查询办理功能，确保补贴政策精准落地。维护资金监管功能，实时跟踪补贴资金流向，保障资金发放安全透明。</w:t>
            </w:r>
          </w:p>
          <w:p>
            <w:pPr>
              <w:pStyle w:val="null3"/>
            </w:pPr>
            <w:r>
              <w:rPr>
                <w:rFonts w:ascii="仿宋_GB2312" w:hAnsi="仿宋_GB2312" w:cs="仿宋_GB2312" w:eastAsia="仿宋_GB2312"/>
                <w:sz w:val="20"/>
              </w:rPr>
              <w:t>10.企业新增用工补助。维护企业新增用工补助、吸纳补助、扩岗补助等业务全流程线上受理审核，推动系统对接，实时共享与协同管理数据，确保政策执行标准统一；借助精准的资格审查与资金监管，保障补助资金精准发放至符合条件企业，助力企业纾困稳岗。</w:t>
            </w:r>
          </w:p>
          <w:p>
            <w:pPr>
              <w:pStyle w:val="null3"/>
            </w:pPr>
            <w:r>
              <w:rPr>
                <w:rFonts w:ascii="仿宋_GB2312" w:hAnsi="仿宋_GB2312" w:cs="仿宋_GB2312" w:eastAsia="仿宋_GB2312"/>
                <w:sz w:val="20"/>
              </w:rPr>
              <w:t>3、技术要求</w:t>
            </w:r>
          </w:p>
          <w:p>
            <w:pPr>
              <w:pStyle w:val="null3"/>
            </w:pPr>
            <w:r>
              <w:rPr>
                <w:rFonts w:ascii="仿宋_GB2312" w:hAnsi="仿宋_GB2312" w:cs="仿宋_GB2312" w:eastAsia="仿宋_GB2312"/>
                <w:sz w:val="20"/>
              </w:rPr>
              <w:t>3.1数据维护</w:t>
            </w:r>
          </w:p>
          <w:p>
            <w:pPr>
              <w:pStyle w:val="null3"/>
            </w:pPr>
            <w:r>
              <w:rPr>
                <w:rFonts w:ascii="仿宋_GB2312" w:hAnsi="仿宋_GB2312" w:cs="仿宋_GB2312" w:eastAsia="仿宋_GB2312"/>
                <w:sz w:val="20"/>
              </w:rPr>
              <w:t>解决历史性的数据错误：原应用系统数据迁移所遗留的数据问题；解决因应用系统异常所导致的数据问题；解决因操作人员操作错误引起的数据问题；为业务或信息部门提供临时数据统计或</w:t>
            </w:r>
            <w:r>
              <w:rPr>
                <w:rFonts w:ascii="仿宋_GB2312" w:hAnsi="仿宋_GB2312" w:cs="仿宋_GB2312" w:eastAsia="仿宋_GB2312"/>
                <w:sz w:val="20"/>
              </w:rPr>
              <w:t>SQL编写；为业务或信息部门提供相关统计数据或明细数据。</w:t>
            </w:r>
          </w:p>
          <w:p>
            <w:pPr>
              <w:pStyle w:val="null3"/>
            </w:pPr>
            <w:r>
              <w:rPr>
                <w:rFonts w:ascii="仿宋_GB2312" w:hAnsi="仿宋_GB2312" w:cs="仿宋_GB2312" w:eastAsia="仿宋_GB2312"/>
                <w:sz w:val="20"/>
              </w:rPr>
              <w:t>3.2应用系统程序性日常维护</w:t>
            </w:r>
          </w:p>
          <w:p>
            <w:pPr>
              <w:pStyle w:val="null3"/>
            </w:pPr>
            <w:r>
              <w:rPr>
                <w:rFonts w:ascii="仿宋_GB2312" w:hAnsi="仿宋_GB2312" w:cs="仿宋_GB2312" w:eastAsia="仿宋_GB2312"/>
                <w:sz w:val="20"/>
              </w:rPr>
              <w:t>应用系统程序性日常维护主要是针对系统操作人员在日常业务办理中，遇到的通过业务系统无法解决或不知如何解决的问题，包括：</w:t>
            </w:r>
          </w:p>
          <w:p>
            <w:pPr>
              <w:pStyle w:val="null3"/>
            </w:pPr>
            <w:r>
              <w:rPr>
                <w:rFonts w:ascii="仿宋_GB2312" w:hAnsi="仿宋_GB2312" w:cs="仿宋_GB2312" w:eastAsia="仿宋_GB2312"/>
                <w:sz w:val="20"/>
              </w:rPr>
              <w:t>纠错性维护：对应用软件缺陷（错误）的整改，在应用系统运行过程中，针对发现的应用软件缺陷（错误），对应用程序进行及时的修补，并通过软件系统升级和现场服务等方式对应用软件进行升级改造</w:t>
            </w:r>
            <w:r>
              <w:rPr>
                <w:rFonts w:ascii="仿宋_GB2312" w:hAnsi="仿宋_GB2312" w:cs="仿宋_GB2312" w:eastAsia="仿宋_GB2312"/>
                <w:sz w:val="20"/>
              </w:rPr>
              <w:t>.</w:t>
            </w:r>
          </w:p>
          <w:p>
            <w:pPr>
              <w:pStyle w:val="null3"/>
            </w:pPr>
            <w:r>
              <w:rPr>
                <w:rFonts w:ascii="仿宋_GB2312" w:hAnsi="仿宋_GB2312" w:cs="仿宋_GB2312" w:eastAsia="仿宋_GB2312"/>
                <w:sz w:val="20"/>
              </w:rPr>
              <w:t>适应性维护：是针对软件系统为适应外部环境的变化进行的系统修改，为适应经办人员使用方法的改变或为提高经办人员工作效率进行的程序适应性修改，对已有的功能进行改善，或因为用户需要而增加的某些模块的事后打印，包括查询功能或某列查询结果不能按用户要求排序等进行适应性维护。</w:t>
            </w:r>
          </w:p>
          <w:p>
            <w:pPr>
              <w:pStyle w:val="null3"/>
            </w:pPr>
            <w:r>
              <w:rPr>
                <w:rFonts w:ascii="仿宋_GB2312" w:hAnsi="仿宋_GB2312" w:cs="仿宋_GB2312" w:eastAsia="仿宋_GB2312"/>
                <w:sz w:val="20"/>
              </w:rPr>
              <w:t>3.3政策咨询及业务经办咨询服务</w:t>
            </w:r>
          </w:p>
          <w:p>
            <w:pPr>
              <w:pStyle w:val="null3"/>
            </w:pPr>
            <w:r>
              <w:rPr>
                <w:rFonts w:ascii="仿宋_GB2312" w:hAnsi="仿宋_GB2312" w:cs="仿宋_GB2312" w:eastAsia="仿宋_GB2312"/>
                <w:sz w:val="20"/>
              </w:rPr>
              <w:t>解决新政策出台后，业务人员对政策的理解与系统的功能不一致而提出的政策咨询；解决经办人员轮岗后对相关系统操作不熟悉的业务经办咨询。重点业务咨询服务：对于系统的重点的、复杂的业务办理及流程，配合用户进行分析，提出可行的整改意见。</w:t>
            </w:r>
          </w:p>
          <w:p>
            <w:pPr>
              <w:pStyle w:val="null3"/>
            </w:pPr>
            <w:r>
              <w:rPr>
                <w:rFonts w:ascii="仿宋_GB2312" w:hAnsi="仿宋_GB2312" w:cs="仿宋_GB2312" w:eastAsia="仿宋_GB2312"/>
                <w:sz w:val="20"/>
              </w:rPr>
              <w:t>3.4应用系统业务培训</w:t>
            </w:r>
          </w:p>
          <w:p>
            <w:pPr>
              <w:pStyle w:val="null3"/>
            </w:pPr>
            <w:r>
              <w:rPr>
                <w:rFonts w:ascii="仿宋_GB2312" w:hAnsi="仿宋_GB2312" w:cs="仿宋_GB2312" w:eastAsia="仿宋_GB2312"/>
                <w:sz w:val="20"/>
              </w:rPr>
              <w:t>针对用户需要，对经办人员进行集中的系统业务培训，培训频次不少于每季度</w:t>
            </w:r>
            <w:r>
              <w:rPr>
                <w:rFonts w:ascii="仿宋_GB2312" w:hAnsi="仿宋_GB2312" w:cs="仿宋_GB2312" w:eastAsia="仿宋_GB2312"/>
                <w:sz w:val="20"/>
              </w:rPr>
              <w:t>1次。</w:t>
            </w:r>
          </w:p>
          <w:p>
            <w:pPr>
              <w:pStyle w:val="null3"/>
            </w:pPr>
            <w:r>
              <w:rPr>
                <w:rFonts w:ascii="仿宋_GB2312" w:hAnsi="仿宋_GB2312" w:cs="仿宋_GB2312" w:eastAsia="仿宋_GB2312"/>
                <w:sz w:val="20"/>
              </w:rPr>
              <w:t>3.5应用系统性能调优</w:t>
            </w:r>
          </w:p>
          <w:p>
            <w:pPr>
              <w:pStyle w:val="null3"/>
            </w:pPr>
            <w:r>
              <w:rPr>
                <w:rFonts w:ascii="仿宋_GB2312" w:hAnsi="仿宋_GB2312" w:cs="仿宋_GB2312" w:eastAsia="仿宋_GB2312"/>
                <w:sz w:val="20"/>
              </w:rPr>
              <w:t>应用系统市直接面向最终用户的一层，设计、开发人员在建设业务系统的过程中必须全面考虑性能的优化，包括利用各种设计模式、高效编程实现，多进程技术的利用、高效算法的设计等。在业务的长期使用中，会发现程序中查询语句等不够优化的情况，需长期持续跟踪，并进行调优。</w:t>
            </w:r>
          </w:p>
          <w:p>
            <w:pPr>
              <w:pStyle w:val="null3"/>
            </w:pPr>
            <w:r>
              <w:rPr>
                <w:rFonts w:ascii="仿宋_GB2312" w:hAnsi="仿宋_GB2312" w:cs="仿宋_GB2312" w:eastAsia="仿宋_GB2312"/>
                <w:sz w:val="20"/>
              </w:rPr>
              <w:t>3.6新增需求维护内容</w:t>
            </w:r>
          </w:p>
          <w:p>
            <w:pPr>
              <w:pStyle w:val="null3"/>
            </w:pPr>
            <w:r>
              <w:rPr>
                <w:rFonts w:ascii="仿宋_GB2312" w:hAnsi="仿宋_GB2312" w:cs="仿宋_GB2312" w:eastAsia="仿宋_GB2312"/>
                <w:sz w:val="20"/>
              </w:rPr>
              <w:t>由于需求的变化，在保持原有系统整体框架不发生大的变化的前提下对应用系统进行相关完善性维护。当出台新的政策，系统已不能通过政策参数的调整来适应政策调整要求的时候，需对系统继续宁较大的改动。服务商在服务期内完成信息中心审批通过的新政策或新需求的开发、测试、应用。</w:t>
            </w:r>
          </w:p>
          <w:p>
            <w:pPr>
              <w:pStyle w:val="null3"/>
            </w:pPr>
            <w:r>
              <w:rPr>
                <w:rFonts w:ascii="仿宋_GB2312" w:hAnsi="仿宋_GB2312" w:cs="仿宋_GB2312" w:eastAsia="仿宋_GB2312"/>
                <w:sz w:val="20"/>
              </w:rPr>
              <w:t>3.7数据库及应用中间件维护内容</w:t>
            </w:r>
          </w:p>
          <w:p>
            <w:pPr>
              <w:pStyle w:val="null3"/>
            </w:pPr>
            <w:r>
              <w:rPr>
                <w:rFonts w:ascii="仿宋_GB2312" w:hAnsi="仿宋_GB2312" w:cs="仿宋_GB2312" w:eastAsia="仿宋_GB2312"/>
                <w:sz w:val="20"/>
              </w:rPr>
              <w:t>针对西安人社人事人才相关系统及系统所使用的数据库和中间件提供数据支持。协助数据库服务商对应用环境中产生的严重故障进行分析，及时找出问题。对中间件运行情况进行日常监控，配置、性能检查调整、紧急处理等。</w:t>
            </w:r>
          </w:p>
          <w:p>
            <w:pPr>
              <w:pStyle w:val="null3"/>
            </w:pPr>
            <w:r>
              <w:rPr>
                <w:rFonts w:ascii="仿宋_GB2312" w:hAnsi="仿宋_GB2312" w:cs="仿宋_GB2312" w:eastAsia="仿宋_GB2312"/>
                <w:sz w:val="20"/>
              </w:rPr>
              <w:t>基于应用服务软件、操作系统国产化要求，强化系统兼容性，支持主流国产操作系统、浏览器等。</w:t>
            </w:r>
          </w:p>
          <w:p>
            <w:pPr>
              <w:pStyle w:val="null3"/>
            </w:pPr>
            <w:r>
              <w:rPr>
                <w:rFonts w:ascii="仿宋_GB2312" w:hAnsi="仿宋_GB2312" w:cs="仿宋_GB2312" w:eastAsia="仿宋_GB2312"/>
                <w:sz w:val="20"/>
              </w:rPr>
              <w:t>3.8安全排查及整改</w:t>
            </w:r>
          </w:p>
          <w:p>
            <w:pPr>
              <w:pStyle w:val="null3"/>
            </w:pPr>
            <w:r>
              <w:rPr>
                <w:rFonts w:ascii="仿宋_GB2312" w:hAnsi="仿宋_GB2312" w:cs="仿宋_GB2312" w:eastAsia="仿宋_GB2312"/>
                <w:sz w:val="20"/>
              </w:rPr>
              <w:t>在项目运维服务期间，运维服务单位应保证系统安全，定期进行安全排查及整改：一是实行标准化排查，遵循人社部技术支持商风险排查要求，形成标准化排查指南和排查流程；二是开展应用实操检查，针对每个系统特别是</w:t>
            </w:r>
            <w:r>
              <w:rPr>
                <w:rFonts w:ascii="仿宋_GB2312" w:hAnsi="仿宋_GB2312" w:cs="仿宋_GB2312" w:eastAsia="仿宋_GB2312"/>
                <w:sz w:val="20"/>
              </w:rPr>
              <w:t>H5页面，核查用户认证及权限管理，通过业务访谈与实际操作梳理核心业务流程、查找风险点；三是在软件安全专家指导下进行代码审计，通过静态分析结合人工审查，主动识别潜在的编程错误、设计缺陷、输入验证不足、未加密敏感数据存储、未授权访问控制漏洞等问题，排查逻辑层面安全隐患，确保应用程序具备足够的健壮性和安全性；四是部署网络流量分析，重点排查未经授权的网络连接、内部数据泄露和数据脱敏的情况，排查应用系统是否存在异常流量情况；五是建立交叉验证机制，多技术小组独立排查后比对结果；六是汇总分析全量数据问题、风险评估结果，确定优先级最高的安全隐患和亟待解决的安全问题，为整改提供科学依据。</w:t>
            </w:r>
          </w:p>
          <w:p>
            <w:pPr>
              <w:pStyle w:val="null3"/>
            </w:pPr>
            <w:r>
              <w:rPr>
                <w:rFonts w:ascii="仿宋_GB2312" w:hAnsi="仿宋_GB2312" w:cs="仿宋_GB2312" w:eastAsia="仿宋_GB2312"/>
                <w:sz w:val="20"/>
              </w:rPr>
              <w:t>4.质量、安全及管理要求</w:t>
            </w:r>
          </w:p>
          <w:p>
            <w:pPr>
              <w:pStyle w:val="null3"/>
            </w:pPr>
            <w:r>
              <w:rPr>
                <w:rFonts w:ascii="仿宋_GB2312" w:hAnsi="仿宋_GB2312" w:cs="仿宋_GB2312" w:eastAsia="仿宋_GB2312"/>
                <w:sz w:val="20"/>
              </w:rPr>
              <w:t>4.1质量、安全要求</w:t>
            </w:r>
          </w:p>
          <w:p>
            <w:pPr>
              <w:pStyle w:val="null3"/>
            </w:pPr>
            <w:r>
              <w:rPr>
                <w:rFonts w:ascii="仿宋_GB2312" w:hAnsi="仿宋_GB2312" w:cs="仿宋_GB2312" w:eastAsia="仿宋_GB2312"/>
                <w:sz w:val="20"/>
              </w:rPr>
              <w:t>运维服务期内，运维人员能够及时</w:t>
            </w:r>
            <w:r>
              <w:rPr>
                <w:rFonts w:ascii="仿宋_GB2312" w:hAnsi="仿宋_GB2312" w:cs="仿宋_GB2312" w:eastAsia="仿宋_GB2312"/>
                <w:sz w:val="20"/>
              </w:rPr>
              <w:t>7×24小时响应和处理故障发生；业务服务故障分类：</w:t>
            </w:r>
          </w:p>
          <w:p>
            <w:pPr>
              <w:pStyle w:val="null3"/>
            </w:pPr>
            <w:r>
              <w:rPr>
                <w:rFonts w:ascii="仿宋_GB2312" w:hAnsi="仿宋_GB2312" w:cs="仿宋_GB2312" w:eastAsia="仿宋_GB2312"/>
                <w:sz w:val="20"/>
              </w:rPr>
              <w:t>一级故障：业务中断</w:t>
            </w:r>
            <w:r>
              <w:rPr>
                <w:rFonts w:ascii="仿宋_GB2312" w:hAnsi="仿宋_GB2312" w:cs="仿宋_GB2312" w:eastAsia="仿宋_GB2312"/>
                <w:sz w:val="20"/>
              </w:rPr>
              <w:t>8小时以上</w:t>
            </w:r>
          </w:p>
          <w:p>
            <w:pPr>
              <w:pStyle w:val="null3"/>
            </w:pPr>
            <w:r>
              <w:rPr>
                <w:rFonts w:ascii="仿宋_GB2312" w:hAnsi="仿宋_GB2312" w:cs="仿宋_GB2312" w:eastAsia="仿宋_GB2312"/>
                <w:sz w:val="20"/>
              </w:rPr>
              <w:t>二级故障：业务中断</w:t>
            </w:r>
            <w:r>
              <w:rPr>
                <w:rFonts w:ascii="仿宋_GB2312" w:hAnsi="仿宋_GB2312" w:cs="仿宋_GB2312" w:eastAsia="仿宋_GB2312"/>
                <w:sz w:val="20"/>
              </w:rPr>
              <w:t>2-8小时</w:t>
            </w:r>
          </w:p>
          <w:p>
            <w:pPr>
              <w:pStyle w:val="null3"/>
            </w:pPr>
            <w:r>
              <w:rPr>
                <w:rFonts w:ascii="仿宋_GB2312" w:hAnsi="仿宋_GB2312" w:cs="仿宋_GB2312" w:eastAsia="仿宋_GB2312"/>
                <w:sz w:val="20"/>
              </w:rPr>
              <w:t>三级故障：业务中断</w:t>
            </w:r>
            <w:r>
              <w:rPr>
                <w:rFonts w:ascii="仿宋_GB2312" w:hAnsi="仿宋_GB2312" w:cs="仿宋_GB2312" w:eastAsia="仿宋_GB2312"/>
                <w:sz w:val="20"/>
              </w:rPr>
              <w:t>1-2小时，业务核心功能无法使用</w:t>
            </w:r>
          </w:p>
          <w:p>
            <w:pPr>
              <w:pStyle w:val="null3"/>
            </w:pPr>
            <w:r>
              <w:rPr>
                <w:rFonts w:ascii="仿宋_GB2312" w:hAnsi="仿宋_GB2312" w:cs="仿宋_GB2312" w:eastAsia="仿宋_GB2312"/>
                <w:sz w:val="20"/>
              </w:rPr>
              <w:t>四级故障：业务中断</w:t>
            </w:r>
            <w:r>
              <w:rPr>
                <w:rFonts w:ascii="仿宋_GB2312" w:hAnsi="仿宋_GB2312" w:cs="仿宋_GB2312" w:eastAsia="仿宋_GB2312"/>
                <w:sz w:val="20"/>
              </w:rPr>
              <w:t>1小时以下，业务核心功能受影响</w:t>
            </w:r>
          </w:p>
          <w:p>
            <w:pPr>
              <w:pStyle w:val="null3"/>
            </w:pPr>
            <w:r>
              <w:rPr>
                <w:rFonts w:ascii="仿宋_GB2312" w:hAnsi="仿宋_GB2312" w:cs="仿宋_GB2312" w:eastAsia="仿宋_GB2312"/>
                <w:sz w:val="20"/>
              </w:rPr>
              <w:t>五级故障：业务中断</w:t>
            </w:r>
            <w:r>
              <w:rPr>
                <w:rFonts w:ascii="仿宋_GB2312" w:hAnsi="仿宋_GB2312" w:cs="仿宋_GB2312" w:eastAsia="仿宋_GB2312"/>
                <w:sz w:val="20"/>
              </w:rPr>
              <w:t>1小时以下，业务次要功能受影响</w:t>
            </w:r>
          </w:p>
          <w:p>
            <w:pPr>
              <w:pStyle w:val="null3"/>
            </w:pPr>
            <w:r>
              <w:rPr>
                <w:rFonts w:ascii="仿宋_GB2312" w:hAnsi="仿宋_GB2312" w:cs="仿宋_GB2312" w:eastAsia="仿宋_GB2312"/>
                <w:sz w:val="20"/>
              </w:rPr>
              <w:t>处理要求：</w:t>
            </w:r>
          </w:p>
          <w:p>
            <w:pPr>
              <w:pStyle w:val="null3"/>
            </w:pPr>
            <w:r>
              <w:rPr>
                <w:rFonts w:ascii="仿宋_GB2312" w:hAnsi="仿宋_GB2312" w:cs="仿宋_GB2312" w:eastAsia="仿宋_GB2312"/>
                <w:sz w:val="20"/>
              </w:rPr>
              <w:t>1.所有故障须在第一时间响应（30分钟），包括故障的通知，处理，善后等事宜；</w:t>
            </w:r>
          </w:p>
          <w:p>
            <w:pPr>
              <w:pStyle w:val="null3"/>
            </w:pPr>
            <w:r>
              <w:rPr>
                <w:rFonts w:ascii="仿宋_GB2312" w:hAnsi="仿宋_GB2312" w:cs="仿宋_GB2312" w:eastAsia="仿宋_GB2312"/>
                <w:sz w:val="20"/>
              </w:rPr>
              <w:t>2.在最快时间内处理故障，并积极配合其他相关人员的完成故障处理工作；技术问题积极寻求解决办法和资源支持；</w:t>
            </w:r>
          </w:p>
          <w:p>
            <w:pPr>
              <w:pStyle w:val="null3"/>
            </w:pPr>
            <w:r>
              <w:rPr>
                <w:rFonts w:ascii="仿宋_GB2312" w:hAnsi="仿宋_GB2312" w:cs="仿宋_GB2312" w:eastAsia="仿宋_GB2312"/>
                <w:sz w:val="20"/>
              </w:rPr>
              <w:t>3.保障系统在最短时间内完全恢复正常运作，故障影响降到最低。</w:t>
            </w:r>
          </w:p>
          <w:p>
            <w:pPr>
              <w:pStyle w:val="null3"/>
            </w:pPr>
            <w:r>
              <w:rPr>
                <w:rFonts w:ascii="仿宋_GB2312" w:hAnsi="仿宋_GB2312" w:cs="仿宋_GB2312" w:eastAsia="仿宋_GB2312"/>
                <w:sz w:val="20"/>
              </w:rPr>
              <w:t>4.2保密要求</w:t>
            </w:r>
          </w:p>
          <w:p>
            <w:pPr>
              <w:pStyle w:val="null3"/>
            </w:pPr>
            <w:r>
              <w:rPr>
                <w:rFonts w:ascii="仿宋_GB2312" w:hAnsi="仿宋_GB2312" w:cs="仿宋_GB2312" w:eastAsia="仿宋_GB2312"/>
                <w:sz w:val="20"/>
              </w:rPr>
              <w:t>1、须签订保密协议，对其因身份、职务、职业或技术关系而知悉的采购人商业秘密和党政机关保密信息应严格保守，保证不被披露或使用，包括意外或过失。</w:t>
            </w:r>
          </w:p>
          <w:p>
            <w:pPr>
              <w:pStyle w:val="null3"/>
            </w:pPr>
            <w:r>
              <w:rPr>
                <w:rFonts w:ascii="仿宋_GB2312" w:hAnsi="仿宋_GB2312" w:cs="仿宋_GB2312" w:eastAsia="仿宋_GB2312"/>
                <w:sz w:val="20"/>
              </w:rPr>
              <w:t>2、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在从事政府项目时，不得擅自记录、复制、拍摄、摘抄、收藏在工作中涉及的保密信息，严禁将涉及政府项目的任何资料、数据透露或以其他方式提供给项目以外的其他方或内部与该项目无关的任何人员。</w:t>
            </w:r>
          </w:p>
          <w:p>
            <w:pPr>
              <w:pStyle w:val="null3"/>
            </w:pPr>
            <w:r>
              <w:rPr>
                <w:rFonts w:ascii="仿宋_GB2312" w:hAnsi="仿宋_GB2312" w:cs="仿宋_GB2312" w:eastAsia="仿宋_GB2312"/>
                <w:sz w:val="20"/>
              </w:rPr>
              <w:t>3、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w:t>
            </w:r>
            <w:r>
              <w:rPr>
                <w:rFonts w:ascii="仿宋_GB2312" w:hAnsi="仿宋_GB2312" w:cs="仿宋_GB2312" w:eastAsia="仿宋_GB2312"/>
                <w:sz w:val="20"/>
              </w:rPr>
              <w:t>关的文件和资料。</w:t>
            </w:r>
          </w:p>
          <w:p>
            <w:pPr>
              <w:pStyle w:val="null3"/>
              <w:jc w:val="both"/>
            </w:pPr>
            <w:r>
              <w:rPr>
                <w:rFonts w:ascii="仿宋_GB2312" w:hAnsi="仿宋_GB2312" w:cs="仿宋_GB2312" w:eastAsia="仿宋_GB2312"/>
                <w:sz w:val="20"/>
              </w:rPr>
              <w:t>4、严禁泄露在工作中接触到的政府机关科</w:t>
            </w:r>
            <w:r>
              <w:rPr>
                <w:rFonts w:ascii="仿宋_GB2312" w:hAnsi="仿宋_GB2312" w:cs="仿宋_GB2312" w:eastAsia="仿宋_GB2312"/>
                <w:sz w:val="20"/>
              </w:rPr>
              <w:t>技研究、发明、装备器材及其技术资料和政府工作信息。</w:t>
            </w:r>
          </w:p>
          <w:p>
            <w:pPr>
              <w:pStyle w:val="null3"/>
            </w:pPr>
            <w:r>
              <w:rPr>
                <w:rFonts w:ascii="仿宋_GB2312" w:hAnsi="仿宋_GB2312" w:cs="仿宋_GB2312" w:eastAsia="仿宋_GB2312"/>
                <w:sz w:val="20"/>
              </w:rPr>
              <w:t>5.商务要求</w:t>
            </w:r>
          </w:p>
          <w:p>
            <w:pPr>
              <w:pStyle w:val="null3"/>
            </w:pPr>
            <w:r>
              <w:rPr>
                <w:rFonts w:ascii="仿宋_GB2312" w:hAnsi="仿宋_GB2312" w:cs="仿宋_GB2312" w:eastAsia="仿宋_GB2312"/>
                <w:sz w:val="20"/>
              </w:rPr>
              <w:t>5.1履行合同的时间</w:t>
            </w:r>
          </w:p>
          <w:p>
            <w:pPr>
              <w:pStyle w:val="null3"/>
            </w:pPr>
            <w:r>
              <w:rPr>
                <w:rFonts w:ascii="仿宋_GB2312" w:hAnsi="仿宋_GB2312" w:cs="仿宋_GB2312" w:eastAsia="仿宋_GB2312"/>
                <w:sz w:val="20"/>
                <w:b/>
              </w:rPr>
              <w:t>运维内容自合同签订之日起生效，运维期</w:t>
            </w:r>
            <w:r>
              <w:rPr>
                <w:rFonts w:ascii="仿宋_GB2312" w:hAnsi="仿宋_GB2312" w:cs="仿宋_GB2312" w:eastAsia="仿宋_GB2312"/>
                <w:sz w:val="20"/>
                <w:b/>
              </w:rPr>
              <w:t>1年.</w:t>
            </w:r>
          </w:p>
          <w:p>
            <w:pPr>
              <w:pStyle w:val="null3"/>
            </w:pPr>
            <w:r>
              <w:rPr>
                <w:rFonts w:ascii="仿宋_GB2312" w:hAnsi="仿宋_GB2312" w:cs="仿宋_GB2312" w:eastAsia="仿宋_GB2312"/>
                <w:sz w:val="20"/>
              </w:rPr>
              <w:t>5.2地点及方式</w:t>
            </w:r>
          </w:p>
          <w:p>
            <w:pPr>
              <w:pStyle w:val="null3"/>
            </w:pPr>
            <w:r>
              <w:rPr>
                <w:rFonts w:ascii="仿宋_GB2312" w:hAnsi="仿宋_GB2312" w:cs="仿宋_GB2312" w:eastAsia="仿宋_GB2312"/>
                <w:sz w:val="20"/>
                <w:b/>
              </w:rPr>
              <w:t>西安市内采购方指定地点，驻场服务（采购方提供办公场地）。</w:t>
            </w:r>
          </w:p>
          <w:p>
            <w:pPr>
              <w:pStyle w:val="null3"/>
            </w:pPr>
            <w:r>
              <w:rPr>
                <w:rFonts w:ascii="仿宋_GB2312" w:hAnsi="仿宋_GB2312" w:cs="仿宋_GB2312" w:eastAsia="仿宋_GB2312"/>
                <w:sz w:val="20"/>
              </w:rPr>
              <w:t>5.3其他</w:t>
            </w:r>
          </w:p>
          <w:p>
            <w:pPr>
              <w:pStyle w:val="null3"/>
            </w:pPr>
            <w:r>
              <w:rPr>
                <w:rFonts w:ascii="仿宋_GB2312" w:hAnsi="仿宋_GB2312" w:cs="仿宋_GB2312" w:eastAsia="仿宋_GB2312"/>
                <w:sz w:val="20"/>
                <w:b/>
              </w:rPr>
              <w:t>成交供应商应派驻不少于</w:t>
            </w:r>
            <w:r>
              <w:rPr>
                <w:rFonts w:ascii="仿宋_GB2312" w:hAnsi="仿宋_GB2312" w:cs="仿宋_GB2312" w:eastAsia="仿宋_GB2312"/>
                <w:sz w:val="20"/>
                <w:b/>
              </w:rPr>
              <w:t>5名符合采购人要求的工程师提供驻场服务。</w:t>
            </w:r>
            <w:r>
              <w:rPr>
                <w:rFonts w:ascii="仿宋_GB2312" w:hAnsi="仿宋_GB2312" w:cs="仿宋_GB2312" w:eastAsia="仿宋_GB2312"/>
                <w:sz w:val="20"/>
                <w:b/>
              </w:rPr>
              <w:t>（</w:t>
            </w:r>
            <w:r>
              <w:rPr>
                <w:rFonts w:ascii="仿宋_GB2312" w:hAnsi="仿宋_GB2312" w:cs="仿宋_GB2312" w:eastAsia="仿宋_GB2312"/>
                <w:sz w:val="20"/>
                <w:b/>
              </w:rPr>
              <w:t>提供驻场承诺</w:t>
            </w:r>
            <w:r>
              <w:rPr>
                <w:rFonts w:ascii="仿宋_GB2312" w:hAnsi="仿宋_GB2312" w:cs="仿宋_GB2312" w:eastAsia="仿宋_GB2312"/>
                <w:sz w:val="20"/>
                <w:b/>
              </w:rPr>
              <w:t>）</w:t>
            </w:r>
          </w:p>
          <w:p>
            <w:pPr>
              <w:pStyle w:val="null3"/>
            </w:pPr>
            <w:r>
              <w:rPr>
                <w:rFonts w:ascii="仿宋_GB2312" w:hAnsi="仿宋_GB2312" w:cs="仿宋_GB2312" w:eastAsia="仿宋_GB2312"/>
                <w:sz w:val="20"/>
              </w:rPr>
              <w:t>6.验收标准</w:t>
            </w:r>
          </w:p>
          <w:p>
            <w:pPr>
              <w:pStyle w:val="null3"/>
            </w:pPr>
            <w:r>
              <w:rPr>
                <w:rFonts w:ascii="仿宋_GB2312" w:hAnsi="仿宋_GB2312" w:cs="仿宋_GB2312" w:eastAsia="仿宋_GB2312"/>
                <w:sz w:val="20"/>
              </w:rPr>
              <w:t>1、服务专业性：参照GB/T 25000.51和GB/T 16260.1-2006、《西安市信息化项目管理办法（暂行）》（市政办发〔2024〕2号）、《西安市信息化项目验收实施细则（试行）》（市数发〔2025〕12号）等级保护三级有关要求执行，按照合同要求完成服务内容，验收资料齐全、合理；</w:t>
            </w:r>
          </w:p>
          <w:p>
            <w:pPr>
              <w:pStyle w:val="null3"/>
            </w:pPr>
            <w:r>
              <w:rPr>
                <w:rFonts w:ascii="仿宋_GB2312" w:hAnsi="仿宋_GB2312" w:cs="仿宋_GB2312" w:eastAsia="仿宋_GB2312"/>
                <w:sz w:val="20"/>
                <w:b/>
              </w:rPr>
              <w:t>2、响应及时性：遵守合同约定的服务响应要求；</w:t>
            </w:r>
          </w:p>
          <w:p>
            <w:pPr>
              <w:pStyle w:val="null3"/>
              <w:jc w:val="both"/>
            </w:pPr>
            <w:r>
              <w:rPr>
                <w:rFonts w:ascii="仿宋_GB2312" w:hAnsi="仿宋_GB2312" w:cs="仿宋_GB2312" w:eastAsia="仿宋_GB2312"/>
                <w:sz w:val="20"/>
                <w:b/>
              </w:rPr>
              <w:t>3、安全性：发生运维故障恢复时间满足合同要求。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成交供应商应派驻不少于5名工程师提供驻场服务。（提供驻场承诺）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完全满足本项目采购需求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运维内容自合同签订之日起生效，运维期1年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西安市内采购方指定地点，驻场服务（采购方提供办公场地）。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竞争性磋商响应文件。提交二次报价，二次报价环节须将二次报价表盖章作为附件进行上传。 2、成交通知书发出后，成交供应商须向采购人提交竞争性磋商响应文件纸质版三份（纸质版响应文件与电子版响应文件保持一致）。 3、采购文件2.6.1内容为电子化交易系统采购文件模板，无法修改。根据陕西省财政厅关于持续优化政府采购营商环境有关事项的通知--陕财办采〔2024〕9 号的要求，采购人应在中标(成交)通知书发出之日起25日内，按照采购文件确定的事项与中标(成交)供应商签订政府采购合同。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参与的供应商服务全部由符合政策要求的大中小企业承接。</w:t>
            </w:r>
          </w:p>
        </w:tc>
        <w:tc>
          <w:tcPr>
            <w:tcW w:type="dxa" w:w="1661"/>
          </w:tcPr>
          <w:p>
            <w:pPr>
              <w:pStyle w:val="null3"/>
            </w:pPr>
            <w:r>
              <w:rPr>
                <w:rFonts w:ascii="仿宋_GB2312" w:hAnsi="仿宋_GB2312" w:cs="仿宋_GB2312" w:eastAsia="仿宋_GB2312"/>
              </w:rPr>
              <w:t>中小企业声明函 残疾人福利性单位声明函 其他说明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 法定代表人授权委托书须附委托代理人为本单位人员的有效第三方证明材料。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总价不超过采购最高限价</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技术条款偏离表 商务、合同条款偏离表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技术条款偏离表 资格证明文件 商务、合同条款偏离表 中小企业声明函 残疾人福利性单位声明函 服务方案 标的清单 其他说明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1、供应商具有有效的ISO9001、ISO/IEC27001、ISO/IEC20000证书，每提供一个得1分，满分3分。 2、供应商具有运行维护标准符合性证书(ITSS证书)得2分，没有不得分。 3、供应商具有“劳动关系”、“就业”、“人力资源”相关的软件著作权登记证书，具有一项得1.5分，最高得6分。 (提供加盖供应商原色公章的扫描件或复印件)</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1、供应商拟派驻本项目的项目经理，具有信息系统项目管理师证书、软件性能测试高级工程师证书、IT服务项目经理证书，具有1项证书得1.5分，最高得4.5分。 2、项目团队成员（不含项目经理）具有系统集成项目管理工程师证书、软件设计师证书、软件测试工程师证书，每提供一项得1.5分，同一人员不重复计分，最高得4.5分。 备注：提供以上人员证书及在职证明(加盖供应商原色公章的扫描件或复印件)。</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提供2021年1月1日至今的同类项目业绩，以磋商响应文件中附有的合同文件为依据(提供加盖供应商原色公章的完整合同扫描件或复印件，合同以签订时间为准)，每提供一个得2分，满分10分。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项目理解及需求分析</w:t>
            </w:r>
          </w:p>
        </w:tc>
        <w:tc>
          <w:tcPr>
            <w:tcW w:type="dxa" w:w="2492"/>
          </w:tcPr>
          <w:p>
            <w:pPr>
              <w:pStyle w:val="null3"/>
            </w:pPr>
            <w:r>
              <w:rPr>
                <w:rFonts w:ascii="仿宋_GB2312" w:hAnsi="仿宋_GB2312" w:cs="仿宋_GB2312" w:eastAsia="仿宋_GB2312"/>
              </w:rPr>
              <w:t>供应商应熟悉西安市DE类人才、人力资源服务机构、企事业单位职工退休、青年人才、公共招聘、社会保障卡及其应用场景、劳动仲裁、就业补贴相关业务和信息化建设等情况，对项目需求理解准确，整体架构清晰、合理，充分考虑用户实际需求，运维服务内容能够满足项目整体要求。 1、对项目需求理解深刻透彻，内容详实，对项目工作重点、难点认识准确，对本项目的重点难点有合理的解决思路及切实可行的方法，计10分； 2、对项目需求理解较清晰，内容较详实，对项目工作重点、难点认识较准确，对本项目建设的重点难点有基本的解决思路及方法，计8分； 3、对项目需求理解基本清晰，内容较详实，对项目工作重点、难点认识基本准确，对本项目建设的重点难点有基本的解决思路，解决方法基本可行，计6分； 4、对项目需求理解体现较差，对项目工作重点、难点认识不准确，对本项目建设的重点难点无解决思路及方法，按其响应程度计4分；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供应商针对本项目中运维服务部分工作内容设计工作方案，方案设计合理、架构完整、层次清楚。 1、运维服务方案合理、针对性强、架构清晰完整、切实可行，计10分； 2、运维服务方案较合理、针对性较强、架构比较清晰完整，按其响应程度计8分； 3、运维服务方案基本合理、针对性一般、架构基本清晰，按其响应程度计6分； 4、运维服务方案具有合理性但针对性不强、架构不够清晰，按其响应程度计4分； 5、运维服务方案合理性及针对性较差、架构模糊，按其响应程度计2分； 未提供方案计0分。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供应商的运维服务工作必须遵循并优化现有的安全体系，必须在现有安全体制下提出确保系统安全可靠的安全策略、措施和步骤。 1、方案内容合理、针对性强、架构清晰完整，按其响应程度计10分； 2、方案内容较合理、针对性较强、架构比较清晰完整，按其响应程度计8分； 3、方案内容基本合理、针对性一般、架构基本清晰，按其响应程度计6分； 4、方案内容具有合理性但针对性不强、架构不够清晰，按其响应程度计4分； 未提供方案计0分。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针对可能出现的问题及突发事件，有具体可行的应急措施和解决方案，内容包括但不限于运维响应时间、定期巡查、应急解决方案、服务监督管理机制、服务承诺等。 1、方案内容合理、针对性强、架构清晰完整，按其响应程度计10分； 2、方案内容较合理、针对性较强、架构比较清晰完整，按其响应程度计8分； 3、方案内容基本合理、针对性一般、架构基本清晰，按其响应程度计6分； 4、方案内容具有合理性但针对性不强、架构不够清晰，按其响应程度计4分； 未提供方案计0分。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供应商根据采购需求提供项目售后服务方案，包含但不限于售后服务流程、售后服务内容、响应时间、驻场人员配置（提供承诺函及具体人员配置）、售后服务保障措施。 1、方案内容合理、针对性强、架构清晰完整，按其响应程度计10分； 2、方案内容较合理、针对性较强、架构比较清晰完整，按其响应程度计8分； 3、方案内容基本合理、针对性一般、架构基本清晰，按其响应程度计6分； 4、方案内容具有合理性但针对性不强、架构不够清晰，按其响应程度计4分； 未提供方案计0分。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供应商根据采购需求提供项目培训方案，包含但不限于培训对象和内容、培训方式、培训流程、培训日程安排。 1、方案内容合理、针对性强、架构清晰完整，按其响应程度计10分； 2、方案内容较合理、针对性较强、架构比较清晰完整，按其响应程度计8分； 3、方案内容基本合理、针对性一般、架构基本清晰，按其响应程度计6分； 4、方案内容具有合理性但针对性不强、架构不够清晰，按其响应程度计4分； 未提供方案计0分。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价格分统一采用低价优先法计算，即满足磋商文件要求且最终投标价格最低的磋商报价为评标基准价，其价格分为满分。其他供应商的价格分统一按照下列公式计算： 磋商报价得分=(评标基准价／最终磋商报价)×10计算分数时四舍五入取小数点后两位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详见附件：技术条款偏离表</w:t>
      </w:r>
    </w:p>
    <w:p>
      <w:pPr>
        <w:pStyle w:val="null3"/>
        <w:ind w:firstLine="960"/>
      </w:pPr>
      <w:r>
        <w:rPr>
          <w:rFonts w:ascii="仿宋_GB2312" w:hAnsi="仿宋_GB2312" w:cs="仿宋_GB2312" w:eastAsia="仿宋_GB2312"/>
        </w:rPr>
        <w:t>详见附件：商务、合同条款偏离表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详见附件：拟签订的合同文本（终稿）.docx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