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版本号：JD-SXXA-202500720250625001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西安市阎良区第二轮土地承包到期后再延30年登簿发证试点工作技术服务项目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JD-SXXA-2025007</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西安久东信息科技有限公司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西安久东信息科技有限公司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西安市阎良区第二轮土地承包到期后再延30年登簿发证试点工作技术服务项目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JD-SXXA-2025007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西安市阎良区第二轮土地承包到期后再延30年登簿发证试点工作技术服务项目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开展阎良区第二轮土地承包到期后再延30年登簿发证试点工作，完成西安市阎良区7个乡镇，73个村，495个村民小组，约34864户农户的第二轮土地承包到期后再延30年登簿发证试点工作。通过农业农村局第二轮土地承 包到期后再延30年确定的承包地数据，搭建农村土地承包经营权不动产登记数据库，对农村承包地登簿、缮证、归档，并对试点反馈问题分析，做出合理化解决方案及试点项目经验总结，为后期全市各区县工作全面开展提供指导意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1、营业执照：1、具有独立承担民事责任的能力：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p>
      <w:pPr>
        <w:pStyle w:val="null3"/>
      </w:pPr>
      <w:r>
        <w:rPr>
          <w:rFonts w:ascii="仿宋_GB2312" w:hAnsi="仿宋_GB2312" w:cs="仿宋_GB2312" w:eastAsia="仿宋_GB2312"/>
        </w:rPr>
        <w:t>2、财务状况报告：提供2023年度或2024年度经审计的财务报告(成立时间至响应文件递交截止时间不足一年的可提供成立后任意时段的资产负债表),或提供响应文件递交截止日前三个月内其基本存款账户开户银行出具的资信证明。</w:t>
      </w:r>
    </w:p>
    <w:p>
      <w:pPr>
        <w:pStyle w:val="null3"/>
      </w:pPr>
      <w:r>
        <w:rPr>
          <w:rFonts w:ascii="仿宋_GB2312" w:hAnsi="仿宋_GB2312" w:cs="仿宋_GB2312" w:eastAsia="仿宋_GB2312"/>
        </w:rPr>
        <w:t>3、税收缴纳证明：提供磋商截止日前一年内已缴纳的至少一个月的纳税证明或完税证明，依法免税的单位应提供相关证明材料。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5、无重大违法记录声明：参加政府采购活动前3年内，在经营活动中没有重大违法记录。</w:t>
      </w:r>
    </w:p>
    <w:p>
      <w:pPr>
        <w:pStyle w:val="null3"/>
      </w:pPr>
      <w:r>
        <w:rPr>
          <w:rFonts w:ascii="仿宋_GB2312" w:hAnsi="仿宋_GB2312" w:cs="仿宋_GB2312" w:eastAsia="仿宋_GB2312"/>
        </w:rPr>
        <w:t>6、供应商信誉要求：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pPr>
        <w:pStyle w:val="null3"/>
      </w:pPr>
      <w:r>
        <w:rPr>
          <w:rFonts w:ascii="仿宋_GB2312" w:hAnsi="仿宋_GB2312" w:cs="仿宋_GB2312" w:eastAsia="仿宋_GB2312"/>
        </w:rPr>
        <w:t>7、供应商履约能力：供应商具备履行合同所必需的设备和专业技术能力。</w:t>
      </w:r>
    </w:p>
    <w:p>
      <w:pPr>
        <w:pStyle w:val="null3"/>
      </w:pPr>
      <w:r>
        <w:rPr>
          <w:rFonts w:ascii="仿宋_GB2312" w:hAnsi="仿宋_GB2312" w:cs="仿宋_GB2312" w:eastAsia="仿宋_GB2312"/>
        </w:rPr>
        <w:t>8、授权书：法定代表人直接参加投标的，须出具法定代表人身份证明。授权代表参加投标的，须出具法定代表人授权书，并附法定代表人和被授权人身份证明及被授权人社保缴纳证明。</w:t>
      </w:r>
    </w:p>
    <w:p>
      <w:pPr>
        <w:pStyle w:val="null3"/>
      </w:pPr>
      <w:r>
        <w:rPr>
          <w:rFonts w:ascii="仿宋_GB2312" w:hAnsi="仿宋_GB2312" w:cs="仿宋_GB2312" w:eastAsia="仿宋_GB2312"/>
        </w:rPr>
        <w:t>9、联合体：本项目不接受联合体磋商。</w:t>
      </w:r>
    </w:p>
    <w:p>
      <w:pPr>
        <w:pStyle w:val="null3"/>
      </w:pPr>
      <w:r>
        <w:rPr>
          <w:rFonts w:ascii="仿宋_GB2312" w:hAnsi="仿宋_GB2312" w:cs="仿宋_GB2312" w:eastAsia="仿宋_GB2312"/>
        </w:rPr>
        <w:t>10、资质要求：供应商须具有测绘甲级(专业包含界线与不动产测绘、摄影测量与遥感、地理信息系统工程)。</w:t>
      </w:r>
    </w:p>
    <w:p>
      <w:pPr>
        <w:pStyle w:val="null3"/>
      </w:pPr>
      <w:r>
        <w:rPr>
          <w:rFonts w:ascii="仿宋_GB2312" w:hAnsi="仿宋_GB2312" w:cs="仿宋_GB2312" w:eastAsia="仿宋_GB2312"/>
        </w:rPr>
        <w:t>11、项目负责人要求：拟派项目负责人具有行业主管部门颁发的注册测绘师或测绘高级及以上职称证书。</w:t>
      </w:r>
    </w:p>
    <w:p>
      <w:pPr>
        <w:pStyle w:val="null3"/>
      </w:pPr>
      <w:r>
        <w:rPr>
          <w:rFonts w:ascii="仿宋_GB2312" w:hAnsi="仿宋_GB2312" w:cs="仿宋_GB2312" w:eastAsia="仿宋_GB2312"/>
        </w:rPr>
        <w:t>12、控股、管理关系：单位负责人为同一人或者存在直接控股、管理关系的不同供应商，不得同时参加本采购项目投标。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江老师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029-86786031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西安久东信息科技有限公司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陕西省西安市经济技术开发区海博广场别墅区东二202室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029-83225855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采购包1：1,669,000.00元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代理服务费收费标准：参照原国家计委计价格【2002】1980号文和国家发改委发改办价格【2011】534号文的计算方法向成交人收取 成交供应商的招标代理服务费交纳信息 银行户名：西安久东信息科技有限公司 开户银行：招商银行股份有限公司西安西影路支行 银行账号：129912259110201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西安久东信息科技有限公司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西安久东信息科技有限公司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西安久东信息科技有限公司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由采购人和成交供应商共同对项目进行验收填写验收单。其内容包括是否按照采购人要求进行服务、是否在规定时间内服务完毕。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西安市自然资源和规划局（本级）</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西安久东信息科技有限公司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西安久东信息科技有限公司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联系人：李瑞</w:t>
      </w:r>
    </w:p>
    <w:p>
      <w:pPr>
        <w:pStyle w:val="null3"/>
      </w:pPr>
      <w:r>
        <w:rPr>
          <w:rFonts w:ascii="仿宋_GB2312" w:hAnsi="仿宋_GB2312" w:cs="仿宋_GB2312" w:eastAsia="仿宋_GB2312"/>
        </w:rPr>
        <w:t>联系电话：029-83225855</w:t>
      </w:r>
    </w:p>
    <w:p>
      <w:pPr>
        <w:pStyle w:val="null3"/>
      </w:pPr>
      <w:r>
        <w:rPr>
          <w:rFonts w:ascii="仿宋_GB2312" w:hAnsi="仿宋_GB2312" w:cs="仿宋_GB2312" w:eastAsia="仿宋_GB2312"/>
        </w:rPr>
        <w:t>地址：陕西省西安市经济技术开发区凤城九路海博广场别墅区东二202室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阎良区第二轮土地承包到期后再延30年登簿发证试点工作，完成西安市阎良区7个乡镇，73个村，495个村民小组，约34864户农户的第二轮土地承包到期后再延30年登簿发证试点工作。通过农业农村局第二轮土地承包到期后再延30年确定的承包地数据，搭建农村土地承包经营权不动产登记数据库，对农村承包地登簿、缮证、归档，并对试点反馈问题分析，做出合理化解决方案及试点项目经验总结，为后期全市各区县工作全面开展提供指导意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1,669,000.00</w:t>
      </w:r>
    </w:p>
    <w:p>
      <w:pPr>
        <w:pStyle w:val="null3"/>
      </w:pPr>
      <w:r>
        <w:rPr>
          <w:rFonts w:ascii="仿宋_GB2312" w:hAnsi="仿宋_GB2312" w:cs="仿宋_GB2312" w:eastAsia="仿宋_GB2312"/>
        </w:rPr>
        <w:t>采购包最高限价（元）: 1,669,000.00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西安市阎良区第二轮土地承包到期后再延30年登簿发证试点工作技术服务项目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1,669,000.00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标的名称：西安市阎良区第二轮土地承包到期后再延30年登簿发证试点工作技术服务项目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color w:val="0000FF"/>
              </w:rPr>
              <w:t>一、工作区域：西安市阎良区。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color w:val="0000FF"/>
              </w:rPr>
              <w:t>二、</w:t>
            </w:r>
            <w:r>
              <w:rPr>
                <w:rFonts w:ascii="仿宋_GB2312" w:hAnsi="仿宋_GB2312" w:cs="仿宋_GB2312" w:eastAsia="仿宋_GB2312"/>
                <w:sz w:val="20"/>
                <w:color w:val="0000FF"/>
              </w:rPr>
              <w:t>工作内容。</w:t>
            </w:r>
          </w:p>
          <w:p>
            <w:pPr>
              <w:pStyle w:val="null3"/>
              <w:jc w:val="both"/>
            </w:pPr>
            <w:r>
              <w:rPr>
                <w:rFonts w:ascii="仿宋_GB2312" w:hAnsi="仿宋_GB2312" w:cs="仿宋_GB2312" w:eastAsia="仿宋_GB2312"/>
                <w:sz w:val="20"/>
                <w:color w:val="0000FF"/>
              </w:rPr>
              <w:t>1.前期准备：</w:t>
            </w:r>
            <w:r>
              <w:rPr>
                <w:rFonts w:ascii="仿宋_GB2312" w:hAnsi="仿宋_GB2312" w:cs="仿宋_GB2312" w:eastAsia="仿宋_GB2312"/>
                <w:sz w:val="20"/>
                <w:color w:val="0000FF"/>
              </w:rPr>
              <w:t>机构组建。为保证项目顺利进展，组建专项工作组，对项目各工序进行关系协调和质量、技术监督。</w:t>
            </w:r>
          </w:p>
          <w:p>
            <w:pPr>
              <w:pStyle w:val="null3"/>
              <w:jc w:val="both"/>
            </w:pPr>
            <w:r>
              <w:rPr>
                <w:rFonts w:ascii="仿宋_GB2312" w:hAnsi="仿宋_GB2312" w:cs="仿宋_GB2312" w:eastAsia="仿宋_GB2312"/>
                <w:sz w:val="20"/>
                <w:color w:val="0000FF"/>
              </w:rPr>
              <w:t>培训考核。结合任务要求，统一组织培训及考核。在开展工作前，进行政策和技术方面的宣传和培训，严格执行法律政策规定，规范工作程序，明确方法要求，加强保密管理。</w:t>
            </w:r>
          </w:p>
          <w:p>
            <w:pPr>
              <w:pStyle w:val="null3"/>
              <w:jc w:val="both"/>
            </w:pPr>
            <w:r>
              <w:rPr>
                <w:rFonts w:ascii="仿宋_GB2312" w:hAnsi="仿宋_GB2312" w:cs="仿宋_GB2312" w:eastAsia="仿宋_GB2312"/>
                <w:sz w:val="20"/>
                <w:color w:val="0000FF"/>
              </w:rPr>
              <w:t>路线确定。根据已有资料情况，区分工作重点，确定适宜的技术路线、技术方法与工作流程，指导工作有序开展。</w:t>
            </w:r>
          </w:p>
          <w:p>
            <w:pPr>
              <w:pStyle w:val="null3"/>
              <w:jc w:val="both"/>
            </w:pPr>
            <w:r>
              <w:rPr>
                <w:rFonts w:ascii="仿宋_GB2312" w:hAnsi="仿宋_GB2312" w:cs="仿宋_GB2312" w:eastAsia="仿宋_GB2312"/>
                <w:sz w:val="20"/>
                <w:color w:val="0000FF"/>
              </w:rPr>
              <w:t>资料收集。收集、整理各类电子、纸质等基础资料，建立台账，开展矢量数据的坐标转换、格式统一、拓扑检查和处理。</w:t>
            </w:r>
          </w:p>
          <w:p>
            <w:pPr>
              <w:pStyle w:val="null3"/>
              <w:jc w:val="both"/>
            </w:pPr>
            <w:r>
              <w:rPr>
                <w:rFonts w:ascii="仿宋_GB2312" w:hAnsi="仿宋_GB2312" w:cs="仿宋_GB2312" w:eastAsia="仿宋_GB2312"/>
                <w:sz w:val="20"/>
                <w:color w:val="0000FF"/>
              </w:rPr>
              <w:t>2.资料审查：</w:t>
            </w:r>
            <w:r>
              <w:rPr>
                <w:rFonts w:ascii="仿宋_GB2312" w:hAnsi="仿宋_GB2312" w:cs="仿宋_GB2312" w:eastAsia="仿宋_GB2312"/>
                <w:sz w:val="20"/>
                <w:color w:val="0000FF"/>
              </w:rPr>
              <w:t>区不动产登记中心接收区农业部门第二轮土地承包到期后再延长30年确权工作成果，根据《不动产登记操作规范(试行)》,利用省农村承包地信息管理平台，对承包经营权登记要件等材料进行审查，重点审查提交资料的完整性、准确性、符合性，反馈问题整改后再次审查直至符合登记条件。</w:t>
            </w:r>
          </w:p>
          <w:p>
            <w:pPr>
              <w:pStyle w:val="null3"/>
              <w:jc w:val="both"/>
            </w:pPr>
            <w:r>
              <w:rPr>
                <w:rFonts w:ascii="仿宋_GB2312" w:hAnsi="仿宋_GB2312" w:cs="仿宋_GB2312" w:eastAsia="仿宋_GB2312"/>
                <w:sz w:val="20"/>
                <w:color w:val="0000FF"/>
              </w:rPr>
              <w:t>(1)数据完整性审查。</w:t>
            </w:r>
            <w:r>
              <w:rPr>
                <w:rFonts w:ascii="仿宋_GB2312" w:hAnsi="仿宋_GB2312" w:cs="仿宋_GB2312" w:eastAsia="仿宋_GB2312"/>
                <w:sz w:val="20"/>
                <w:color w:val="0000FF"/>
              </w:rPr>
              <w:t>①审查提交资料中申请、承包合同、权利人身份材料等登记要件是否齐备；</w:t>
            </w:r>
            <w:r>
              <w:rPr>
                <w:rFonts w:ascii="仿宋_GB2312" w:hAnsi="仿宋_GB2312" w:cs="仿宋_GB2312" w:eastAsia="仿宋_GB2312"/>
                <w:sz w:val="20"/>
                <w:color w:val="0000FF"/>
              </w:rPr>
              <w:t>②审查提交资料中合同内容完整性，承包地块、承包方、发包方、年限等信息填写是否完整规范。</w:t>
            </w:r>
          </w:p>
          <w:p>
            <w:pPr>
              <w:pStyle w:val="null3"/>
              <w:jc w:val="both"/>
            </w:pPr>
            <w:r>
              <w:rPr>
                <w:rFonts w:ascii="仿宋_GB2312" w:hAnsi="仿宋_GB2312" w:cs="仿宋_GB2312" w:eastAsia="仿宋_GB2312"/>
                <w:sz w:val="20"/>
                <w:color w:val="0000FF"/>
              </w:rPr>
              <w:t>(2)信息准确性审查。</w:t>
            </w:r>
            <w:r>
              <w:rPr>
                <w:rFonts w:ascii="仿宋_GB2312" w:hAnsi="仿宋_GB2312" w:cs="仿宋_GB2312" w:eastAsia="仿宋_GB2312"/>
                <w:sz w:val="20"/>
                <w:color w:val="0000FF"/>
              </w:rPr>
              <w:t>①审查地块面积、四至坐标、土地用途等是否与实地测量或权属证明一致；</w:t>
            </w:r>
            <w:r>
              <w:rPr>
                <w:rFonts w:ascii="仿宋_GB2312" w:hAnsi="仿宋_GB2312" w:cs="仿宋_GB2312" w:eastAsia="仿宋_GB2312"/>
                <w:sz w:val="20"/>
                <w:color w:val="0000FF"/>
              </w:rPr>
              <w:t>②审查地块承包方，承包方姓名、身份证号、联系方式等填写是否正确；</w:t>
            </w:r>
            <w:r>
              <w:rPr>
                <w:rFonts w:ascii="仿宋_GB2312" w:hAnsi="仿宋_GB2312" w:cs="仿宋_GB2312" w:eastAsia="仿宋_GB2312"/>
                <w:sz w:val="20"/>
                <w:color w:val="0000FF"/>
              </w:rPr>
              <w:t>③审查登记要件的签章手续等是否齐全。</w:t>
            </w:r>
          </w:p>
          <w:p>
            <w:pPr>
              <w:pStyle w:val="null3"/>
              <w:jc w:val="both"/>
            </w:pPr>
            <w:r>
              <w:rPr>
                <w:rFonts w:ascii="仿宋_GB2312" w:hAnsi="仿宋_GB2312" w:cs="仿宋_GB2312" w:eastAsia="仿宋_GB2312"/>
                <w:sz w:val="20"/>
                <w:color w:val="0000FF"/>
              </w:rPr>
              <w:t>(3)数据符合性审查。</w:t>
            </w:r>
            <w:r>
              <w:rPr>
                <w:rFonts w:ascii="仿宋_GB2312" w:hAnsi="仿宋_GB2312" w:cs="仿宋_GB2312" w:eastAsia="仿宋_GB2312"/>
                <w:sz w:val="20"/>
                <w:color w:val="0000FF"/>
              </w:rPr>
              <w:t>综合分析农村土地承包经营权与宅基地使用权等其他不动产权利数据套合关系，确保权利不交叉。</w:t>
            </w:r>
          </w:p>
          <w:p>
            <w:pPr>
              <w:pStyle w:val="null3"/>
              <w:jc w:val="both"/>
            </w:pPr>
            <w:r>
              <w:rPr>
                <w:rFonts w:ascii="仿宋_GB2312" w:hAnsi="仿宋_GB2312" w:cs="仿宋_GB2312" w:eastAsia="仿宋_GB2312"/>
                <w:sz w:val="20"/>
                <w:color w:val="0000FF"/>
              </w:rPr>
              <w:t>3.数据库建设。</w:t>
            </w:r>
            <w:r>
              <w:rPr>
                <w:rFonts w:ascii="仿宋_GB2312" w:hAnsi="仿宋_GB2312" w:cs="仿宋_GB2312" w:eastAsia="仿宋_GB2312"/>
                <w:sz w:val="20"/>
                <w:color w:val="0000FF"/>
              </w:rPr>
              <w:t>根据《不动产登记数据库标准》(试行)中关于土地承包经营权图层、属性、字段等要求，建立农村土地承包经营权不动产登记数据库。</w:t>
            </w:r>
          </w:p>
          <w:p>
            <w:pPr>
              <w:pStyle w:val="null3"/>
              <w:jc w:val="both"/>
            </w:pPr>
            <w:r>
              <w:rPr>
                <w:rFonts w:ascii="仿宋_GB2312" w:hAnsi="仿宋_GB2312" w:cs="仿宋_GB2312" w:eastAsia="仿宋_GB2312"/>
                <w:sz w:val="20"/>
                <w:color w:val="0000FF"/>
              </w:rPr>
              <w:t>4.登簿、缮证。</w:t>
            </w:r>
            <w:r>
              <w:rPr>
                <w:rFonts w:ascii="仿宋_GB2312" w:hAnsi="仿宋_GB2312" w:cs="仿宋_GB2312" w:eastAsia="仿宋_GB2312"/>
                <w:sz w:val="20"/>
                <w:color w:val="0000FF"/>
              </w:rPr>
              <w:t>将审核通过的延包信息录入不动产登记簿，记载内容包括承包方姓名、身份证号、承包地块名称、面积、四至、承包期限等，确保登记簿记载内容与延包合同一致，做到“图、属、档”一致。</w:t>
            </w:r>
            <w:r>
              <w:rPr>
                <w:rFonts w:ascii="仿宋_GB2312" w:hAnsi="仿宋_GB2312" w:cs="仿宋_GB2312" w:eastAsia="仿宋_GB2312"/>
                <w:sz w:val="20"/>
                <w:color w:val="0000FF"/>
              </w:rPr>
              <w:t>对于仅涉及承包合同到期的土地，直接顺延的，已颁发的土地承包权利证书在新的承包期继续有效且不变不换，依据承包合同记载的信息办理登记，在原农村土地承包经营权证上标注记载，加盖不动产登记专用章。</w:t>
            </w:r>
            <w:r>
              <w:rPr>
                <w:rFonts w:ascii="仿宋_GB2312" w:hAnsi="仿宋_GB2312" w:cs="仿宋_GB2312" w:eastAsia="仿宋_GB2312"/>
                <w:sz w:val="20"/>
                <w:color w:val="0000FF"/>
              </w:rPr>
              <w:t>对于个别调地的，在登记簿和证书上作出相应变更。</w:t>
            </w:r>
          </w:p>
          <w:p>
            <w:pPr>
              <w:pStyle w:val="null3"/>
              <w:jc w:val="both"/>
            </w:pPr>
            <w:r>
              <w:rPr>
                <w:rFonts w:ascii="仿宋_GB2312" w:hAnsi="仿宋_GB2312" w:cs="仿宋_GB2312" w:eastAsia="仿宋_GB2312"/>
                <w:sz w:val="20"/>
                <w:color w:val="0000FF"/>
              </w:rPr>
              <w:t>对于原未确权，本次重新签订承包合同的，重新颁发不动产权证书。</w:t>
            </w:r>
          </w:p>
          <w:p>
            <w:pPr>
              <w:pStyle w:val="null3"/>
              <w:jc w:val="both"/>
            </w:pPr>
            <w:r>
              <w:rPr>
                <w:rFonts w:ascii="仿宋_GB2312" w:hAnsi="仿宋_GB2312" w:cs="仿宋_GB2312" w:eastAsia="仿宋_GB2312"/>
                <w:sz w:val="20"/>
                <w:color w:val="0000FF"/>
              </w:rPr>
              <w:t>5.数据汇交。</w:t>
            </w:r>
            <w:r>
              <w:rPr>
                <w:rFonts w:ascii="仿宋_GB2312" w:hAnsi="仿宋_GB2312" w:cs="仿宋_GB2312" w:eastAsia="仿宋_GB2312"/>
                <w:sz w:val="20"/>
                <w:color w:val="0000FF"/>
              </w:rPr>
              <w:t>依据《不动产登记数据成果汇交规范》,通过数据映射、转换、字段新增、字段补充等方式，将审查无误的农村土地承包经营权登记地籍数据库及登记业务信息进行整合入库，形成阎良区第二轮土地承包到期后延包成果汇交包。</w:t>
            </w:r>
          </w:p>
          <w:p>
            <w:pPr>
              <w:pStyle w:val="null3"/>
              <w:jc w:val="both"/>
            </w:pPr>
            <w:r>
              <w:rPr>
                <w:rFonts w:ascii="仿宋_GB2312" w:hAnsi="仿宋_GB2312" w:cs="仿宋_GB2312" w:eastAsia="仿宋_GB2312"/>
                <w:sz w:val="20"/>
                <w:color w:val="0000FF"/>
              </w:rPr>
              <w:t>6.总结、验收。</w:t>
            </w:r>
            <w:r>
              <w:rPr>
                <w:rFonts w:ascii="仿宋_GB2312" w:hAnsi="仿宋_GB2312" w:cs="仿宋_GB2312" w:eastAsia="仿宋_GB2312"/>
                <w:sz w:val="20"/>
                <w:color w:val="0000FF"/>
              </w:rPr>
              <w:t>项目完成后，由西安市自然资源和规划局组织验收，对登记流程、数据质量、政策执行等方面进行评估和审核。</w:t>
            </w:r>
            <w:r>
              <w:rPr>
                <w:rFonts w:ascii="仿宋_GB2312" w:hAnsi="仿宋_GB2312" w:cs="仿宋_GB2312" w:eastAsia="仿宋_GB2312"/>
                <w:sz w:val="20"/>
                <w:color w:val="0000FF"/>
              </w:rPr>
              <w:t>全面总结回顾试点工作实施情况，挖掘试点中具有代表性的经验和普遍存在的问题，总结新技术、新方法、新应用，针对试点中发现的问题，提出改进建议和优化措施，形成可复制、可推广的试点经验，推动全市工作规范化和标准化。</w:t>
            </w:r>
          </w:p>
          <w:p>
            <w:pPr>
              <w:pStyle w:val="null3"/>
              <w:jc w:val="both"/>
            </w:pPr>
            <w:r>
              <w:rPr>
                <w:rFonts w:ascii="仿宋_GB2312" w:hAnsi="仿宋_GB2312" w:cs="仿宋_GB2312" w:eastAsia="仿宋_GB2312"/>
                <w:sz w:val="20"/>
                <w:color w:val="0000FF"/>
              </w:rPr>
              <w:t>7.整理归档。</w:t>
            </w:r>
            <w:r>
              <w:rPr>
                <w:rFonts w:ascii="仿宋_GB2312" w:hAnsi="仿宋_GB2312" w:cs="仿宋_GB2312" w:eastAsia="仿宋_GB2312"/>
                <w:sz w:val="20"/>
                <w:color w:val="0000FF"/>
              </w:rPr>
              <w:t>整理归档项目资料，形成西安市阎良区第二轮土地承包到期后再延30年登簿发证试点工作档案成果，移交档案室。</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color w:val="0000FF"/>
              </w:rPr>
              <w:t>三、技术要求。国家相关标准、行业标准、地方标准或者其他标准、规范标准(注：以下技术标准与依据文件有最新标准的，按照最新标准文件执行。)</w:t>
            </w:r>
          </w:p>
          <w:p>
            <w:pPr>
              <w:pStyle w:val="null3"/>
            </w:pPr>
            <w:r>
              <w:rPr>
                <w:rFonts w:ascii="仿宋_GB2312" w:hAnsi="仿宋_GB2312" w:cs="仿宋_GB2312" w:eastAsia="仿宋_GB2312"/>
                <w:sz w:val="20"/>
                <w:color w:val="0000FF"/>
              </w:rPr>
              <w:t>1.《中华人民共和国农村土地承包法》;2.《中共中央国务院关于保持土地承包关系稳定并长久不变的意见》;3.《中共中央关于制定国民经济和社会发展第十四个五年规划和二0三五年远景目标的建议》;4.《农业农村部办公厅关于加强农村土地承包经营合同管理的通知》(农办政改〔2020〕9号);5.《中华人民共和国农村土地承包经营权证管理办法》;6.中央农村工作领导小组办公室、农业农村部《关于2022年第二轮土地承包到期后再延长30年试点地区工作方案的批复》(中农发〔2022〕4号);7.《关于开展农村承包地确权登记颁证“回头看”的工作方案》(农办政改〔2019〕5号〕;8.《农村土地承包经营权登记试点工作规程(试行)》(农经办〔2012〕19号);9.《农村土地承包经营权确权登记颁证成果图制图规范(试行)的通知》;10.《农业部国家档案局关于印发农村土地承包经营权确权登记颁证档案管理办法的通知》农经发〔2014〕12号；11.农业农村部办公厅《关于印发第二轮土地承包到期后再延长30年试点工作规程(试行)》的通知(农办政改〔2023)7号〕;12.中共陕西省委农村工作领导小组办公室秘书处(省委实施乡村振兴战略领导小组)专项问题会议纪要(2022年5月26日);13.《西安市人民政府关于将农村土地承包经营权纳入不动产统一登记的通告》(市政告字〔2023〕5号);</w:t>
            </w:r>
          </w:p>
          <w:p>
            <w:pPr>
              <w:pStyle w:val="null3"/>
            </w:pPr>
            <w:r>
              <w:rPr>
                <w:rFonts w:ascii="仿宋_GB2312" w:hAnsi="仿宋_GB2312" w:cs="仿宋_GB2312" w:eastAsia="仿宋_GB2312"/>
                <w:sz w:val="20"/>
                <w:color w:val="0000FF"/>
              </w:rPr>
              <w:t>14.关于印发《关于不动产登记与土地承包合同管理工作有序衔接的工作方案》的通知(市资源发〔2023〕52号);15.《西安市自然资源和规划局西安市农业农村局关于印发农村土地承包经营权合同管理及不动产登记工作程序的通知》(市资源发〔2024〕123号)。</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0"/>
                <w:color w:val="0000FF"/>
              </w:rPr>
              <w:t>四、服务要求。1.依据《政府采购法》和政府购买服务的相关要求，供应商应具有独立的法人资格；具有相关的工作业绩；具有健全的技术和质量管理制度。2.供应商须精心组建项目团队，确定项目负责人，并承诺对项目团队的政治素质和业务素质负责。3.按期完成阎良区第二轮土地承包到期后再延30年登簿发证试点工作，提交的成果质量符合相关文件规范和规程要求。4.售后维护服务从合同验收通知日起计算，提供1年免费质保期服务，且后期全市全面启动该项工作时，配合市级做好工作经验分享和技术指导。5.供应商在项目实施过程中，必须严格遵守采购人的相关管理制度，并按照要求签订保密协议，不得有泄密、人为损坏采购人设备及工作成果、不遵守工作纪律等不法行为，由此造成的一切后果及法律责任由中标供应商承担。本项目工作数据属于保密数据，供应商工作过程中必须严格按照国家保密工作规程操作，以保障对整个工作成果及接触到的相关工作资料进行保密，并提供相关保密制度。6.拟派项目负责人具有行业主管部门颁发的注册测绘师或测绘高级及以上职称证书。7.项目拟投入人员至少15人，提供项目人员资历情况，以毕业证书、专业职称证书等为依据。8.配备专业的仪器，包括台式机电脑、笔记本电脑、硬盘、建库软件等，从数量、质量及其先进可靠性等方面能够满足本项目需求。9.供应商须具有测绘甲级(专业包含界线与不动产测绘、摄影测量与遥感、地理信息系统工程)。</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0"/>
                <w:color w:val="0000FF"/>
              </w:rPr>
              <w:t>五、商务要求。</w:t>
            </w:r>
          </w:p>
          <w:p>
            <w:pPr>
              <w:pStyle w:val="null3"/>
            </w:pPr>
            <w:r>
              <w:rPr>
                <w:rFonts w:ascii="仿宋_GB2312" w:hAnsi="仿宋_GB2312" w:cs="仿宋_GB2312" w:eastAsia="仿宋_GB2312"/>
                <w:sz w:val="20"/>
                <w:color w:val="0000FF"/>
              </w:rPr>
              <w:t>(一)服务期限：合同签订之日起至8个月内完成。</w:t>
            </w:r>
          </w:p>
          <w:p>
            <w:pPr>
              <w:pStyle w:val="null3"/>
            </w:pPr>
            <w:r>
              <w:rPr>
                <w:rFonts w:ascii="仿宋_GB2312" w:hAnsi="仿宋_GB2312" w:cs="仿宋_GB2312" w:eastAsia="仿宋_GB2312"/>
                <w:sz w:val="20"/>
                <w:color w:val="0000FF"/>
              </w:rPr>
              <w:t>(二)款项结算：合同总价一次性包死，不受市场价格变化和税率变化等因素的影响。(1)合同签订后15个工作日内，甲方向乙方支付合同总价款的40%;(2)成果经市自然资源和规划局验收后，15个工作日内甲方向乙方支付合同总价款的40%。(3)提交项目成果后，15个工作日内甲方向乙方支付合同总价款的20%。</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color w:val="0000FF"/>
              </w:rPr>
              <w:t>六、其他。</w:t>
            </w:r>
          </w:p>
          <w:p>
            <w:pPr>
              <w:pStyle w:val="null3"/>
              <w:jc w:val="both"/>
            </w:pPr>
            <w:r>
              <w:rPr>
                <w:rFonts w:ascii="仿宋_GB2312" w:hAnsi="仿宋_GB2312" w:cs="仿宋_GB2312" w:eastAsia="仿宋_GB2312"/>
                <w:sz w:val="20"/>
                <w:color w:val="0000FF"/>
              </w:rPr>
              <w:t>(一)交付成果。</w:t>
            </w:r>
            <w:r>
              <w:rPr>
                <w:rFonts w:ascii="仿宋_GB2312" w:hAnsi="仿宋_GB2312" w:cs="仿宋_GB2312" w:eastAsia="仿宋_GB2312"/>
                <w:sz w:val="20"/>
                <w:color w:val="0000FF"/>
              </w:rPr>
              <w:t>1.数据成果：</w:t>
            </w:r>
            <w:r>
              <w:rPr>
                <w:rFonts w:ascii="仿宋_GB2312" w:hAnsi="仿宋_GB2312" w:cs="仿宋_GB2312" w:eastAsia="仿宋_GB2312"/>
                <w:sz w:val="20"/>
                <w:color w:val="0000FF"/>
              </w:rPr>
              <w:t>阎良区第二轮土地承包到期后延包数据库成果；</w:t>
            </w:r>
            <w:r>
              <w:rPr>
                <w:rFonts w:ascii="仿宋_GB2312" w:hAnsi="仿宋_GB2312" w:cs="仿宋_GB2312" w:eastAsia="仿宋_GB2312"/>
                <w:sz w:val="20"/>
                <w:color w:val="0000FF"/>
              </w:rPr>
              <w:t>2.审查成果：</w:t>
            </w:r>
            <w:r>
              <w:rPr>
                <w:rFonts w:ascii="仿宋_GB2312" w:hAnsi="仿宋_GB2312" w:cs="仿宋_GB2312" w:eastAsia="仿宋_GB2312"/>
                <w:sz w:val="20"/>
                <w:color w:val="0000FF"/>
              </w:rPr>
              <w:t>审查过程中形成的检查台账、记录文件、报告等资料；</w:t>
            </w:r>
            <w:r>
              <w:rPr>
                <w:rFonts w:ascii="仿宋_GB2312" w:hAnsi="仿宋_GB2312" w:cs="仿宋_GB2312" w:eastAsia="仿宋_GB2312"/>
                <w:sz w:val="20"/>
                <w:color w:val="0000FF"/>
              </w:rPr>
              <w:t>3.文字报告：</w:t>
            </w:r>
            <w:r>
              <w:rPr>
                <w:rFonts w:ascii="仿宋_GB2312" w:hAnsi="仿宋_GB2312" w:cs="仿宋_GB2312" w:eastAsia="仿宋_GB2312"/>
                <w:sz w:val="20"/>
                <w:color w:val="0000FF"/>
              </w:rPr>
              <w:t>①本项目技术方案；</w:t>
            </w:r>
            <w:r>
              <w:rPr>
                <w:rFonts w:ascii="仿宋_GB2312" w:hAnsi="仿宋_GB2312" w:cs="仿宋_GB2312" w:eastAsia="仿宋_GB2312"/>
                <w:sz w:val="20"/>
                <w:color w:val="0000FF"/>
              </w:rPr>
              <w:t>②本项目工作总结；</w:t>
            </w:r>
            <w:r>
              <w:rPr>
                <w:rFonts w:ascii="仿宋_GB2312" w:hAnsi="仿宋_GB2312" w:cs="仿宋_GB2312" w:eastAsia="仿宋_GB2312"/>
                <w:sz w:val="20"/>
                <w:color w:val="0000FF"/>
              </w:rPr>
              <w:t>③本项目试点问题分析及经验总结报告。</w:t>
            </w:r>
            <w:r>
              <w:rPr>
                <w:rFonts w:ascii="仿宋_GB2312" w:hAnsi="仿宋_GB2312" w:cs="仿宋_GB2312" w:eastAsia="仿宋_GB2312"/>
                <w:sz w:val="20"/>
                <w:color w:val="0000FF"/>
              </w:rPr>
              <w:t>4.台账成果：</w:t>
            </w:r>
            <w:r>
              <w:rPr>
                <w:rFonts w:ascii="仿宋_GB2312" w:hAnsi="仿宋_GB2312" w:cs="仿宋_GB2312" w:eastAsia="仿宋_GB2312"/>
                <w:sz w:val="20"/>
                <w:color w:val="0000FF"/>
              </w:rPr>
              <w:t>不动产登记台账。</w:t>
            </w:r>
          </w:p>
          <w:p>
            <w:pPr>
              <w:pStyle w:val="null3"/>
              <w:jc w:val="both"/>
            </w:pPr>
            <w:r>
              <w:rPr>
                <w:rFonts w:ascii="仿宋_GB2312" w:hAnsi="仿宋_GB2312" w:cs="仿宋_GB2312" w:eastAsia="仿宋_GB2312"/>
                <w:sz w:val="20"/>
                <w:color w:val="0000FF"/>
              </w:rPr>
              <w:t>(二)验收标准。由采购人和成交供应商共同对项目进行验收填写验收单。其内容包括是否按照采购人要求进行服务、是否在规定时间内服务完毕。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供应商须为本项目配备不少于15人的团队，以满足项目需求。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合同签订之日起至8个月内完成。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由采购人和成交供应商共同对项目进行验收填写验收单。其内容包括是否按照采购人要求进行服务、是否在规定时间内服务完毕。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成果经市自然资源和规划局验收后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提交项目成果后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1.违约责任：依据采购合同执行； 2.争议解决向有管辖权的人民法院提起诉讼。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资格证明资料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资格证明资料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1、具有独立承担民事责任的能力：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提供2023年度或2024年度经审计的财务报告(成立时间至响应文件递交截止时间不足一年的可提供成立后任意时段的资产负债表),或提供响应文件递交截止日前三个月内其基本存款账户开户银行出具的资信证明。</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供应商履约能力</w:t>
            </w:r>
          </w:p>
        </w:tc>
        <w:tc>
          <w:tcPr>
            <w:tcW w:type="dxa" w:w="3322"/>
          </w:tcPr>
          <w:p>
            <w:pPr>
              <w:pStyle w:val="null3"/>
            </w:pPr>
            <w:r>
              <w:rPr>
                <w:rFonts w:ascii="仿宋_GB2312" w:hAnsi="仿宋_GB2312" w:cs="仿宋_GB2312" w:eastAsia="仿宋_GB2312"/>
              </w:rPr>
              <w:t>供应商具备履行合同所必需的设备和专业技术能力。</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法定代表人直接参加投标的，须出具法定代表人身份证明。授权代表参加投标的，须出具法定代表人授权书，并附法定代表人和被授权人身份证明及被授权人社保缴纳证明。</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供应商须具有测绘甲级(专业包含界线与不动产测绘、摄影测量与遥感、地理信息系统工程)。</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拟派项目负责人具有行业主管部门颁发的注册测绘师或测绘高级及以上职称证书。</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单位负责人为同一人或者存在直接控股、管理关系的不同供应商，不得同时参加本采购项目投标。</w:t>
            </w:r>
          </w:p>
        </w:tc>
        <w:tc>
          <w:tcPr>
            <w:tcW w:type="dxa" w:w="1661"/>
          </w:tcPr>
          <w:p>
            <w:pPr>
              <w:pStyle w:val="null3"/>
            </w:pPr>
            <w:r>
              <w:rPr>
                <w:rFonts w:ascii="仿宋_GB2312" w:hAnsi="仿宋_GB2312" w:cs="仿宋_GB2312" w:eastAsia="仿宋_GB2312"/>
              </w:rPr>
              <w:t>资格证明资料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 （2）响应文件格式：应符合响应文件要求； （3）报价唯一：只能有一个有效报价，不得提交选择性报价，且报价不超过采购预算;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资格证明资料 服务内容及服务邀请应答表 中小企业声明函 残疾人福利性单位声明函 商务应答表 服务方案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资格证明资料 响应文件封面 服务内容及服务邀请应答表 中小企业声明函 残疾人福利性单位声明函 商务应答表 服务方案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 （2）拟提供服务响应程度；应满足磋商文件提出的技术和服务要求。不允许技术参数负偏离； （3）服务期限：自合同签订之日起至8个月内完成； （4）服务地点：采购人指定地点（5）磋商有效期：应满足磋商文件中的规定</w:t>
            </w:r>
          </w:p>
        </w:tc>
        <w:tc>
          <w:tcPr>
            <w:tcW w:type="dxa" w:w="1661"/>
          </w:tcPr>
          <w:p>
            <w:pPr>
              <w:pStyle w:val="null3"/>
            </w:pPr>
            <w:r>
              <w:rPr>
                <w:rFonts w:ascii="仿宋_GB2312" w:hAnsi="仿宋_GB2312" w:cs="仿宋_GB2312" w:eastAsia="仿宋_GB2312"/>
              </w:rPr>
              <w:t>响应文件封面 资格证明资料 服务内容及服务邀请应答表 中小企业声明函 残疾人福利性单位声明函 商务应答表 服务方案 供应商应提交的相关资格证明材料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项目的认识和理解</w:t>
            </w:r>
          </w:p>
        </w:tc>
        <w:tc>
          <w:tcPr>
            <w:tcW w:type="dxa" w:w="2492"/>
          </w:tcPr>
          <w:p>
            <w:pPr>
              <w:pStyle w:val="null3"/>
            </w:pPr>
            <w:r>
              <w:rPr>
                <w:rFonts w:ascii="仿宋_GB2312" w:hAnsi="仿宋_GB2312" w:cs="仿宋_GB2312" w:eastAsia="仿宋_GB2312"/>
              </w:rPr>
              <w:t>供应商针对本项目认识和理解，内容包括但不限于①项目建设背景；②建设目标；③建设内容④相关政策⑤项目认识和理解情况等。 以上内容不存在瑕疵计10分； 以上内容存在1处瑕疵计8分； 以上内容存在2处瑕疵计6分； 以上内容存在3处瑕疵计4分； 以上内容存在4处瑕疵计2分； 未提供或存在5处以上瑕疵计0分。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供应商针对本项目提供的服务方案，内容包括但不限于①项目前期准备②项目实施中期③风险评估等方案编制服务方案 以上内容不存在瑕疵计10分； 以上内容存在1处瑕疵计8分； 以上内容存在2处瑕疵计6分； 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供应商针对本项目提供的质量保证措施，包括但不限于①质量保证体系②质量保障方案③质量目标④进度质量保证等。 以上内容不存在瑕疵计10分； 以上内容存在1处瑕疵计8分； 以上内容存在2处瑕疵计6分； 以上内容存在3处瑕疵计4分； 未提供或存在4处以上瑕疵计0分。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供应商针对本项目提供的进度保证措施，包括但不限于①项目的总体计划安排②各子项任务的衔接③文字及图表的说明④保证工作进度计划措施等。 以上内容不存在瑕疵计10分； 以上内容存在1处瑕疵计8分； 以上内容存在2处瑕疵计6分； 以上内容存在3处瑕疵计4分； 未提供或存在4处以上瑕疵计0分。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供应商针对本项目提供项目重点、难点分析及合理化建议，符合采购人实际需求，包括但不限于①重点、难点分析②应对措施③合理化建议等。 以上内容不存在瑕疵计10分； 以上内容存在1处瑕疵计8分； 以上内容存在2处瑕疵计6分； 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供应商针对本项目提供项目保密措施，符合采购人实际需求，包括但不限于①保密管理制度；②具体工作保密措施；③承诺对在本项目执行过程中获悉的有关信息均负有保密责任等。 以上内容不存在瑕疵计10分； 以上内容存在1处瑕疵计8分； 以上内容存在2处瑕疵计6分； 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针对本项目的售后服务方案，包括但不限于①售后服务承诺（售后维护服务从合同验收通知日起计算，提供1年免费质保期服务，且后期全市全面启动该项工作时，配合市级做好工作经验分享和技术指导，承诺书格式自拟并加盖公章）②售后服务人员③售后响应时限等； 以上内容不存在瑕疵计10分； 以上内容存在1处瑕疵计8分； 以上内容存在2处瑕疵计6分； 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一、基础技术人员配置（10分） 供应商须为本项目配备不少于15名具有测绘相关专业技术资质的专职技术人员，满足项目基本实施需求，得10分； 未达到最低配备要求的，不得分。 二、职称等级加分项（10分） 在满足基础配置的前提下： 每增加1名测绘相关专业中级职称，加1分；每增加1名测绘相关专业高级职称，加2分； 本项累计加分不超过10分。 备注：证明材料为上述人员的资历情况、学历证书、职称证书、社保机构出具的连续近3个月的社保证明，提供不全或未提供均不得分。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采用低价优先法计算，即满足竞争性磋商文件要求且磋商价格最低报价为 评标基准价，其价格分为满分，报价得分=(评标基准价/磋商报价)×10。 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