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版本号：BB2025-06-ZB-06220250624001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西安市“十五五”应急管理事业发展规划编制项目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BB2025-06-ZB-062</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博标工程咨询有限公司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博标工程咨询有限公司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西安市“十五五”应急管理事业发展规划编制项目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BB2025-06-ZB-062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西安市“十五五”应急管理事业发展规划编制项目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面开展西安市应急管理工作现状调研，全面总结评估西安市“十四五”应急管理事业发展规划实施成效，精准剖析当前存在的问题与短板弱项；结合城市发展定位与国内外行业趋势，科学开展“十五五”应急管理前景分析和规划思路研究，组织编制西安市“十五五”应急体系建设规划、综合防灾减灾规划、安全生产规划3个专项规划，统筹整合形成系统性的“十五五”应急管理事业发展总体规划。广泛征求意见建议，开展专家评审，强化规划衔接，为“十五五”期间应急管理事业高质量发展提供指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2、良好的商业信誉和健全的财务会计制度：提供 2024年度经审计的财务报告或在2024年06月20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p>
      <w:pPr>
        <w:pStyle w:val="null3"/>
      </w:pPr>
      <w:r>
        <w:rPr>
          <w:rFonts w:ascii="仿宋_GB2312" w:hAnsi="仿宋_GB2312" w:cs="仿宋_GB2312" w:eastAsia="仿宋_GB2312"/>
        </w:rPr>
        <w:t>3、有依法缴纳社会保障资金的良好记录：提供2024年06月20日至递交响应文件截止时间任意时段的缴纳证明，依法不需要缴纳社会保障资金的应提供相关文件证明。</w:t>
      </w:r>
    </w:p>
    <w:p>
      <w:pPr>
        <w:pStyle w:val="null3"/>
      </w:pPr>
      <w:r>
        <w:rPr>
          <w:rFonts w:ascii="仿宋_GB2312" w:hAnsi="仿宋_GB2312" w:cs="仿宋_GB2312" w:eastAsia="仿宋_GB2312"/>
        </w:rPr>
        <w:t>4、有依法缴纳税收的良好记录：提供2024年06月20日至递交响应文件截止时间任意时段的缴纳证明，依法免税的单位应提供相关证明材料。</w:t>
      </w:r>
    </w:p>
    <w:p>
      <w:pPr>
        <w:pStyle w:val="null3"/>
      </w:pPr>
      <w:r>
        <w:rPr>
          <w:rFonts w:ascii="仿宋_GB2312" w:hAnsi="仿宋_GB2312" w:cs="仿宋_GB2312" w:eastAsia="仿宋_GB2312"/>
        </w:rPr>
        <w:t>5、书面声明：①提供参加政府采购活动前3年内在经营活动中没有重大违法记录的书面声明；②提供具有履行本合同所必需的设备和专业技术能力的声明。</w:t>
      </w:r>
    </w:p>
    <w:p>
      <w:pPr>
        <w:pStyle w:val="null3"/>
      </w:pPr>
      <w:r>
        <w:rPr>
          <w:rFonts w:ascii="仿宋_GB2312" w:hAnsi="仿宋_GB2312" w:cs="仿宋_GB2312" w:eastAsia="仿宋_GB2312"/>
        </w:rPr>
        <w:t>6、法律、行政法规规定的其他条件：法定代表人参加投标，只须提供法定代表人证明书；法定代表人授权他人参加投标的，须提供法定代表人授权委托书、被授权人身份证复印件、2024年06月20日至投标截止时间任意时段的社会保障资金缴纳证明。</w:t>
      </w:r>
    </w:p>
    <w:p>
      <w:pPr>
        <w:pStyle w:val="null3"/>
      </w:pPr>
      <w:r>
        <w:rPr>
          <w:rFonts w:ascii="仿宋_GB2312" w:hAnsi="仿宋_GB2312" w:cs="仿宋_GB2312" w:eastAsia="仿宋_GB2312"/>
        </w:rPr>
        <w:t>7、信誉：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8、供应商企业关系关联及联合体说明：本项目不接受联合体投标，单位负责人为同一人或者存在直接控股、管理关系的不同供应商，不得参加同一合同项下的政府采购活动。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王胜利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86517117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博标工程咨询有限公司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陕西省西安市雁塔区南二环西段108号紫竹大厦A座2103室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029-88810380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标准收。 2、采购代理服务费由成交供应商支付，在领取《成交通知书》前，由成交供应商一次性支付给代理公司。付款账户：公司名称：博标工程咨询有限公司 开户行：西安银行文艺北路支行 账号：509011510000050548 3.采购结果公告发布的同时，代理机构向成交供应商发出成交通知书。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博标工程咨询有限公司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博标工程咨询有限公司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博标工程咨询有限公司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联系电话：029-88810380</w:t>
      </w:r>
    </w:p>
    <w:p>
      <w:pPr>
        <w:pStyle w:val="null3"/>
      </w:pPr>
      <w:r>
        <w:rPr>
          <w:rFonts w:ascii="仿宋_GB2312" w:hAnsi="仿宋_GB2312" w:cs="仿宋_GB2312" w:eastAsia="仿宋_GB2312"/>
        </w:rPr>
        <w:t>地址：陕西省西安市雁塔区南二环西段108号紫竹大厦A座2103室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开展西安市应急管理工作现状调研，全面总结评估西安市“十四五”应急管理事业发展规划实施成效，精准剖析当前存在的问题与短板弱项；结合城市发展定位与国内外行业趋势，科学开展“十五五”应急管理前景分析和规划思路研究，组织编制西安市“十五五”应急体系建设规划、综合防灾减灾规划、安全生产规划3个专项规划，统筹整合形成系统性的“十五五”应急管理事业发展总体规划。广泛征求意见建议，开展专家评审，强化规划衔接，为“十五五”期间应急管理事业高质量发展提供指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西安市“十五五”应急管理事业发展规划编制项目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标的名称：西安市“十五五”应急管理事业发展规划编制项目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坚持目标导向，紧扣西安实际情况，精准把握重点问题，全面客观地评估“十四五”应急管理工作内容，明确未来五年应急管理工作需达成的目标。着重强化规划衔接，确保与国家部委规划、省级规划以及本市“十四五”规划紧密衔接，充分彰显规划的延续性、时代性与创新性，构建一个定位精准、边界明晰、功能互补且统一衔接的应急管理规划体系。突出项目支撑，围绕应急管理能力与水平的有效提升这一核心，科学谋划工程项目，确保所谋划的工程项目具有前瞻性、实用性与系统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4"/>
              </w:rPr>
              <w:t>二、工作内容。</w:t>
            </w:r>
          </w:p>
          <w:p>
            <w:pPr>
              <w:pStyle w:val="null3"/>
              <w:ind w:firstLine="420"/>
              <w:jc w:val="both"/>
            </w:pPr>
            <w:r>
              <w:rPr>
                <w:rFonts w:ascii="仿宋_GB2312" w:hAnsi="仿宋_GB2312" w:cs="仿宋_GB2312" w:eastAsia="仿宋_GB2312"/>
                <w:sz w:val="24"/>
              </w:rPr>
              <w:t>（1）前期规划调研总结及发展思路研究。制定调研工作方案，明确调研内容、调研方法、责任分工、时限要求，采取多种方式面向市内各级相关政府部门进行调研。调研团队不少于4组，每组调研员不少于2人，区县（开发区）调研覆盖率不低于80%。基于调研结果，分析“十四五”应急管理规划各项发展目标、建设任务和重大工程项目落实情况和重点项目进展情况，完成《西安市“十四五”应急管理事业发展规划评估报告》编制工作，提出“十五五”时期西安市应急管理事业发展的总体思路和主要目标，科学构建指标体系。基于前景分析和思路研究，组织专家论证会1次，对市应急管理工作现状、未来发展走向与面临的挑战等进行研讨、分析、论证，梳理形成西安市应急管理领域“十五五”时期需攻克的重点课题、重大工程、重大项目，完成《西安市“十五五”应急管理事业发展现状调研与形势分析报告》编制工作。</w:t>
            </w:r>
          </w:p>
          <w:p>
            <w:pPr>
              <w:pStyle w:val="null3"/>
              <w:ind w:firstLine="420"/>
              <w:jc w:val="both"/>
            </w:pPr>
            <w:r>
              <w:rPr>
                <w:rFonts w:ascii="仿宋_GB2312" w:hAnsi="仿宋_GB2312" w:cs="仿宋_GB2312" w:eastAsia="仿宋_GB2312"/>
                <w:sz w:val="24"/>
              </w:rPr>
              <w:t>（2）应急管理事业发展规划编制。提供不少于12人的项目团队，从完善应急管理体制机制、健全应急预案体系、提升应急救援能力、建设应急安全基础设施等方面梳理主要任务、规划工程项目，编制“十五五”应急体系规划；从安全生产领域改革推进、安全生产责任体系建设、安全生产行政执法能力提升、重点行业领域安全专项整治、安全生产综合治理、安全文化建设、城市安全风险防控、安全生产信息化建设等方面梳理主要任务、规划工程项目，编制“十五五”安全生产规划；从健全统筹协调体制、健全属地管理体制、推进灾害风险普查成果应用、建设监测预警体系、强化防灾减灾基础设施、提升应急救援能力、增强公众防灾减灾意识培育等方面梳理主要任务、规划工程项目，编制“十五五”综合防灾减灾规划；汇总“十五五”应急体系建设规划、综合防灾减灾规划和安全生产规划3个专项，组织专项规划对接讨论会1次，研究确定应急管理事业发展规划思路和编制纲要，编制《西安市“十五五”应急管理事业发展规划》。</w:t>
            </w:r>
          </w:p>
          <w:p>
            <w:pPr>
              <w:pStyle w:val="null3"/>
              <w:ind w:firstLine="420"/>
              <w:jc w:val="both"/>
            </w:pPr>
            <w:r>
              <w:rPr>
                <w:rFonts w:ascii="仿宋_GB2312" w:hAnsi="仿宋_GB2312" w:cs="仿宋_GB2312" w:eastAsia="仿宋_GB2312"/>
                <w:sz w:val="24"/>
              </w:rPr>
              <w:t>（3）开展意见征求和评审论证。面向市内各级应急管理局、发展和改革委、自然资源和规划局、财政局等相关政府部门广泛征求意见，并根据反馈意见进一步修改完善。组织专家论证会1次，论证审议“十五五”时期西安市应急体系建设、防灾减灾救灾、安全生产和应急管理事业发展4个规划的任务要求，修改完善后组织项目验收评审会1次。</w:t>
            </w:r>
          </w:p>
          <w:p>
            <w:pPr>
              <w:pStyle w:val="null3"/>
              <w:ind w:firstLine="420"/>
              <w:jc w:val="both"/>
            </w:pPr>
            <w:r>
              <w:rPr>
                <w:rFonts w:ascii="仿宋_GB2312" w:hAnsi="仿宋_GB2312" w:cs="仿宋_GB2312" w:eastAsia="仿宋_GB2312"/>
                <w:sz w:val="24"/>
              </w:rPr>
              <w:t>（4）做好规划衔接与审定发布。坚持上下级规划、部门间规划相互衔接的原则，持续密切关注了解国家、陕西省和西安市各类规划关于应急管理工作的部署要求，动态跟踪规划最新动态，做好规划有效衔接。协助西安市应急管理局完成《西安市“十五五”应急管理事业发展规划》审定发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4"/>
              </w:rPr>
              <w:t>三、成果要求</w:t>
            </w:r>
          </w:p>
          <w:p>
            <w:pPr>
              <w:pStyle w:val="null3"/>
              <w:ind w:firstLine="420"/>
              <w:jc w:val="both"/>
            </w:pPr>
            <w:r>
              <w:rPr>
                <w:rFonts w:ascii="仿宋_GB2312" w:hAnsi="仿宋_GB2312" w:cs="仿宋_GB2312" w:eastAsia="仿宋_GB2312"/>
                <w:sz w:val="24"/>
              </w:rPr>
              <w:t>1.《西安市“十五五”应急管理事业发展规划编制》（总规划）规划文本和编制说明；</w:t>
            </w:r>
          </w:p>
          <w:p>
            <w:pPr>
              <w:pStyle w:val="null3"/>
              <w:ind w:firstLine="420"/>
              <w:jc w:val="both"/>
            </w:pPr>
            <w:r>
              <w:rPr>
                <w:rFonts w:ascii="仿宋_GB2312" w:hAnsi="仿宋_GB2312" w:cs="仿宋_GB2312" w:eastAsia="仿宋_GB2312"/>
                <w:sz w:val="24"/>
              </w:rPr>
              <w:t>2.《西安市“十五五”应急体系规划编制》（专项规划）规划文本和编制说明；</w:t>
            </w:r>
          </w:p>
          <w:p>
            <w:pPr>
              <w:pStyle w:val="null3"/>
              <w:ind w:firstLine="420"/>
              <w:jc w:val="both"/>
            </w:pPr>
            <w:r>
              <w:rPr>
                <w:rFonts w:ascii="仿宋_GB2312" w:hAnsi="仿宋_GB2312" w:cs="仿宋_GB2312" w:eastAsia="仿宋_GB2312"/>
                <w:sz w:val="24"/>
              </w:rPr>
              <w:t>3.《西安市“十五五”安全生产规划编制》（专项规划）规划文本和编制说明；</w:t>
            </w:r>
          </w:p>
          <w:p>
            <w:pPr>
              <w:pStyle w:val="null3"/>
              <w:ind w:firstLine="420"/>
              <w:jc w:val="both"/>
            </w:pPr>
            <w:r>
              <w:rPr>
                <w:rFonts w:ascii="仿宋_GB2312" w:hAnsi="仿宋_GB2312" w:cs="仿宋_GB2312" w:eastAsia="仿宋_GB2312"/>
                <w:sz w:val="24"/>
              </w:rPr>
              <w:t>4.《西安市“十五五”综合防灾减灾规划编制》（专项规划）规划文本和编制说明；</w:t>
            </w:r>
          </w:p>
          <w:p>
            <w:pPr>
              <w:pStyle w:val="null3"/>
              <w:ind w:firstLine="420"/>
              <w:jc w:val="both"/>
            </w:pPr>
            <w:r>
              <w:rPr>
                <w:rFonts w:ascii="仿宋_GB2312" w:hAnsi="仿宋_GB2312" w:cs="仿宋_GB2312" w:eastAsia="仿宋_GB2312"/>
                <w:sz w:val="24"/>
              </w:rPr>
              <w:t>5.《西安市“十四五”应急管理事业发展规划评估报告》；</w:t>
            </w:r>
          </w:p>
          <w:p>
            <w:pPr>
              <w:pStyle w:val="null3"/>
              <w:ind w:firstLine="420"/>
              <w:jc w:val="both"/>
            </w:pPr>
            <w:r>
              <w:rPr>
                <w:rFonts w:ascii="仿宋_GB2312" w:hAnsi="仿宋_GB2312" w:cs="仿宋_GB2312" w:eastAsia="仿宋_GB2312"/>
                <w:sz w:val="24"/>
              </w:rPr>
              <w:t>6.《西安市“十五五”应急管理事业发展现状调研与形势分析报告》；</w:t>
            </w:r>
          </w:p>
          <w:p>
            <w:pPr>
              <w:pStyle w:val="null3"/>
              <w:ind w:firstLine="420"/>
              <w:jc w:val="both"/>
            </w:pPr>
            <w:r>
              <w:rPr>
                <w:rFonts w:ascii="仿宋_GB2312" w:hAnsi="仿宋_GB2312" w:cs="仿宋_GB2312" w:eastAsia="仿宋_GB2312"/>
                <w:sz w:val="24"/>
              </w:rPr>
              <w:t>7.西安市“十五五”应急管理事业发展规划编制过程资料汇编。</w:t>
            </w:r>
          </w:p>
          <w:p>
            <w:pPr>
              <w:pStyle w:val="null3"/>
              <w:jc w:val="both"/>
            </w:pPr>
            <w:r>
              <w:rPr>
                <w:rFonts w:ascii="仿宋_GB2312" w:hAnsi="仿宋_GB2312" w:cs="仿宋_GB2312" w:eastAsia="仿宋_GB2312"/>
                <w:sz w:val="24"/>
              </w:rPr>
              <w:t>以上成果内容提供电子版1份、纸质版2份。若采购人需增加成果份数，供应商应按采购人要求全权配合。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完成初稿</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甲、乙双方应首先通过友好协商解决;如果协商不能解决争议，甲乙双方同意采取向西安市仲裁委员会按其仲裁规则申请仲裁。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需满足项目服务内容及要求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4.供应商认为需要提供的其他资料.pdf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4.供应商认为需要提供的其他资料.pdf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提供 2024年度经审计的财务报告或在2024年06月20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4.供应商认为需要提供的其他资料.pdf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提供2024年06月20日至递交响应文件截止时间任意时段的缴纳证明，依法不需要缴纳社会保障资金的应提供相关文件证明。</w:t>
            </w:r>
          </w:p>
        </w:tc>
        <w:tc>
          <w:tcPr>
            <w:tcW w:type="dxa" w:w="1661"/>
          </w:tcPr>
          <w:p>
            <w:pPr>
              <w:pStyle w:val="null3"/>
            </w:pPr>
            <w:r>
              <w:rPr>
                <w:rFonts w:ascii="仿宋_GB2312" w:hAnsi="仿宋_GB2312" w:cs="仿宋_GB2312" w:eastAsia="仿宋_GB2312"/>
              </w:rPr>
              <w:t>4.供应商认为需要提供的其他资料.pdf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提供2024年06月20日至递交响应文件截止时间任意时段的缴纳证明，依法免税的单位应提供相关证明材料。</w:t>
            </w:r>
          </w:p>
        </w:tc>
        <w:tc>
          <w:tcPr>
            <w:tcW w:type="dxa" w:w="1661"/>
          </w:tcPr>
          <w:p>
            <w:pPr>
              <w:pStyle w:val="null3"/>
            </w:pPr>
            <w:r>
              <w:rPr>
                <w:rFonts w:ascii="仿宋_GB2312" w:hAnsi="仿宋_GB2312" w:cs="仿宋_GB2312" w:eastAsia="仿宋_GB2312"/>
              </w:rPr>
              <w:t>4.供应商认为需要提供的其他资料.pdf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3.资格证明文件.pdf 4.供应商认为需要提供的其他资料.pdf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法定代表人参加投标，只须提供法定代表人证明书；法定代表人授权他人参加投标的，须提供法定代表人授权委托书、被授权人身份证复印件、2024年06月20日至投标截止时间任意时段的社会保障资金缴纳证明。</w:t>
            </w:r>
          </w:p>
        </w:tc>
        <w:tc>
          <w:tcPr>
            <w:tcW w:type="dxa" w:w="1661"/>
          </w:tcPr>
          <w:p>
            <w:pPr>
              <w:pStyle w:val="null3"/>
            </w:pPr>
            <w:r>
              <w:rPr>
                <w:rFonts w:ascii="仿宋_GB2312" w:hAnsi="仿宋_GB2312" w:cs="仿宋_GB2312" w:eastAsia="仿宋_GB2312"/>
              </w:rPr>
              <w:t>3.资格证明文件.pdf 4.供应商认为需要提供的其他资料.pdf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4.供应商认为需要提供的其他资料.pdf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3.资格证明文件.pdf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2.磋商函.pdf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响应文件上法定代表人或其授权代表人的签字齐全或加盖单位公章。</w:t>
            </w:r>
          </w:p>
        </w:tc>
        <w:tc>
          <w:tcPr>
            <w:tcW w:type="dxa" w:w="1661"/>
          </w:tcPr>
          <w:p>
            <w:pPr>
              <w:pStyle w:val="null3"/>
            </w:pPr>
            <w:r>
              <w:rPr>
                <w:rFonts w:ascii="仿宋_GB2312" w:hAnsi="仿宋_GB2312" w:cs="仿宋_GB2312" w:eastAsia="仿宋_GB2312"/>
              </w:rPr>
              <w:t>响应文件封面 3.资格证明文件.pdf 2.磋商函.pdf 5.服务方案.pdf 中小企业声明函 残疾人福利性单位声明函 4.供应商认为需要提供的其他资料.pdf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响应文件封面 3.资格证明文件.pdf 2.磋商函.pdf 5.服务方案.pdf 中小企业声明函 残疾人福利性单位声明函 4.供应商认为需要提供的其他资料.pdf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2.磋商函.pdf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完全响应磋商文件要求的各项服务、商务实质性条款。</w:t>
            </w:r>
          </w:p>
        </w:tc>
        <w:tc>
          <w:tcPr>
            <w:tcW w:type="dxa" w:w="1661"/>
          </w:tcPr>
          <w:p>
            <w:pPr>
              <w:pStyle w:val="null3"/>
            </w:pPr>
            <w:r>
              <w:rPr>
                <w:rFonts w:ascii="仿宋_GB2312" w:hAnsi="仿宋_GB2312" w:cs="仿宋_GB2312" w:eastAsia="仿宋_GB2312"/>
              </w:rPr>
              <w:t>3.资格证明文件.pdf 2.磋商函.pdf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2.磋商函.pdf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响应文件封面 2.磋商函.pdf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规划编制方案</w:t>
            </w:r>
          </w:p>
        </w:tc>
        <w:tc>
          <w:tcPr>
            <w:tcW w:type="dxa" w:w="2492"/>
          </w:tcPr>
          <w:p>
            <w:pPr>
              <w:pStyle w:val="null3"/>
            </w:pPr>
            <w:r>
              <w:rPr>
                <w:rFonts w:ascii="仿宋_GB2312" w:hAnsi="仿宋_GB2312" w:cs="仿宋_GB2312" w:eastAsia="仿宋_GB2312"/>
              </w:rPr>
              <w:t>（1）政策理解与需求分析：完全契合国家应急管理政策得10-15分；部分契合，契合程度较高得6-10分；部分契合，契合程度较低得3-6分；完全不契合国家应急管理政策得0-3分。 （2）编制思路与创新性：思路清晰且提出3项以上创新措施得10分，每少1项扣3分。 （3）重点任务可行性：对项目实施过程中可能遇到的难点、重点分析全面、到位，应对措施合理、可行，得7-10分；分析较全面，应对措施较合理，得3-6分；分析不全面或应对措施不合理，得0-3分。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5.服务方案.pdf</w:t>
            </w:r>
          </w:p>
        </w:tc>
      </w:tr>
      <w:tr>
        <w:tc>
          <w:tcPr>
            <w:tcW w:type="dxa" w:w="831"/>
            <w:vMerge/>
          </w:tcPr>
          <w:p/>
        </w:tc>
        <w:tc>
          <w:tcPr>
            <w:tcW w:type="dxa" w:w="1661"/>
          </w:tcPr>
          <w:p>
            <w:pPr>
              <w:pStyle w:val="null3"/>
            </w:pPr>
            <w:r>
              <w:rPr>
                <w:rFonts w:ascii="仿宋_GB2312" w:hAnsi="仿宋_GB2312" w:cs="仿宋_GB2312" w:eastAsia="仿宋_GB2312"/>
              </w:rPr>
              <w:t>成果交付计划</w:t>
            </w:r>
          </w:p>
        </w:tc>
        <w:tc>
          <w:tcPr>
            <w:tcW w:type="dxa" w:w="2492"/>
          </w:tcPr>
          <w:p>
            <w:pPr>
              <w:pStyle w:val="null3"/>
            </w:pPr>
            <w:r>
              <w:rPr>
                <w:rFonts w:ascii="仿宋_GB2312" w:hAnsi="仿宋_GB2312" w:cs="仿宋_GB2312" w:eastAsia="仿宋_GB2312"/>
              </w:rPr>
              <w:t>（1）供应商制定了详细的项目进度计划，明确各阶段的时间节点和工作任务，得3-5分；进度计划较详细，得1-3分；进度计划不详细，得0-1分。（2）针对可能影响项目进度的因素制定了有效的应对措施，措施合理、可行，得3-5分；应对措施较合理，得1-3分；应对措施不合理，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5.服务方案.pdf</w:t>
            </w:r>
          </w:p>
        </w:tc>
      </w:tr>
      <w:tr>
        <w:tc>
          <w:tcPr>
            <w:tcW w:type="dxa" w:w="831"/>
            <w:vMerge/>
          </w:tcPr>
          <w:p/>
        </w:tc>
        <w:tc>
          <w:tcPr>
            <w:tcW w:type="dxa" w:w="1661"/>
          </w:tcPr>
          <w:p>
            <w:pPr>
              <w:pStyle w:val="null3"/>
            </w:pPr>
            <w:r>
              <w:rPr>
                <w:rFonts w:ascii="仿宋_GB2312" w:hAnsi="仿宋_GB2312" w:cs="仿宋_GB2312" w:eastAsia="仿宋_GB2312"/>
              </w:rPr>
              <w:t>技术团队</w:t>
            </w:r>
          </w:p>
        </w:tc>
        <w:tc>
          <w:tcPr>
            <w:tcW w:type="dxa" w:w="2492"/>
          </w:tcPr>
          <w:p>
            <w:pPr>
              <w:pStyle w:val="null3"/>
            </w:pPr>
            <w:r>
              <w:rPr>
                <w:rFonts w:ascii="仿宋_GB2312" w:hAnsi="仿宋_GB2312" w:cs="仿宋_GB2312" w:eastAsia="仿宋_GB2312"/>
              </w:rPr>
              <w:t>（1）项目负责人资历（应急管理/公共政策相关高级职称或类似项目经验）每提供一份证明材料加2分，最高加8分。 （2）团队专业配置（覆盖风险评估、预案编制、政策研究等领域）：团队配置齐全，专业度高得7分；团队配置较齐全，专业度较高得5分；团队配置不齐全，专业度不高得3分；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（1）供应商制定了完善的项目质量管理制度，明确质量目标、质量责任和质量控制流程，得3-5分；质量管理制度较完善，得1-3分；质量管理制度不完善，得0分。 （2）针对项目各环节制定了详细的质量保障措施，措施具体、可操作，得3-5分；质量保障措施较具体，得1-3分；质量保障措施不具体或缺乏可操作性，得0分。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5.服务方案.pdf</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1.供应商近三年（自磋商截止之日起往前推算）承担过类似规划编制项目，每提供1个项目合同得2分，最高得6分。合同需提供关键页（包含项目名称、合同金额、服务内容、签订时间、双方盖章页等）复印件作为证明材料，否则不得分。 2.获得一项应急管理领域奖项或表彰加2分，最高加4分，提供证明材料加盖公章，否则不得分。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1.经初审合格的磋商响应文件，其磋商报价为有效磋商报价，对符合政策性扣减的供应商的有效磋商价格进行政策性扣减10%，并依据扣减后的价格（评审价格）进行价格评审。 2.满足磋商文件实质性要求且最终磋商报价最低的供应商的价格为磋商基准价，其价格分为满分20分。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2.磋商函.pdf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详见附件：2.磋商函.pdf</w:t>
      </w:r>
    </w:p>
    <w:p>
      <w:pPr>
        <w:pStyle w:val="null3"/>
        <w:ind w:firstLine="960"/>
      </w:pPr>
      <w:r>
        <w:rPr>
          <w:rFonts w:ascii="仿宋_GB2312" w:hAnsi="仿宋_GB2312" w:cs="仿宋_GB2312" w:eastAsia="仿宋_GB2312"/>
        </w:rPr>
        <w:t>详见附件：3.资格证明文件.pdf</w:t>
      </w:r>
    </w:p>
    <w:p>
      <w:pPr>
        <w:pStyle w:val="null3"/>
        <w:ind w:firstLine="960"/>
      </w:pPr>
      <w:r>
        <w:rPr>
          <w:rFonts w:ascii="仿宋_GB2312" w:hAnsi="仿宋_GB2312" w:cs="仿宋_GB2312" w:eastAsia="仿宋_GB2312"/>
        </w:rPr>
        <w:t>详见附件：4.供应商认为需要提供的其他资料.pdf</w:t>
      </w:r>
    </w:p>
    <w:p>
      <w:pPr>
        <w:pStyle w:val="null3"/>
        <w:ind w:firstLine="960"/>
      </w:pPr>
      <w:r>
        <w:rPr>
          <w:rFonts w:ascii="仿宋_GB2312" w:hAnsi="仿宋_GB2312" w:cs="仿宋_GB2312" w:eastAsia="仿宋_GB2312"/>
        </w:rPr>
        <w:t>详见附件：5.服务方案.pdf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